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T:Staten Island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B:Kennedy, Peter; Fiddler's Tune Book #1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N:Bars 3-4 of the second part are said to evoke the horn or whistle of the Staten Island Ferry.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Z:PLK 8/2021 fr. Scotsbroome "book"; likely from one of the Peter Kennedy books.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AG|"D"FDFGA2  A2   |dfed dcBA |"G"B2  GB "D"A2  FA|"A"G2  E2   E2  AG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"D"FDFGA2  A2   |dfed dcBA |"D"d2  d2  "A"efge |"D"f2  d2  d2 :|]!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fg|"D"a2  fa "A"g2  eg |"D"f2  df "A"ecA2 |"C"=c2  c2 efge |"C"=c2  c2  efge 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"D"a2  fa "A"g2  eg |"D"f2  df "A"ecA2  |"D"d2  d2  "A"efge |"D"f2  d2 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