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T:Sugar House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C:from The Taggart Collection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S:NH Fiddlers Union cassette and music booklet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O:New England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A:Mt Monadnock region of NH.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B:Taggart Booklet; NH Fiddlers Union. Later in Randy Miller; Fiddlers Throne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N:Entitled Sugar House in tune booklet, accompanying the cassette; title provided by NH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N:Fiddlers Union. As repub by Randy Miller in Fiddlers Throne, reverted to Taggart's Reel #2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N:Sugar House is what it was called when we learned it.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D:John Taggart cassette from NH Fiddlers Union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Z:abc's 01/2021 PLK from Randy Miller's book 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FG|"D"AFAd fedc |"Em"BGBd gfed |"A"cBAG FEDC | "D"DEFG "A"A2</w:t>
        <w:tab/>
        <w:t xml:space="preserve">FG 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"D"AFAd fedc |"Em"BGBd gfed |"A"cBAG FEDC |"D"D2   F2   D2  :|]!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de|"D"fdAFA2  cd | "F#7(A)"ecB^A "Bm"B2  ef  |"Em"gfed "A"cBAG |"D"FGAB"A"A2   de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"D"fdAFA2  cd | "F#7(A)"ecB^A "Bm"B2  ef  |"Em"gfed "A"cABc | "D"d2   f2   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