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T:Teviot Bridge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T:Teviot Brig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a|ecA E2  A | F2   A E3  | EFE B2   c | d2c Bcd | 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ecA E2A | F2A E2c | def ecA | B3 A2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c/d/|ecA Ace | fdf fga | ecA AcA | BGE Ecd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ecA ecA | agf edc | dfa ecA | B3  A2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