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T:Top O' The Hill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 Jarlis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S:vers: Ted Sannella dance and tune book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D:There is a lovely version online done by Patty Kusturok in her "365 Days of Fiddle Tunes" series.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H:This is the version that Salmonberry Band, Seattle, played in 1984.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H:Medleys: Spring Song (G)/Top o' the Hill,  Top o' the Hill/Big John McNeill.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Z:Phil Katz 7/2020 from copy of Sannella tunebook in Salmonberry mss "book"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(3efg|"A"aece aece |f2   e2   e2  ef |"G"=gagf   ged=c|B=GBG   B2   (3efg|!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"A"aece aece |f2   e2   e2   E2  |"E7"EFGA BcdB|"A"cA A2   A2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z2|"A"[A,2E2]  [A,E][A,E] [A,2E2]  [A,E][A,E] |[A,E]CEC A,2  A,2 |\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"G"=G,B,DF G2  A=c |B2  AF =GEDB,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"A"[A,2E2]  [A,E][A,E] [A,2E2]  [A,E][A,E] |[A,E]CEC A,2  E2 |\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"E7"EFGA BcdB |"A"cA "E7"B2  "A"A2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