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T:Trip to Sligo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C:traditional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O:Ireland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N:Although this is in 1-sharp (Aeolian minor) 'cuz all the C's are natural, the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N:chording (both the arpeggios and the backup chords Em, D, Bm) are typical of Edorian.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N:Also, observe bars B4 &amp; B5 are identical (a clever little musical trick), whereas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N:in contra dancing B4 is a phrase ending. Thus it is incumbent on the musicians either to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N:play those in some way differently, or otherwise signal the phrasing to the dancers.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N:For example, by playing a "wild chord"like G or C in place of the Em in bar B4.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N:Or backing the last half of B4 with a single big downbeat chord, instead of a boom-chuck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H:The Scotsbroome mss book suggests a medley with The Gobby-O in Ador.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Z:PLK 6/2021 from Scotsbroome "book"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K:Em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"Em"E2  e BGE |"D"D2  d AFD |"Em"E2  e BGE |GFEe2  f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"Em"gfe dcB |"D"ABG FED |"Em"EFG ABc |1"Bm"BGF "Em"E2  D :|]2"Bm"BGF "Em"E2  e |]!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"E"eBe gfe |"D"dAd fed |"Em"eBe gfe |"D"f/g/af "Em"gfe 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"D"f/g/af "Em"gfe |"D"fdB AFD |"Em"EFG ABc |"Bm"BGF "Em"E2  z:|]!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