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X: 1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T:Walk Home, The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M:6/8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C:©Dan Compton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S:vers. Dave Marshall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R:jig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O:Pacific Northwest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A:Portland, OR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B:Portland Coll. Vol.1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N:Dan Compton has always been generous viz individuals playing his tunes at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N:local dances. But pls bear in mind he makes his living at music and that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N:this tune _is_ copyright. So if you're thinking of recording it, republishing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N:it, or performing it for "real money", do get in touch with Dan and pay him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N:the going rate. Also the tune and these chords have been published under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N:copyright in The Portland Collection Vol. 1, a wonderful resource every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N:contra musician should own (hardcopy or electronic) and whose editors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N:similarly make their livings from music. I've bought every wonderful tune book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N:and CD that all these folks have made, and you should too.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Z:abc's transcribed by Dave Marshall; chords added PLK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K:D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[|:"D"A,2  D DEF |"Em"E2  D DEF |"G"G2B "D"FGF |"Em"EDB, B,CD |!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"D"A,2D DEF |"Em"E2D DEF |"G"GFE "D"FDB, |1"A"~A,3   A,2 B,:|]2"A"~A,3</w:t>
        <w:tab/>
        <w:t xml:space="preserve">DFG|]!/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[|:"D"A3   AFE |D3   DEF |"G"GAB "D"AFD |"A"FEE EFG |!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"D"~A3 AFE |D3 DEF |"Em/G"GFE "D"FDB, |1"A"~A,3 DFG :|]2"A"~A,3 A,2B, |]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