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T:Willafjord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C:Trad: Shetland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Mike Richardson, in Scotsbroome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slurs, forming the "signature" syncopation of the tune in contra usage, are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 "recent" innovation. They are absent in "original source" Shetland tune books.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Z:Originally Mike Richardson; re-set by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B2|A2F(A  A)DFA|B2G(B B)DGB|A2F(A A)DFA|EFGA GFED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A2F(A  A)DFA|B2G(B B)DGB|ABcd efga| f2 d2  d2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e2|f2d(f f)Adf |gfaf gfed |f2d(f f)Adf |e2ce Aece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f2d(f f)Adf |gfaf gfec |ABcd efga |f2 d2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