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T:Yvon Dumont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John Arcand (Spr 1998); Trent Bruner's chords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S:Miche Baker-Harvey trans. from Emma Lake; long pickup to bar 1 removed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O:Saskatchewan Metis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D:Voice of the People" series, V.14; TSCD664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N:Alternative for bar A1: BGEz EFED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H:Yvon Dumont, at the time (Spr 1998) of composing this tune, was the Lieutenant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H:Governor of Manitoba. He was the first Metis person ever to be appointed to this position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H:anywhere in Canada.   (From John Arcand's tunebook.)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[|:"Em"BE2 D EFED|B,EED EFGB|"D"AF D2 DEFD|A,DFG ABcA|!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"Em"BG E2 EFED|B,DEG  B3  B|"D"A2  AG FGAc|1" Em"BGE2  E4  :|]2"Em"BG  EFGA|]!/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[|:"G"Bdzd dedc|Bdzd dedc|"Em"Beze efed|Bdef gfed|!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"G"Bdzd dedB|"G"GABG "D"A2 GA|\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"Em"BE-ED EFED|1" Bm"B,EED "Em"EFGA:|]2"Bm"B,EED  "Em"E2 z2|]!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