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SECTION C - STATEMENT OF WORK</w:t>
      </w:r>
    </w:p>
    <w:p>
      <w:r>
        <w:t xml:space="preserve">This document is a fictional test sample. This acquisition is for one Kestrel spacecraft bus.</w:t>
      </w:r>
    </w:p>
    <w:p>
      <w:pPr>
        <w:pStyle w:val="Heading2"/>
      </w:pPr>
      <w:r>
        <w:t xml:space="preserve">C.1 SCOPE</w:t>
      </w:r>
    </w:p>
    <w:p>
      <w:r>
        <w:t xml:space="preserve">The Contractor shall design, build, and test one Kestrel spacecraft bus.</w:t>
      </w:r>
    </w:p>
    <w:p>
      <w:pPr>
        <w:pStyle w:val="Heading2"/>
      </w:pPr>
      <w:r>
        <w:t xml:space="preserve">C.2 TECHNICAL REQUIREMENTS</w:t>
      </w:r>
    </w:p>
    <w:p>
      <w:r>
        <w:t xml:space="preserve">C.2.1 The Contractor shall provide a thermal design that maintains all components within qualification temperature limits.</w:t>
      </w:r>
    </w:p>
    <w:p>
      <w:r>
        <w:t xml:space="preserve">C.2.2 The Contractor shall deliver the Interface Control Document (CDRL A003) and shall maintain it through launch.</w:t>
      </w:r>
    </w:p>
    <w:p>
      <w:r>
        <w:t xml:space="preserve">The Government will provide the launch vehicle interface definition within 30 days after award.</w:t>
      </w:r>
    </w:p>
    <w:p>
      <w:r>
        <w:t xml:space="preserve">The Contractor should use flight-proven components where practical.</w:t>
      </w:r>
    </w:p>
    <w:p>
      <w:pPr>
        <w:pStyle w:val="Heading1"/>
      </w:pPr>
      <w:r>
        <w:t xml:space="preserve">SECTION L - INSTRUCTIONS, CONDITIONS, AND NOTICES TO OFFERORS</w:t>
      </w:r>
    </w:p>
    <w:p>
      <w:pPr>
        <w:pStyle w:val="Heading2"/>
      </w:pPr>
      <w:r>
        <w:t xml:space="preserve">L.1 GENERAL INSTRUCTIONS</w:t>
      </w:r>
    </w:p>
    <w:p>
      <w:r>
        <w:t xml:space="preserve">Proposals shall not exceed 50 pages, excluding the cover page and table of contents.</w:t>
      </w:r>
    </w:p>
    <w:p>
      <w:r>
        <w:t xml:space="preserve">Text shall be 12-point Times New Roman with 1-inch margins on 8.5 x 11 inch pages.</w:t>
      </w:r>
    </w:p>
    <w:p>
      <w:r>
        <w:t xml:space="preserve">Proposals are due no later than 2:00 p.m. Mountain Time on December 15, 2026.</w:t>
      </w:r>
    </w:p>
    <w:p>
      <w:pPr>
        <w:pStyle w:val="Heading2"/>
      </w:pPr>
      <w:r>
        <w:t xml:space="preserve">L.4 TECHNICAL VOLUME</w:t>
      </w:r>
    </w:p>
    <w:p>
      <w:pPr>
        <w:pStyle w:val="Heading3"/>
      </w:pPr>
      <w:r>
        <w:t xml:space="preserve">L.4.1 Technical Approach</w:t>
      </w:r>
    </w:p>
    <w:p>
      <w:r>
        <w:t xml:space="preserve">The Offeror shall describe its approach to the thermal design required by C.2.1, including analysis methods and margins.</w:t>
      </w:r>
    </w:p>
    <w:p>
      <w:r>
        <w:t xml:space="preserve">The offeror shall: (a) identify the five highest technical risks; (b) describe mitigation plans for each risk; and (c) provide a risk register as Attachment J-3.</w:t>
      </w:r>
    </w:p>
    <w:p>
      <w:r>
        <w:t xml:space="preserve">Describe the verification approach for each requirement in Section C.</w:t>
      </w:r>
    </w:p>
    <w:p>
      <w:pPr>
        <w:pStyle w:val="Heading3"/>
      </w:pPr>
      <w:r>
        <w:t xml:space="preserve">L.4.2 Management Approach</w:t>
      </w:r>
    </w:p>
    <w:p>
      <w:r>
        <w:t xml:space="preserve">The Offeror must provide an Integrated Master Schedule (IMS) as Attachment J-2.</w:t>
      </w:r>
    </w:p>
    <w:p>
      <w:r>
        <w:t xml:space="preserve">The Offeror may include resumes of key personnel. Resumes do not count toward the page limit.</w:t>
      </w:r>
    </w:p>
    <w:p>
      <w:pPr>
        <w:pStyle w:val="Heading1"/>
      </w:pPr>
      <w:r>
        <w:t xml:space="preserve">SECTION M - EVALUATION FACTORS FOR AWARD</w:t>
      </w:r>
    </w:p>
    <w:p>
      <w:pPr>
        <w:pStyle w:val="Heading2"/>
      </w:pPr>
      <w:r>
        <w:t xml:space="preserve">M.1 BASIS FOR AWARD</w:t>
      </w:r>
    </w:p>
    <w:p>
      <w:r>
        <w:t xml:space="preserve">The Government will award a contract to the offeror whose proposal represents the best value to the Government.</w:t>
      </w:r>
    </w:p>
    <w:p>
      <w:pPr>
        <w:pStyle w:val="Heading2"/>
      </w:pPr>
      <w:r>
        <w:t xml:space="preserve">M.2 TECHNICAL FACTOR</w:t>
      </w:r>
    </w:p>
    <w:p>
      <w:r>
        <w:t xml:space="preserve">The Government will evaluate the offeror's thermal design approach and analysis methods for feasibility and risk.</w:t>
      </w:r>
    </w:p>
    <w:p>
      <w:r>
        <w:t xml:space="preserve">The Government will assess the risk register and mitigation plans for completeness.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2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140" w:after="8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120" w:after="80"/>
      <w:outlineLvl w:val="5"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