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Volume II: Technical Approach</w:t>
      </w:r>
    </w:p>
    <w:p>
      <w:pPr>
        <w:pStyle w:val="Heading1"/>
      </w:pPr>
      <w:r>
        <w:t>1. SCOPE OF WORK</w:t>
      </w:r>
    </w:p>
    <w:p>
      <w:r>
        <w:t>This volume responds to RFP No. KES-26-0042 and the attached Statement of Work (SOW). The SOWs for Phase A and Phase B share one Integrated Master Schedule (IMS).</w:t>
      </w:r>
    </w:p>
    <w:p>
      <w:r>
        <w:t>Northwind Orbital will deliver a Low Earth Orbit (LEO) smallsat bus that completes the Critical Design Review (CDR) within 15 months of award. The CDR package includes the Interface Control Document (ICD) and the thermal model.</w:t>
      </w:r>
    </w:p>
    <w:p>
      <w:r>
        <w:t>The propulsion subsystem stores propellant at 3,600 psi in a composite overwrapped pressure vessel (COPV). The battery provides 1.8 kWh at beginning of life, approx. 1.5 kWh at end of life.</w:t>
      </w:r>
    </w:p>
    <w:p>
      <w:r>
        <w:t>All flight software follows NASA-STD-8739.8 and MIL-STD-882E for system safety. The Technology Readiness Level (TRL) of each component is TRL 6 or higher at PDR.</w:t>
      </w:r>
    </w:p>
    <w:p>
      <w:r>
        <w:t>Ground segment operations run w/o a dedicated mission operations center. The DoD customer retains data rights per DFARS 252.227-7013.</w:t>
      </w:r>
    </w:p>
    <w:p>
      <w:r>
        <w:t>Note: values marked TBD will be closed before the System Requirements Review (SRR). The CEO approved this plan. Delivery to the USA launch site occurs in Q3.</w:t>
      </w:r>
    </w:p>
    <w:p>
      <w:r>
        <w:t>OCR sanity line typed as if scanned: the S0W and the RFF both reference the 1MS baseline.</w:t>
      </w:r>
    </w:p>
    <w:p>
      <w:pPr>
        <w:pStyle w:val="Heading1"/>
      </w:pPr>
      <w:r>
        <w:t>2. KEY PERFORMANCE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Threshold</w:t>
            </w:r>
          </w:p>
        </w:tc>
        <w:tc>
          <w:tcPr>
            <w:tcW w:type="dxa" w:w="2880"/>
          </w:tcPr>
          <w:p>
            <w:r>
              <w:t>Objective</w:t>
            </w:r>
          </w:p>
        </w:tc>
      </w:tr>
      <w:tr>
        <w:tc>
          <w:tcPr>
            <w:tcW w:type="dxa" w:w="2880"/>
          </w:tcPr>
          <w:p>
            <w:r>
              <w:t>Pointing accuracy (ADCS)</w:t>
            </w:r>
          </w:p>
        </w:tc>
        <w:tc>
          <w:tcPr>
            <w:tcW w:type="dxa" w:w="2880"/>
          </w:tcPr>
          <w:p>
            <w:r>
              <w:t>0.1 deg</w:t>
            </w:r>
          </w:p>
        </w:tc>
        <w:tc>
          <w:tcPr>
            <w:tcW w:type="dxa" w:w="2880"/>
          </w:tcPr>
          <w:p>
            <w:r>
              <w:t>0.05 deg</w:t>
            </w:r>
          </w:p>
        </w:tc>
      </w:tr>
      <w:tr>
        <w:tc>
          <w:tcPr>
            <w:tcW w:type="dxa" w:w="2880"/>
          </w:tcPr>
          <w:p>
            <w:r>
              <w:t>Downlink rate (TT&amp;C)</w:t>
            </w:r>
          </w:p>
        </w:tc>
        <w:tc>
          <w:tcPr>
            <w:tcW w:type="dxa" w:w="2880"/>
          </w:tcPr>
          <w:p>
            <w:r>
              <w:t>2 Mbps</w:t>
            </w:r>
          </w:p>
        </w:tc>
        <w:tc>
          <w:tcPr>
            <w:tcW w:type="dxa" w:w="2880"/>
          </w:tcPr>
          <w:p>
            <w:r>
              <w:t>10 Mbps</w:t>
            </w:r>
          </w:p>
        </w:tc>
      </w:tr>
      <w:tr>
        <w:tc>
          <w:tcPr>
            <w:tcW w:type="dxa" w:w="2880"/>
          </w:tcPr>
          <w:p>
            <w:r>
              <w:t>Bus voltage (EPS)</w:t>
            </w:r>
          </w:p>
        </w:tc>
        <w:tc>
          <w:tcPr>
            <w:tcW w:type="dxa" w:w="2880"/>
          </w:tcPr>
          <w:p>
            <w:r>
              <w:t>28 V</w:t>
            </w:r>
          </w:p>
        </w:tc>
        <w:tc>
          <w:tcPr>
            <w:tcW w:type="dxa" w:w="2880"/>
          </w:tcPr>
          <w:p>
            <w:r>
              <w:t>28 V +/- 2 V</w:t>
            </w:r>
          </w:p>
        </w:tc>
      </w:tr>
      <w:tr>
        <w:tc>
          <w:tcPr>
            <w:tcW w:type="dxa" w:w="2880"/>
          </w:tcPr>
          <w:p>
            <w:r>
              <w:t>Payload mass</w:t>
            </w:r>
          </w:p>
        </w:tc>
        <w:tc>
          <w:tcPr>
            <w:tcW w:type="dxa" w:w="2880"/>
          </w:tcPr>
          <w:p>
            <w:r>
              <w:t>45 kg</w:t>
            </w:r>
          </w:p>
        </w:tc>
        <w:tc>
          <w:tcPr>
            <w:tcW w:type="dxa" w:w="2880"/>
          </w:tcPr>
          <w:p>
            <w:r>
              <w:t>60 kg</w:t>
            </w:r>
          </w:p>
        </w:tc>
      </w:tr>
      <w:tr>
        <w:tc>
          <w:tcPr>
            <w:tcW w:type="dxa" w:w="2880"/>
          </w:tcPr>
          <w:p>
            <w:r>
              <w:t>Thrust</w:t>
            </w:r>
          </w:p>
        </w:tc>
        <w:tc>
          <w:tcPr>
            <w:tcW w:type="dxa" w:w="2880"/>
          </w:tcPr>
          <w:p>
            <w:r>
              <w:t>22 N</w:t>
            </w:r>
          </w:p>
        </w:tc>
        <w:tc>
          <w:tcPr>
            <w:tcW w:type="dxa" w:w="2880"/>
          </w:tcPr>
          <w:p>
            <w:r>
              <w:t>25 N</w:t>
            </w:r>
          </w:p>
        </w:tc>
      </w:tr>
    </w:tbl>
    <w:p>
      <w:pPr>
        <w:pStyle w:val="Heading1"/>
      </w:pPr>
      <w:r>
        <w:t>3. THERMAL DESIGN</w:t>
      </w:r>
    </w:p>
    <w:p>
      <w:r>
        <w:t>Figure 4 summarizes the thermal control approach. The radiator assy. is mounted on the anti-sun panel.</w:t>
      </w:r>
    </w:p>
    <w:p>
      <w:r>
        <w:drawing>
          <wp:inline xmlns:a="http://schemas.openxmlformats.org/drawingml/2006/main" xmlns:pic="http://schemas.openxmlformats.org/drawingml/2006/picture">
            <wp:extent cx="5486400" cy="2377440"/>
            <wp:docPr id="1" name="Picture 1"/>
            <wp:cNvGraphicFramePr>
              <a:graphicFrameLocks noChangeAspect="1"/>
            </wp:cNvGraphicFramePr>
            <a:graphic>
              <a:graphicData uri="http://schemas.openxmlformats.org/drawingml/2006/picture">
                <pic:pic>
                  <pic:nvPicPr>
                    <pic:cNvPr id="0" name="thermal.png"/>
                    <pic:cNvPicPr/>
                  </pic:nvPicPr>
                  <pic:blipFill>
                    <a:blip r:embed="rId11"/>
                    <a:stretch>
                      <a:fillRect/>
                    </a:stretch>
                  </pic:blipFill>
                  <pic:spPr>
                    <a:xfrm>
                      <a:off x="0" y="0"/>
                      <a:ext cx="5486400" cy="237744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Use or disclosure subject to the restrictions on the title page. ITAR-SAMPLE marking for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Northwind Orbital | Kestrel Technical Volume | CUI-SAMPLE (fictional test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