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bottom w:color="000000" w:space="0" w:sz="0" w:val="none"/>
        </w:pBdr>
        <w:tabs>
          <w:tab w:val="left" w:leader="none" w:pos="0"/>
        </w:tabs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8"/>
          <w:szCs w:val="28"/>
          <w:rtl w:val="0"/>
        </w:rPr>
        <w:t xml:space="preserve">Nicholas Ng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ind w:left="0" w:firstLine="0"/>
        <w:rPr>
          <w:color w:val="1155cc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22"/>
            <w:szCs w:val="22"/>
            <w:rtl w:val="0"/>
          </w:rPr>
          <w:t xml:space="preserve">nicholas@nicholasng.me</w:t>
        </w:r>
      </w:hyperlink>
      <w:r w:rsidDel="00000000" w:rsidR="00000000" w:rsidRPr="00000000">
        <w:rPr>
          <w:b w:val="1"/>
          <w:sz w:val="22"/>
          <w:szCs w:val="22"/>
          <w:rtl w:val="0"/>
        </w:rPr>
        <w:tab/>
        <w:t xml:space="preserve">phone: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(510) 333-6355</w:t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ind w:left="0" w:firstLine="0"/>
        <w:rPr>
          <w:color w:val="1155cc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linkedin:</w:t>
      </w:r>
      <w:hyperlink r:id="rId7">
        <w:r w:rsidDel="00000000" w:rsidR="00000000" w:rsidRPr="00000000">
          <w:rPr>
            <w:b w:val="1"/>
            <w:color w:val="1155cc"/>
            <w:sz w:val="22"/>
            <w:szCs w:val="22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2"/>
            <w:szCs w:val="22"/>
            <w:rtl w:val="0"/>
          </w:rPr>
          <w:t xml:space="preserve">linkedin.com/in/nicholasngtpm</w:t>
        </w:r>
      </w:hyperlink>
      <w:r w:rsidDel="00000000" w:rsidR="00000000" w:rsidRPr="00000000">
        <w:rPr>
          <w:b w:val="1"/>
          <w:sz w:val="22"/>
          <w:szCs w:val="22"/>
          <w:rtl w:val="0"/>
        </w:rPr>
        <w:tab/>
        <w:t xml:space="preserve">location: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Apple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Staff Program Manager</w:t>
        <w:tab/>
        <w:t xml:space="preserve">September 2022 – May 2023</w:t>
      </w:r>
    </w:p>
    <w:p w:rsidR="00000000" w:rsidDel="00000000" w:rsidP="00000000" w:rsidRDefault="00000000" w:rsidRPr="00000000" w14:paraId="00000008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Core Data Management – Worldwide Sales</w:t>
      </w:r>
    </w:p>
    <w:p w:rsidR="00000000" w:rsidDel="00000000" w:rsidP="00000000" w:rsidRDefault="00000000" w:rsidRPr="00000000" w14:paraId="00000009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Spearheaded a global roadmap to align sales strategies with product management, implementing risk management strategies that boosted sales efficiency by 15% and reduced time-to-market by 20%.</w:t>
      </w:r>
    </w:p>
    <w:p w:rsidR="00000000" w:rsidDel="00000000" w:rsidP="00000000" w:rsidRDefault="00000000" w:rsidRPr="00000000" w14:paraId="0000000B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Streamlined request process, established concise requirements, and refined feature scope, cutting backlog by 33% and enhancing delivery speed by 25%.</w:t>
      </w:r>
    </w:p>
    <w:p w:rsidR="00000000" w:rsidDel="00000000" w:rsidP="00000000" w:rsidRDefault="00000000" w:rsidRPr="00000000" w14:paraId="0000000C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Led recurring global forums to brief sales leadership on new product features and policies, fostering enhanced collaboration across functions and time zones.</w:t>
      </w:r>
    </w:p>
    <w:p w:rsidR="00000000" w:rsidDel="00000000" w:rsidP="00000000" w:rsidRDefault="00000000" w:rsidRPr="00000000" w14:paraId="0000000D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King Games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0F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Technical Program Manager</w:t>
        <w:tab/>
        <w:t xml:space="preserve">September 2021 – August 2022</w:t>
      </w:r>
    </w:p>
    <w:p w:rsidR="00000000" w:rsidDel="00000000" w:rsidP="00000000" w:rsidRDefault="00000000" w:rsidRPr="00000000" w14:paraId="00000010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Candy Crush VIP and Loyalty Program</w:t>
      </w:r>
    </w:p>
    <w:p w:rsidR="00000000" w:rsidDel="00000000" w:rsidP="00000000" w:rsidRDefault="00000000" w:rsidRPr="00000000" w14:paraId="00000011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Directed the program application’s technical launch by leading an international team across Candy Crush, loyalty programs, UX/UI, product management, and engineering, boosting player engagement and retention through a new bonus system, digital storefront, exclusive content, and dashboarding features.</w:t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Surpassed 3-quarter pilot projections with $400K in monthly bookings (+10%), 70K unique monthly visitors (+25% return rate), and 63K reward redemptions (+20% conversion).</w:t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Developed a detailed program dashboard to monitor participant KPIs from various data sources, guiding adaptive roadmap and content strategies that resulted in a 10% monthly boost in engagement metrics, including NPS, visits, and time on site.</w:t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ind w:left="135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Rally Health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17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Lead Technical Program Manager</w:t>
        <w:tab/>
        <w:t xml:space="preserve">January 2019 – September 2021</w:t>
      </w:r>
    </w:p>
    <w:p w:rsidR="00000000" w:rsidDel="00000000" w:rsidP="00000000" w:rsidRDefault="00000000" w:rsidRPr="00000000" w14:paraId="00000018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Medicare Fitness product launch</w:t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Launched the UHC Medicare fitness program, ranking among the top 10 initiatives and generating $215M in first-year enrollment revenue.</w:t>
      </w:r>
    </w:p>
    <w:p w:rsidR="00000000" w:rsidDel="00000000" w:rsidP="00000000" w:rsidRDefault="00000000" w:rsidRPr="00000000" w14:paraId="0000001B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Launched a multiplatform fitness application, overseeing 15+ cross-functional teams. Delivery of features, services, and content led to utilization (+2%) and satisfaction (NPS +5%) over projections.</w:t>
      </w:r>
    </w:p>
    <w:p w:rsidR="00000000" w:rsidDel="00000000" w:rsidP="00000000" w:rsidRDefault="00000000" w:rsidRPr="00000000" w14:paraId="0000001C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Directed digital ad campaign content and distribution strategies with marketing, analytics, and commercial partners Fitbit and AARP, securing 750K new members.</w:t>
      </w:r>
    </w:p>
    <w:p w:rsidR="00000000" w:rsidDel="00000000" w:rsidP="00000000" w:rsidRDefault="00000000" w:rsidRPr="00000000" w14:paraId="0000001D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Implemented a media portal to address COVID restrictions, providing members access to 12,000+ virtual and streaming classes and re-establishing utilization from 0% to 20%. </w:t>
      </w:r>
    </w:p>
    <w:p w:rsidR="00000000" w:rsidDel="00000000" w:rsidP="00000000" w:rsidRDefault="00000000" w:rsidRPr="00000000" w14:paraId="0000001E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Developer advocacy program </w:t>
      </w:r>
    </w:p>
    <w:p w:rsidR="00000000" w:rsidDel="00000000" w:rsidP="00000000" w:rsidRDefault="00000000" w:rsidRPr="00000000" w14:paraId="00000020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Saved $1M annually by consolidating 100+ engineering activities into five unified DevOps programs, optimizing resources, and streamlining development pipelines.</w:t>
      </w:r>
    </w:p>
    <w:p w:rsidR="00000000" w:rsidDel="00000000" w:rsidP="00000000" w:rsidRDefault="00000000" w:rsidRPr="00000000" w14:paraId="00000022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Optimized communication and workflow among 500+ engineers by deploying Stack Overflow for Teams, reducing resolution times by 30% and promoting knowledge sharing and collaboration.</w:t>
      </w:r>
    </w:p>
    <w:p w:rsidR="00000000" w:rsidDel="00000000" w:rsidP="00000000" w:rsidRDefault="00000000" w:rsidRPr="00000000" w14:paraId="00000023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Streamlined development processes by transitioning five pilot teams from a homegrown CI/CD pipeline to Helm charts and GitHub actions, reducing cycle times from 2 weeks to 1.5 days.</w:t>
      </w:r>
    </w:p>
    <w:p w:rsidR="00000000" w:rsidDel="00000000" w:rsidP="00000000" w:rsidRDefault="00000000" w:rsidRPr="00000000" w14:paraId="00000024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PMO leadership team</w:t>
      </w:r>
    </w:p>
    <w:p w:rsidR="00000000" w:rsidDel="00000000" w:rsidP="00000000" w:rsidRDefault="00000000" w:rsidRPr="00000000" w14:paraId="00000027">
      <w:pPr>
        <w:spacing w:line="12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Championed a TPM practices committee to establish roles and responsibilities, create processes, generate artifacts, and enhance collaboration and communication across product management, software engineering, and PMO leadership and teams.</w:t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Aligned teams on SDLC, business processes, and Agile delivery by standardizing onboarding, centralizing documentation, and facilitating team collaboration and feedback.</w:t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1080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Box</w:t>
        <w:tab/>
        <w:t xml:space="preserve">Redwood City, CA</w:t>
      </w:r>
    </w:p>
    <w:p w:rsidR="00000000" w:rsidDel="00000000" w:rsidP="00000000" w:rsidRDefault="00000000" w:rsidRPr="00000000" w14:paraId="0000002C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Technical Program Manager</w:t>
        <w:tab/>
        <w:t xml:space="preserve">April 2018 – December 2018</w:t>
      </w:r>
    </w:p>
    <w:p w:rsidR="00000000" w:rsidDel="00000000" w:rsidP="00000000" w:rsidRDefault="00000000" w:rsidRPr="00000000" w14:paraId="0000002D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Hardware engineering program launch</w:t>
      </w:r>
    </w:p>
    <w:p w:rsidR="00000000" w:rsidDel="00000000" w:rsidP="00000000" w:rsidRDefault="00000000" w:rsidRPr="00000000" w14:paraId="0000002E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Established Box’s centralized hardware engineering program, unifying the management of 30+ hardware configurations across 50+ services.</w:t>
      </w:r>
    </w:p>
    <w:p w:rsidR="00000000" w:rsidDel="00000000" w:rsidP="00000000" w:rsidRDefault="00000000" w:rsidRPr="00000000" w14:paraId="00000030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Identified and capitalized on a $2M savings for Box by reengineering hardware for a storage solution that doubled performance at 25% lower TCO.</w:t>
      </w:r>
    </w:p>
    <w:p w:rsidR="00000000" w:rsidDel="00000000" w:rsidP="00000000" w:rsidRDefault="00000000" w:rsidRPr="00000000" w14:paraId="00000031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Increased solution decision time by 25% through tripling hardware evaluation capacity by delegating testing (DVT, PVT), analysis, and reporting to manufacturing and implementation partners</w:t>
      </w:r>
    </w:p>
    <w:p w:rsidR="00000000" w:rsidDel="00000000" w:rsidP="00000000" w:rsidRDefault="00000000" w:rsidRPr="00000000" w14:paraId="00000032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Machine Zone</w:t>
        <w:tab/>
        <w:t xml:space="preserve">Palo Alto, CA</w:t>
      </w:r>
    </w:p>
    <w:p w:rsidR="00000000" w:rsidDel="00000000" w:rsidP="00000000" w:rsidRDefault="00000000" w:rsidRPr="00000000" w14:paraId="00000034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Technical Program Manager</w:t>
        <w:tab/>
        <w:t xml:space="preserve">June 2016 – March 2018</w:t>
      </w:r>
    </w:p>
    <w:p w:rsidR="00000000" w:rsidDel="00000000" w:rsidP="00000000" w:rsidRDefault="00000000" w:rsidRPr="00000000" w14:paraId="00000035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Application resilience testing </w:t>
      </w:r>
    </w:p>
    <w:p w:rsidR="00000000" w:rsidDel="00000000" w:rsidP="00000000" w:rsidRDefault="00000000" w:rsidRPr="00000000" w14:paraId="00000036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Led CTO initiative to bolster production resiliency, testing 15 services and 40 data stores for MZ games, serving 3M daily active users and monthly revenues of $45M.</w:t>
      </w:r>
    </w:p>
    <w:p w:rsidR="00000000" w:rsidDel="00000000" w:rsidP="00000000" w:rsidRDefault="00000000" w:rsidRPr="00000000" w14:paraId="00000038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Designed and implemented failure injection testing, coordinated support resources, and led company-wide communications.</w:t>
      </w:r>
    </w:p>
    <w:p w:rsidR="00000000" w:rsidDel="00000000" w:rsidP="00000000" w:rsidRDefault="00000000" w:rsidRPr="00000000" w14:paraId="00000039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Directed the roadmap for application and infrastructure improvements, boosting availability from 97.0% to 99.0% and achieving $750K in monthly savings.</w:t>
      </w:r>
    </w:p>
    <w:p w:rsidR="00000000" w:rsidDel="00000000" w:rsidP="00000000" w:rsidRDefault="00000000" w:rsidRPr="00000000" w14:paraId="0000003A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Data analytics services launch</w:t>
      </w:r>
    </w:p>
    <w:p w:rsidR="00000000" w:rsidDel="00000000" w:rsidP="00000000" w:rsidRDefault="00000000" w:rsidRPr="00000000" w14:paraId="0000003C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Led the launch of a data analytics pod under an executive initiative, enhancing data collection, analysis, capacity, security, and efficiency across the data management spectrum.</w:t>
      </w:r>
    </w:p>
    <w:p w:rsidR="00000000" w:rsidDel="00000000" w:rsidP="00000000" w:rsidRDefault="00000000" w:rsidRPr="00000000" w14:paraId="0000003E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Engineered and deployed a 160-cabinet hardware and software suite, incorporating a comprehensive technology stack including Hadoop, Vertica, Druid, Kafka, Spark, Storm, Kylo, Elasticsearch, and Kibana. </w:t>
      </w:r>
    </w:p>
    <w:p w:rsidR="00000000" w:rsidDel="00000000" w:rsidP="00000000" w:rsidRDefault="00000000" w:rsidRPr="00000000" w14:paraId="0000003F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Led the seamless migration of 120+ datasets, 200+ workloads, and 100+ pipeline jobs, achieving a 30% cut in data processing time and enhanced data accuracy.</w:t>
      </w:r>
    </w:p>
    <w:p w:rsidR="00000000" w:rsidDel="00000000" w:rsidP="00000000" w:rsidRDefault="00000000" w:rsidRPr="00000000" w14:paraId="00000040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Lines w:val="1"/>
        <w:widowControl w:val="1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CERTIFICATIONS</w:t>
      </w:r>
    </w:p>
    <w:p w:rsidR="00000000" w:rsidDel="00000000" w:rsidP="00000000" w:rsidRDefault="00000000" w:rsidRPr="00000000" w14:paraId="00000042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Project Management Institute -</w:t>
      </w:r>
      <w:r w:rsidDel="00000000" w:rsidR="00000000" w:rsidRPr="00000000">
        <w:rPr>
          <w:sz w:val="22"/>
          <w:szCs w:val="22"/>
          <w:rtl w:val="0"/>
        </w:rPr>
        <w:t xml:space="preserve"> Project Management Professional PMP (1392223) (expired July 2020)</w:t>
      </w:r>
    </w:p>
    <w:p w:rsidR="00000000" w:rsidDel="00000000" w:rsidP="00000000" w:rsidRDefault="00000000" w:rsidRPr="00000000" w14:paraId="00000043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AXELOS -</w:t>
      </w:r>
      <w:r w:rsidDel="00000000" w:rsidR="00000000" w:rsidRPr="00000000">
        <w:rPr>
          <w:sz w:val="22"/>
          <w:szCs w:val="22"/>
          <w:rtl w:val="0"/>
        </w:rPr>
        <w:t xml:space="preserve"> ITIL V3 Foundations</w:t>
      </w:r>
    </w:p>
    <w:p w:rsidR="00000000" w:rsidDel="00000000" w:rsidP="00000000" w:rsidRDefault="00000000" w:rsidRPr="00000000" w14:paraId="00000044">
      <w:pPr>
        <w:pBdr>
          <w:bottom w:color="000000" w:space="1" w:sz="6" w:val="single"/>
        </w:pBdr>
        <w:spacing w:after="120" w:lineRule="auto"/>
        <w:ind w:left="18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Rule="auto"/>
        <w:ind w:left="180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SKILLS</w:t>
      </w:r>
    </w:p>
    <w:tbl>
      <w:tblPr>
        <w:tblStyle w:val="Table1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 management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Portfolio management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management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Stakeholder management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Technical architecture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Change management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Agile/Scrum leadership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Jira/Confluence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CI/CD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SDLC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visualization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Quality assurance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Vendor management</w:t>
            </w:r>
          </w:p>
          <w:p w:rsidR="00000000" w:rsidDel="00000000" w:rsidP="00000000" w:rsidRDefault="00000000" w:rsidRPr="00000000" w14:paraId="0000005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DevOps/SRE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Cloud computing AWS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science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Hardware/datacenter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Technical writing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Master data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design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KPI tracking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Roadmap management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Budget management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Risk management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Developer tools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API development</w:t>
            </w:r>
          </w:p>
        </w:tc>
      </w:tr>
    </w:tbl>
    <w:p w:rsidR="00000000" w:rsidDel="00000000" w:rsidP="00000000" w:rsidRDefault="00000000" w:rsidRPr="00000000" w14:paraId="00000061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 w:right="-115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62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 w:right="-11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University of California at Berkeley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-</w:t>
      </w:r>
      <w:r w:rsidDel="00000000" w:rsidR="00000000" w:rsidRPr="00000000">
        <w:rPr>
          <w:sz w:val="22"/>
          <w:szCs w:val="22"/>
          <w:rtl w:val="0"/>
        </w:rPr>
        <w:t xml:space="preserve"> B.A. Economics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720" w:top="720" w:left="720" w:right="720" w:header="1152" w:footer="33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Aquiline Book"/>
  <w:font w:name="Noto Sans Symbols">
    <w:embedRegular w:fontKey="{00000000-0000-0000-0000-000000000000}" r:id="rId3" w:subsetted="0"/>
    <w:embedBold w:fontKey="{00000000-0000-0000-0000-000000000000}" r:id="rId4" w:subsetted="0"/>
  </w:font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0" w:lineRule="auto"/>
      <w:jc w:val="right"/>
    </w:pPr>
    <w:rPr>
      <w:rFonts w:ascii="Tahoma" w:cs="Tahoma" w:eastAsia="Tahoma" w:hAnsi="Tahoma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pBdr>
        <w:bottom w:color="000000" w:space="2" w:sz="6" w:val="single"/>
      </w:pBdr>
      <w:tabs>
        <w:tab w:val="left" w:leader="none" w:pos="0"/>
      </w:tabs>
      <w:ind w:right="36"/>
      <w:jc w:val="both"/>
    </w:pPr>
    <w:rPr>
      <w:rFonts w:ascii="Palatino" w:cs="Palatino" w:eastAsia="Palatino" w:hAnsi="Palatino"/>
      <w:b w:val="1"/>
      <w:smallCaps w:val="1"/>
      <w:color w:val="ffffff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0"/>
      </w:tabs>
      <w:ind w:right="-108"/>
      <w:jc w:val="both"/>
    </w:pPr>
    <w:rPr>
      <w:rFonts w:ascii="Aquiline Book" w:cs="Aquiline Book" w:eastAsia="Aquiline Book" w:hAnsi="Aquiline Book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nicholas@nicholasng.me" TargetMode="External"/><Relationship Id="rId7" Type="http://schemas.openxmlformats.org/officeDocument/2006/relationships/hyperlink" Target="https://www.linkedin.com/in/nicholasngtpm/" TargetMode="External"/><Relationship Id="rId8" Type="http://schemas.openxmlformats.org/officeDocument/2006/relationships/hyperlink" Target="https://www.linkedin.com/in/nicholasngtp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