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92958" w14:textId="6360CC49" w:rsidR="0006511D" w:rsidRDefault="00BB36B6" w:rsidP="00BB36B6">
      <w:pPr>
        <w:pStyle w:val="Title"/>
      </w:pPr>
      <w:r w:rsidRPr="00BB36B6">
        <w:t>Stak</w:t>
      </w:r>
      <w:bookmarkStart w:id="0" w:name="_GoBack"/>
      <w:bookmarkEnd w:id="0"/>
      <w:r w:rsidRPr="00BB36B6">
        <w:t xml:space="preserve">eholder </w:t>
      </w:r>
      <w:r>
        <w:t>Types</w:t>
      </w:r>
    </w:p>
    <w:p w14:paraId="3638B39A" w14:textId="1DD5AFB6" w:rsidR="00A827BB" w:rsidRDefault="00A827BB" w:rsidP="002F5CDF">
      <w:pPr>
        <w:pStyle w:val="Heading1"/>
      </w:pPr>
      <w:r>
        <w:t>Theoretical frameworks</w:t>
      </w:r>
    </w:p>
    <w:p w14:paraId="5C4FBB42" w14:textId="4EF20864" w:rsidR="00A827BB" w:rsidRDefault="00A827BB" w:rsidP="00A827BB">
      <w:pPr>
        <w:pStyle w:val="Heading3"/>
      </w:pPr>
      <w:r>
        <w:t>Latent, expectant, derivative</w:t>
      </w:r>
    </w:p>
    <w:p w14:paraId="51D8F09D" w14:textId="77777777" w:rsidR="00A827BB" w:rsidRDefault="00A827BB" w:rsidP="00A827BB">
      <w:r>
        <w:t xml:space="preserve">Mitchell et al. </w:t>
      </w:r>
      <w:r>
        <w:fldChar w:fldCharType="begin" w:fldLock="1"/>
      </w:r>
      <w:r>
        <w:instrText>ADDIN CSL_CITATION { "citationItems" : [ { "id" : "ITEM-1", "itemData" : { "author" : [ { "dropping-particle" : "", "family" : "Mitchell", "given" : "Ronald K", "non-dropping-particle" : "", "parse-names" : false, "suffix" : "" }, { "dropping-particle" : "", "family" : "Agle", "given" : "Bradley R", "non-dropping-particle" : "", "parse-names" : false, "suffix" : "" }, { "dropping-particle" : "", "family" : "Wood", "given" : "Donna J", "non-dropping-particle" : "", "parse-names" : false, "suffix" : "" } ], "container-title" : "Academy of Management Review", "id" : "ITEM-1", "issue" : "4", "issued" : { "date-parts" : [ [ "1997" ] ] }, "page" : "853-886", "title" : "Toward a Theory of Stakeholder Identification and Salience: Defining the Principle of Who and What Really Counts", "type" : "article-journal", "volume" : "22" }, "suppress-author" : 1, "uris" : [ "http://www.mendeley.com/documents/?uuid=a2f2bf78-7166-4786-a64b-2453ef326123" ] } ], "mendeley" : { "formattedCitation" : "(1997)", "plainTextFormattedCitation" : "(1997)", "previouslyFormattedCitation" : "(1997)" }, "properties" : {  }, "schema" : "https://github.com/citation-style-language/schema/raw/master/csl-citation.json" }</w:instrText>
      </w:r>
      <w:r>
        <w:fldChar w:fldCharType="separate"/>
      </w:r>
      <w:r w:rsidRPr="003D5327">
        <w:rPr>
          <w:noProof/>
        </w:rPr>
        <w:t>(1997)</w:t>
      </w:r>
      <w:r>
        <w:fldChar w:fldCharType="end"/>
      </w:r>
      <w:r>
        <w:t xml:space="preserve"> describe eight qualitative classes of stakeholders based on combinations of power, legitimacy, and urgency:</w:t>
      </w:r>
    </w:p>
    <w:p w14:paraId="0A93A0C3" w14:textId="77777777" w:rsidR="00A827BB" w:rsidRDefault="00A827BB" w:rsidP="00A827BB"/>
    <w:p w14:paraId="5C8B17A1" w14:textId="77777777" w:rsidR="00A827BB" w:rsidRDefault="00A827BB" w:rsidP="00A827BB">
      <w:pPr>
        <w:pStyle w:val="Caption"/>
        <w:keepNext/>
        <w:ind w:left="1440" w:right="1440"/>
        <w:jc w:val="both"/>
      </w:pPr>
      <w:r>
        <w:t xml:space="preserve">Table </w:t>
      </w:r>
      <w:fldSimple w:instr=" SEQ Table \* ARABIC ">
        <w:r>
          <w:rPr>
            <w:noProof/>
          </w:rPr>
          <w:t>1</w:t>
        </w:r>
      </w:fldSimple>
      <w:r>
        <w:t xml:space="preserve">: Seven stakeholder types and three classes defined by combinations of power, legitimacy, and urgency </w:t>
      </w:r>
      <w:r>
        <w:fldChar w:fldCharType="begin" w:fldLock="1"/>
      </w:r>
      <w:r>
        <w:instrText>ADDIN CSL_CITATION { "citationItems" : [ { "id" : "ITEM-1", "itemData" : { "author" : [ { "dropping-particle" : "", "family" : "Mitchell", "given" : "Ronald K", "non-dropping-particle" : "", "parse-names" : false, "suffix" : "" }, { "dropping-particle" : "", "family" : "Agle", "given" : "Bradley R", "non-dropping-particle" : "", "parse-names" : false, "suffix" : "" }, { "dropping-particle" : "", "family" : "Wood", "given" : "Donna J", "non-dropping-particle" : "", "parse-names" : false, "suffix" : "" } ], "container-title" : "Academy of Management Review", "id" : "ITEM-1", "issue" : "4", "issued" : { "date-parts" : [ [ "1997" ] ] }, "page" : "853-886", "title" : "Toward a Theory of Stakeholder Identification and Salience: Defining the Principle of Who and What Really Counts", "type" : "article-journal", "volume" : "22" }, "uris" : [ "http://www.mendeley.com/documents/?uuid=a2f2bf78-7166-4786-a64b-2453ef326123" ] } ], "mendeley" : { "formattedCitation" : "(Mitchell et al., 1997)", "plainTextFormattedCitation" : "(Mitchell et al., 1997)", "previouslyFormattedCitation" : "(Mitchell et al., 1997)" }, "properties" : {  }, "schema" : "https://github.com/citation-style-language/schema/raw/master/csl-citation.json" }</w:instrText>
      </w:r>
      <w:r>
        <w:fldChar w:fldCharType="separate"/>
      </w:r>
      <w:r w:rsidRPr="003D5327">
        <w:rPr>
          <w:noProof/>
        </w:rPr>
        <w:t>(Mitchell et al., 1997)</w:t>
      </w:r>
      <w:r>
        <w:fldChar w:fldCharType="end"/>
      </w:r>
      <w:r>
        <w:t>. The three classes are determined by whether a stakeholder has one, two, or all three characteristics.</w:t>
      </w:r>
    </w:p>
    <w:tbl>
      <w:tblPr>
        <w:tblStyle w:val="TableGrid"/>
        <w:tblW w:w="0" w:type="auto"/>
        <w:jc w:val="center"/>
        <w:tblLook w:val="04A0" w:firstRow="1" w:lastRow="0" w:firstColumn="1" w:lastColumn="0" w:noHBand="0" w:noVBand="1"/>
      </w:tblPr>
      <w:tblGrid>
        <w:gridCol w:w="336"/>
        <w:gridCol w:w="1523"/>
        <w:gridCol w:w="3260"/>
        <w:gridCol w:w="1190"/>
      </w:tblGrid>
      <w:tr w:rsidR="00A827BB" w14:paraId="4B842EBC" w14:textId="77777777" w:rsidTr="00A827BB">
        <w:trPr>
          <w:jc w:val="center"/>
        </w:trPr>
        <w:tc>
          <w:tcPr>
            <w:tcW w:w="0" w:type="auto"/>
            <w:tcBorders>
              <w:top w:val="double" w:sz="4" w:space="0" w:color="auto"/>
              <w:left w:val="nil"/>
              <w:bottom w:val="single" w:sz="4" w:space="0" w:color="auto"/>
              <w:right w:val="nil"/>
            </w:tcBorders>
          </w:tcPr>
          <w:p w14:paraId="5F165D91" w14:textId="77777777" w:rsidR="00A827BB" w:rsidRDefault="00A827BB" w:rsidP="00E86165"/>
        </w:tc>
        <w:tc>
          <w:tcPr>
            <w:tcW w:w="0" w:type="auto"/>
            <w:tcBorders>
              <w:top w:val="double" w:sz="4" w:space="0" w:color="auto"/>
              <w:left w:val="nil"/>
              <w:bottom w:val="single" w:sz="4" w:space="0" w:color="auto"/>
              <w:right w:val="nil"/>
            </w:tcBorders>
          </w:tcPr>
          <w:p w14:paraId="78107AF5" w14:textId="77777777" w:rsidR="00A827BB" w:rsidRPr="003D5327" w:rsidRDefault="00A827BB" w:rsidP="00E86165">
            <w:pPr>
              <w:rPr>
                <w:b/>
              </w:rPr>
            </w:pPr>
            <w:r w:rsidRPr="003D5327">
              <w:rPr>
                <w:b/>
              </w:rPr>
              <w:t>Type</w:t>
            </w:r>
          </w:p>
        </w:tc>
        <w:tc>
          <w:tcPr>
            <w:tcW w:w="0" w:type="auto"/>
            <w:tcBorders>
              <w:top w:val="double" w:sz="4" w:space="0" w:color="auto"/>
              <w:left w:val="nil"/>
              <w:bottom w:val="single" w:sz="4" w:space="0" w:color="auto"/>
              <w:right w:val="nil"/>
            </w:tcBorders>
          </w:tcPr>
          <w:p w14:paraId="2B4A0FCD" w14:textId="77777777" w:rsidR="00A827BB" w:rsidRPr="003D5327" w:rsidRDefault="00A827BB" w:rsidP="00E86165">
            <w:pPr>
              <w:rPr>
                <w:b/>
              </w:rPr>
            </w:pPr>
            <w:r w:rsidRPr="003D5327">
              <w:rPr>
                <w:b/>
              </w:rPr>
              <w:t>Characteristics</w:t>
            </w:r>
          </w:p>
        </w:tc>
        <w:tc>
          <w:tcPr>
            <w:tcW w:w="0" w:type="auto"/>
            <w:tcBorders>
              <w:top w:val="double" w:sz="4" w:space="0" w:color="auto"/>
              <w:left w:val="nil"/>
              <w:bottom w:val="single" w:sz="4" w:space="0" w:color="auto"/>
              <w:right w:val="nil"/>
            </w:tcBorders>
          </w:tcPr>
          <w:p w14:paraId="534CFC9F" w14:textId="77777777" w:rsidR="00A827BB" w:rsidRPr="003D5327" w:rsidRDefault="00A827BB" w:rsidP="00E86165">
            <w:pPr>
              <w:rPr>
                <w:b/>
              </w:rPr>
            </w:pPr>
            <w:r w:rsidRPr="003D5327">
              <w:rPr>
                <w:b/>
              </w:rPr>
              <w:t>Class</w:t>
            </w:r>
          </w:p>
        </w:tc>
      </w:tr>
      <w:tr w:rsidR="00A827BB" w14:paraId="1FD27B4B" w14:textId="77777777" w:rsidTr="00A827BB">
        <w:trPr>
          <w:jc w:val="center"/>
        </w:trPr>
        <w:tc>
          <w:tcPr>
            <w:tcW w:w="0" w:type="auto"/>
            <w:tcBorders>
              <w:top w:val="single" w:sz="4" w:space="0" w:color="auto"/>
              <w:left w:val="nil"/>
              <w:bottom w:val="nil"/>
              <w:right w:val="nil"/>
            </w:tcBorders>
          </w:tcPr>
          <w:p w14:paraId="2901CD5F" w14:textId="77777777" w:rsidR="00A827BB" w:rsidRDefault="00A827BB" w:rsidP="00E86165">
            <w:r>
              <w:t>1</w:t>
            </w:r>
          </w:p>
        </w:tc>
        <w:tc>
          <w:tcPr>
            <w:tcW w:w="0" w:type="auto"/>
            <w:tcBorders>
              <w:top w:val="single" w:sz="4" w:space="0" w:color="auto"/>
              <w:left w:val="nil"/>
              <w:bottom w:val="nil"/>
              <w:right w:val="nil"/>
            </w:tcBorders>
          </w:tcPr>
          <w:p w14:paraId="45307EA4" w14:textId="77777777" w:rsidR="00A827BB" w:rsidRDefault="00A827BB" w:rsidP="00E86165">
            <w:r>
              <w:t>Dormant</w:t>
            </w:r>
          </w:p>
        </w:tc>
        <w:tc>
          <w:tcPr>
            <w:tcW w:w="0" w:type="auto"/>
            <w:tcBorders>
              <w:top w:val="single" w:sz="4" w:space="0" w:color="auto"/>
              <w:left w:val="nil"/>
              <w:bottom w:val="nil"/>
              <w:right w:val="nil"/>
            </w:tcBorders>
          </w:tcPr>
          <w:p w14:paraId="70773E34" w14:textId="77777777" w:rsidR="00A827BB" w:rsidRDefault="00A827BB" w:rsidP="00E86165">
            <w:r>
              <w:t>Power</w:t>
            </w:r>
          </w:p>
        </w:tc>
        <w:tc>
          <w:tcPr>
            <w:tcW w:w="0" w:type="auto"/>
            <w:tcBorders>
              <w:top w:val="single" w:sz="4" w:space="0" w:color="auto"/>
              <w:left w:val="nil"/>
              <w:bottom w:val="nil"/>
              <w:right w:val="nil"/>
            </w:tcBorders>
          </w:tcPr>
          <w:p w14:paraId="299A4EEC" w14:textId="77777777" w:rsidR="00A827BB" w:rsidRDefault="00A827BB" w:rsidP="00E86165">
            <w:r>
              <w:t>Latent</w:t>
            </w:r>
          </w:p>
        </w:tc>
      </w:tr>
      <w:tr w:rsidR="00A827BB" w14:paraId="7EB334EB" w14:textId="77777777" w:rsidTr="00A827BB">
        <w:trPr>
          <w:jc w:val="center"/>
        </w:trPr>
        <w:tc>
          <w:tcPr>
            <w:tcW w:w="0" w:type="auto"/>
            <w:tcBorders>
              <w:top w:val="nil"/>
              <w:left w:val="nil"/>
              <w:bottom w:val="nil"/>
              <w:right w:val="nil"/>
            </w:tcBorders>
          </w:tcPr>
          <w:p w14:paraId="68D0B1A1" w14:textId="77777777" w:rsidR="00A827BB" w:rsidRDefault="00A827BB" w:rsidP="00E86165">
            <w:r>
              <w:t>2</w:t>
            </w:r>
          </w:p>
        </w:tc>
        <w:tc>
          <w:tcPr>
            <w:tcW w:w="0" w:type="auto"/>
            <w:tcBorders>
              <w:top w:val="nil"/>
              <w:left w:val="nil"/>
              <w:bottom w:val="nil"/>
              <w:right w:val="nil"/>
            </w:tcBorders>
          </w:tcPr>
          <w:p w14:paraId="293B4EF9" w14:textId="77777777" w:rsidR="00A827BB" w:rsidRDefault="00A827BB" w:rsidP="00E86165">
            <w:r>
              <w:t>Discretionary</w:t>
            </w:r>
          </w:p>
        </w:tc>
        <w:tc>
          <w:tcPr>
            <w:tcW w:w="0" w:type="auto"/>
            <w:tcBorders>
              <w:top w:val="nil"/>
              <w:left w:val="nil"/>
              <w:bottom w:val="nil"/>
              <w:right w:val="nil"/>
            </w:tcBorders>
          </w:tcPr>
          <w:p w14:paraId="635165FF" w14:textId="77777777" w:rsidR="00A827BB" w:rsidRDefault="00A827BB" w:rsidP="00E86165">
            <w:r>
              <w:t>Legitimacy</w:t>
            </w:r>
          </w:p>
        </w:tc>
        <w:tc>
          <w:tcPr>
            <w:tcW w:w="0" w:type="auto"/>
            <w:tcBorders>
              <w:top w:val="nil"/>
              <w:left w:val="nil"/>
              <w:bottom w:val="nil"/>
              <w:right w:val="nil"/>
            </w:tcBorders>
          </w:tcPr>
          <w:p w14:paraId="44C2C2AD" w14:textId="77777777" w:rsidR="00A827BB" w:rsidRDefault="00A827BB" w:rsidP="00E86165">
            <w:r>
              <w:t>Latent</w:t>
            </w:r>
          </w:p>
        </w:tc>
      </w:tr>
      <w:tr w:rsidR="00A827BB" w14:paraId="11055FD6" w14:textId="77777777" w:rsidTr="00A827BB">
        <w:trPr>
          <w:jc w:val="center"/>
        </w:trPr>
        <w:tc>
          <w:tcPr>
            <w:tcW w:w="0" w:type="auto"/>
            <w:tcBorders>
              <w:top w:val="nil"/>
              <w:left w:val="nil"/>
              <w:bottom w:val="nil"/>
              <w:right w:val="nil"/>
            </w:tcBorders>
          </w:tcPr>
          <w:p w14:paraId="3C0225EA" w14:textId="77777777" w:rsidR="00A827BB" w:rsidRDefault="00A827BB" w:rsidP="00E86165">
            <w:r>
              <w:t>3</w:t>
            </w:r>
          </w:p>
        </w:tc>
        <w:tc>
          <w:tcPr>
            <w:tcW w:w="0" w:type="auto"/>
            <w:tcBorders>
              <w:top w:val="nil"/>
              <w:left w:val="nil"/>
              <w:bottom w:val="nil"/>
              <w:right w:val="nil"/>
            </w:tcBorders>
          </w:tcPr>
          <w:p w14:paraId="3975564E" w14:textId="77777777" w:rsidR="00A827BB" w:rsidRDefault="00A827BB" w:rsidP="00E86165">
            <w:r>
              <w:t>Demanding</w:t>
            </w:r>
          </w:p>
        </w:tc>
        <w:tc>
          <w:tcPr>
            <w:tcW w:w="0" w:type="auto"/>
            <w:tcBorders>
              <w:top w:val="nil"/>
              <w:left w:val="nil"/>
              <w:bottom w:val="nil"/>
              <w:right w:val="nil"/>
            </w:tcBorders>
          </w:tcPr>
          <w:p w14:paraId="657CAF12" w14:textId="77777777" w:rsidR="00A827BB" w:rsidRDefault="00A827BB" w:rsidP="00E86165">
            <w:r>
              <w:t>Urgency</w:t>
            </w:r>
          </w:p>
        </w:tc>
        <w:tc>
          <w:tcPr>
            <w:tcW w:w="0" w:type="auto"/>
            <w:tcBorders>
              <w:top w:val="nil"/>
              <w:left w:val="nil"/>
              <w:bottom w:val="nil"/>
              <w:right w:val="nil"/>
            </w:tcBorders>
          </w:tcPr>
          <w:p w14:paraId="7B554357" w14:textId="77777777" w:rsidR="00A827BB" w:rsidRDefault="00A827BB" w:rsidP="00E86165">
            <w:r>
              <w:t>Latent</w:t>
            </w:r>
          </w:p>
        </w:tc>
      </w:tr>
      <w:tr w:rsidR="00A827BB" w14:paraId="4E30E198" w14:textId="77777777" w:rsidTr="00A827BB">
        <w:trPr>
          <w:jc w:val="center"/>
        </w:trPr>
        <w:tc>
          <w:tcPr>
            <w:tcW w:w="0" w:type="auto"/>
            <w:tcBorders>
              <w:top w:val="nil"/>
              <w:left w:val="nil"/>
              <w:bottom w:val="nil"/>
              <w:right w:val="nil"/>
            </w:tcBorders>
          </w:tcPr>
          <w:p w14:paraId="163A58B4" w14:textId="77777777" w:rsidR="00A827BB" w:rsidRDefault="00A827BB" w:rsidP="00E86165">
            <w:r>
              <w:t>4</w:t>
            </w:r>
          </w:p>
        </w:tc>
        <w:tc>
          <w:tcPr>
            <w:tcW w:w="0" w:type="auto"/>
            <w:tcBorders>
              <w:top w:val="nil"/>
              <w:left w:val="nil"/>
              <w:bottom w:val="nil"/>
              <w:right w:val="nil"/>
            </w:tcBorders>
          </w:tcPr>
          <w:p w14:paraId="5769C190" w14:textId="77777777" w:rsidR="00A827BB" w:rsidRDefault="00A827BB" w:rsidP="00E86165">
            <w:r>
              <w:t>Dominant</w:t>
            </w:r>
          </w:p>
        </w:tc>
        <w:tc>
          <w:tcPr>
            <w:tcW w:w="0" w:type="auto"/>
            <w:tcBorders>
              <w:top w:val="nil"/>
              <w:left w:val="nil"/>
              <w:bottom w:val="nil"/>
              <w:right w:val="nil"/>
            </w:tcBorders>
          </w:tcPr>
          <w:p w14:paraId="0F3398CB" w14:textId="77777777" w:rsidR="00A827BB" w:rsidRDefault="00A827BB" w:rsidP="00E86165">
            <w:r>
              <w:t>Power + Legitimacy</w:t>
            </w:r>
          </w:p>
        </w:tc>
        <w:tc>
          <w:tcPr>
            <w:tcW w:w="0" w:type="auto"/>
            <w:tcBorders>
              <w:top w:val="nil"/>
              <w:left w:val="nil"/>
              <w:bottom w:val="nil"/>
              <w:right w:val="nil"/>
            </w:tcBorders>
          </w:tcPr>
          <w:p w14:paraId="4979514D" w14:textId="77777777" w:rsidR="00A827BB" w:rsidRDefault="00A827BB" w:rsidP="00E86165">
            <w:r>
              <w:t>Expectant</w:t>
            </w:r>
          </w:p>
        </w:tc>
      </w:tr>
      <w:tr w:rsidR="00A827BB" w14:paraId="30C0909C" w14:textId="77777777" w:rsidTr="00A827BB">
        <w:trPr>
          <w:jc w:val="center"/>
        </w:trPr>
        <w:tc>
          <w:tcPr>
            <w:tcW w:w="0" w:type="auto"/>
            <w:tcBorders>
              <w:top w:val="nil"/>
              <w:left w:val="nil"/>
              <w:bottom w:val="nil"/>
              <w:right w:val="nil"/>
            </w:tcBorders>
          </w:tcPr>
          <w:p w14:paraId="444B7044" w14:textId="77777777" w:rsidR="00A827BB" w:rsidRDefault="00A827BB" w:rsidP="00E86165">
            <w:r>
              <w:t>5</w:t>
            </w:r>
          </w:p>
        </w:tc>
        <w:tc>
          <w:tcPr>
            <w:tcW w:w="0" w:type="auto"/>
            <w:tcBorders>
              <w:top w:val="nil"/>
              <w:left w:val="nil"/>
              <w:bottom w:val="nil"/>
              <w:right w:val="nil"/>
            </w:tcBorders>
          </w:tcPr>
          <w:p w14:paraId="1D1EB7B3" w14:textId="77777777" w:rsidR="00A827BB" w:rsidRDefault="00A827BB" w:rsidP="00E86165">
            <w:r>
              <w:t>Dangerous</w:t>
            </w:r>
          </w:p>
        </w:tc>
        <w:tc>
          <w:tcPr>
            <w:tcW w:w="0" w:type="auto"/>
            <w:tcBorders>
              <w:top w:val="nil"/>
              <w:left w:val="nil"/>
              <w:bottom w:val="nil"/>
              <w:right w:val="nil"/>
            </w:tcBorders>
          </w:tcPr>
          <w:p w14:paraId="3E79FD15" w14:textId="77777777" w:rsidR="00A827BB" w:rsidRDefault="00A827BB" w:rsidP="00E86165">
            <w:r>
              <w:t>Power + Urgency</w:t>
            </w:r>
          </w:p>
        </w:tc>
        <w:tc>
          <w:tcPr>
            <w:tcW w:w="0" w:type="auto"/>
            <w:tcBorders>
              <w:top w:val="nil"/>
              <w:left w:val="nil"/>
              <w:bottom w:val="nil"/>
              <w:right w:val="nil"/>
            </w:tcBorders>
          </w:tcPr>
          <w:p w14:paraId="68EEEB2A" w14:textId="77777777" w:rsidR="00A827BB" w:rsidRDefault="00A827BB" w:rsidP="00E86165">
            <w:r>
              <w:t>Expectant</w:t>
            </w:r>
          </w:p>
        </w:tc>
      </w:tr>
      <w:tr w:rsidR="00A827BB" w14:paraId="3D4C4186" w14:textId="77777777" w:rsidTr="00A827BB">
        <w:trPr>
          <w:jc w:val="center"/>
        </w:trPr>
        <w:tc>
          <w:tcPr>
            <w:tcW w:w="0" w:type="auto"/>
            <w:tcBorders>
              <w:top w:val="nil"/>
              <w:left w:val="nil"/>
              <w:bottom w:val="nil"/>
              <w:right w:val="nil"/>
            </w:tcBorders>
          </w:tcPr>
          <w:p w14:paraId="66788F28" w14:textId="77777777" w:rsidR="00A827BB" w:rsidRDefault="00A827BB" w:rsidP="00E86165">
            <w:r>
              <w:t>6</w:t>
            </w:r>
          </w:p>
        </w:tc>
        <w:tc>
          <w:tcPr>
            <w:tcW w:w="0" w:type="auto"/>
            <w:tcBorders>
              <w:top w:val="nil"/>
              <w:left w:val="nil"/>
              <w:bottom w:val="nil"/>
              <w:right w:val="nil"/>
            </w:tcBorders>
          </w:tcPr>
          <w:p w14:paraId="3A18CD3F" w14:textId="77777777" w:rsidR="00A827BB" w:rsidRDefault="00A827BB" w:rsidP="00E86165">
            <w:r>
              <w:t>Dependent</w:t>
            </w:r>
          </w:p>
        </w:tc>
        <w:tc>
          <w:tcPr>
            <w:tcW w:w="0" w:type="auto"/>
            <w:tcBorders>
              <w:top w:val="nil"/>
              <w:left w:val="nil"/>
              <w:bottom w:val="nil"/>
              <w:right w:val="nil"/>
            </w:tcBorders>
          </w:tcPr>
          <w:p w14:paraId="6486A9F3" w14:textId="77777777" w:rsidR="00A827BB" w:rsidRDefault="00A827BB" w:rsidP="00E86165">
            <w:r>
              <w:t>Legitimacy + Urgency</w:t>
            </w:r>
          </w:p>
        </w:tc>
        <w:tc>
          <w:tcPr>
            <w:tcW w:w="0" w:type="auto"/>
            <w:tcBorders>
              <w:top w:val="nil"/>
              <w:left w:val="nil"/>
              <w:bottom w:val="nil"/>
              <w:right w:val="nil"/>
            </w:tcBorders>
          </w:tcPr>
          <w:p w14:paraId="1D32B4BC" w14:textId="77777777" w:rsidR="00A827BB" w:rsidRDefault="00A827BB" w:rsidP="00E86165">
            <w:r>
              <w:t>Expectant</w:t>
            </w:r>
          </w:p>
        </w:tc>
      </w:tr>
      <w:tr w:rsidR="00A827BB" w14:paraId="7954441D" w14:textId="77777777" w:rsidTr="00A827BB">
        <w:trPr>
          <w:jc w:val="center"/>
        </w:trPr>
        <w:tc>
          <w:tcPr>
            <w:tcW w:w="0" w:type="auto"/>
            <w:tcBorders>
              <w:top w:val="nil"/>
              <w:left w:val="nil"/>
              <w:bottom w:val="double" w:sz="4" w:space="0" w:color="auto"/>
              <w:right w:val="nil"/>
            </w:tcBorders>
          </w:tcPr>
          <w:p w14:paraId="317A987C" w14:textId="77777777" w:rsidR="00A827BB" w:rsidRDefault="00A827BB" w:rsidP="00E86165">
            <w:r>
              <w:t>7</w:t>
            </w:r>
          </w:p>
        </w:tc>
        <w:tc>
          <w:tcPr>
            <w:tcW w:w="0" w:type="auto"/>
            <w:tcBorders>
              <w:top w:val="nil"/>
              <w:left w:val="nil"/>
              <w:bottom w:val="double" w:sz="4" w:space="0" w:color="auto"/>
              <w:right w:val="nil"/>
            </w:tcBorders>
          </w:tcPr>
          <w:p w14:paraId="4738889D" w14:textId="77777777" w:rsidR="00A827BB" w:rsidRDefault="00A827BB" w:rsidP="00E86165">
            <w:r>
              <w:t>Definitive</w:t>
            </w:r>
          </w:p>
        </w:tc>
        <w:tc>
          <w:tcPr>
            <w:tcW w:w="0" w:type="auto"/>
            <w:tcBorders>
              <w:top w:val="nil"/>
              <w:left w:val="nil"/>
              <w:bottom w:val="double" w:sz="4" w:space="0" w:color="auto"/>
              <w:right w:val="nil"/>
            </w:tcBorders>
          </w:tcPr>
          <w:p w14:paraId="5EDDD862" w14:textId="77777777" w:rsidR="00A827BB" w:rsidRDefault="00A827BB" w:rsidP="00E86165">
            <w:r>
              <w:t>Power + Legitimacy + Urgency</w:t>
            </w:r>
          </w:p>
        </w:tc>
        <w:tc>
          <w:tcPr>
            <w:tcW w:w="0" w:type="auto"/>
            <w:tcBorders>
              <w:top w:val="nil"/>
              <w:left w:val="nil"/>
              <w:bottom w:val="double" w:sz="4" w:space="0" w:color="auto"/>
              <w:right w:val="nil"/>
            </w:tcBorders>
          </w:tcPr>
          <w:p w14:paraId="7FC31046" w14:textId="77777777" w:rsidR="00A827BB" w:rsidRDefault="00A827BB" w:rsidP="00E86165">
            <w:r>
              <w:t>Definitive</w:t>
            </w:r>
          </w:p>
        </w:tc>
      </w:tr>
    </w:tbl>
    <w:p w14:paraId="6E97D525" w14:textId="334370A4" w:rsidR="00A827BB" w:rsidRDefault="00A827BB" w:rsidP="002F5CDF">
      <w:pPr>
        <w:pStyle w:val="Heading1"/>
      </w:pPr>
      <w:r>
        <w:t>Empirical frameworks</w:t>
      </w:r>
    </w:p>
    <w:p w14:paraId="4811D845" w14:textId="02E440B9" w:rsidR="00DF3728" w:rsidRDefault="00A827BB" w:rsidP="00DF3728">
      <w:r>
        <w:t>Airline industry</w:t>
      </w:r>
      <w:r w:rsidR="00710876">
        <w:t xml:space="preserve"> stakeholder groups identified in an economic model estimating value creation</w:t>
      </w:r>
      <w:r w:rsidR="00DF3728">
        <w:t xml:space="preserve"> </w:t>
      </w:r>
      <w:r w:rsidR="00DF3728">
        <w:fldChar w:fldCharType="begin" w:fldLock="1"/>
      </w:r>
      <w:r w:rsidR="00DF3728">
        <w:instrText>ADDIN CSL_CITATION { "citationItems" : [ { "id" : "ITEM-1", "itemData" : { "DOI" : "10.1002/smj", "ISBN" : "1097-0266", "ISSN" : "00014273", "PMID" : "31767271", "abstract" : "Research summary: Using a productivity technique (VCA model),we estimate the economic value created by a firm and appropriated by its stakeholders in two specific empirical contexts. In the first application, we use publicly available data from the U.S. airline industry to illustrate how the VCA model can be used with multiple stakeholder groups. In the second application, we provide estimates for three global automobile companies (GM, Toyota and Nissan), showing how the model can be reformulated using value added. In both industries we find substantial heterogeneity among firms in the creation and distribution of value. We discuss strengths and limitations of the VCA model and implications for strategic management research. Managerial summary: Firms create value not only for shareholders, but also for other stakeholders, including employees, customers and suppliers. This article applies a method to quantify the \u201cnew\u201d economic value created by a firm over an interval of time; the method also reveals the distribution of that value among the stakeholders. The proposed method gives managers some means to assess changes in the economic value created and distributed. We find that the creation and distribution of value has varied greatly among majorU.S. airlines and global automakers in recent decades. Moreover, returns to shareholders typically accounted for only a small proportion of firms\u2019 total value creation and often had little relation to broader changes in the magnitude and distribution of value.", "author" : [ { "dropping-particle" : "", "family" : "Lieberman", "given" : "Marvin B", "non-dropping-particle" : "", "parse-names" : false, "suffix" : "" }, { "dropping-particle" : "", "family" : "Garcia-Castro", "given" : "Roberto", "non-dropping-particle" : "", "parse-names" : false, "suffix" : "" }, { "dropping-particle" : "", "family" : "Balasubramanian", "given" : "Natarajan", "non-dropping-particle" : "", "parse-names" : false, "suffix" : "" } ], "container-title" : "Strategic Management Journal", "id" : "ITEM-1", "issued" : { "date-parts" : [ [ "2017" ] ] }, "page" : "1193-1211", "title" : "Measuring value creation and appropriation in firms: The VCA model", "type" : "article-journal", "volume" : "38" }, "uris" : [ "http://www.mendeley.com/documents/?uuid=c9d9cc1f-231d-4b19-a395-1ef2612af14c" ] } ], "mendeley" : { "formattedCitation" : "(Lieberman, Garcia-Castro, &amp; Balasubramanian, 2017)", "plainTextFormattedCitation" : "(Lieberman, Garcia-Castro, &amp; Balasubramanian, 2017)", "previouslyFormattedCitation" : "(Lieberman, Garcia-Castro, &amp; Balasubramanian, 2017)" }, "properties" : {  }, "schema" : "https://github.com/citation-style-language/schema/raw/master/csl-citation.json" }</w:instrText>
      </w:r>
      <w:r w:rsidR="00DF3728">
        <w:fldChar w:fldCharType="separate"/>
      </w:r>
      <w:r w:rsidR="00DF3728" w:rsidRPr="006A010B">
        <w:rPr>
          <w:noProof/>
        </w:rPr>
        <w:t>(Lieberman, Garcia-Castro, &amp; Balasubramanian, 2017)</w:t>
      </w:r>
      <w:r w:rsidR="00DF3728">
        <w:fldChar w:fldCharType="end"/>
      </w:r>
      <w:r w:rsidR="00844A0D">
        <w:t>:</w:t>
      </w:r>
    </w:p>
    <w:p w14:paraId="45D1C8A8" w14:textId="77777777" w:rsidR="00B43A14" w:rsidRDefault="00A827BB" w:rsidP="00DF3728">
      <w:pPr>
        <w:pStyle w:val="ListParagraph"/>
        <w:numPr>
          <w:ilvl w:val="0"/>
          <w:numId w:val="5"/>
        </w:numPr>
      </w:pPr>
      <w:r>
        <w:t xml:space="preserve">Customers, </w:t>
      </w:r>
    </w:p>
    <w:p w14:paraId="722DE365" w14:textId="77777777" w:rsidR="00B43A14" w:rsidRDefault="00B43A14" w:rsidP="00DF3728">
      <w:pPr>
        <w:pStyle w:val="ListParagraph"/>
        <w:numPr>
          <w:ilvl w:val="0"/>
          <w:numId w:val="5"/>
        </w:numPr>
      </w:pPr>
      <w:r>
        <w:t>F</w:t>
      </w:r>
      <w:r w:rsidR="00A827BB">
        <w:t xml:space="preserve">uel suppliers, </w:t>
      </w:r>
    </w:p>
    <w:p w14:paraId="344743DA" w14:textId="77777777" w:rsidR="00B43A14" w:rsidRDefault="00B43A14" w:rsidP="00DF3728">
      <w:pPr>
        <w:pStyle w:val="ListParagraph"/>
        <w:numPr>
          <w:ilvl w:val="0"/>
          <w:numId w:val="5"/>
        </w:numPr>
      </w:pPr>
      <w:r>
        <w:t>O</w:t>
      </w:r>
      <w:r w:rsidR="00A827BB">
        <w:t xml:space="preserve">ther suppliers, </w:t>
      </w:r>
    </w:p>
    <w:p w14:paraId="36F6D586" w14:textId="31757222" w:rsidR="00255B21" w:rsidRDefault="00255B21" w:rsidP="00255B21">
      <w:pPr>
        <w:pStyle w:val="ListParagraph"/>
        <w:numPr>
          <w:ilvl w:val="0"/>
          <w:numId w:val="5"/>
        </w:numPr>
      </w:pPr>
      <w:r>
        <w:t>Shareholders and other capital providers,</w:t>
      </w:r>
      <w:r w:rsidR="00D70E13">
        <w:t xml:space="preserve"> and</w:t>
      </w:r>
    </w:p>
    <w:p w14:paraId="35355F30" w14:textId="267394E6" w:rsidR="00B43A14" w:rsidRDefault="00B43A14" w:rsidP="00DF3728">
      <w:pPr>
        <w:pStyle w:val="ListParagraph"/>
        <w:numPr>
          <w:ilvl w:val="0"/>
          <w:numId w:val="5"/>
        </w:numPr>
      </w:pPr>
      <w:r>
        <w:t>E</w:t>
      </w:r>
      <w:r w:rsidR="00A827BB">
        <w:t xml:space="preserve">mployees </w:t>
      </w:r>
    </w:p>
    <w:p w14:paraId="477459B7" w14:textId="11E87282" w:rsidR="004F2B58" w:rsidRDefault="004F2B58" w:rsidP="004F2B58">
      <w:r>
        <w:t xml:space="preserve">Stakeholder groups essential to a firm's survival </w:t>
      </w:r>
      <w:r>
        <w:fldChar w:fldCharType="begin" w:fldLock="1"/>
      </w:r>
      <w:r w:rsidR="00596B9A">
        <w:instrText>ADDIN CSL_CITATION { "citationItems" : [ { "id" : "ITEM-1", "itemData" : { "DOI" : "10.1002/smj.2337", "ISBN" : "1097-0266", "ISSN" : "10970266", "PMID" : "31767271", "abstract" : "Our \u201cstakeholder synergy\u201d perspective identifies new value creation opportunities that are especially effective strategically because a single strategic action (1) increases different types of value for twoormore essential stakeholder groups simultaneously, and (2) does not reduce the value already received by any other essential stakeholder group. This result is obtainable because multiple potential sources of value creation exist for each essential stakeholder group. Actions that meet these criteria increase the size of the value \u201cpie\u201d available for essential stakeholder groups, and thereby serve to attract exceptional stakeholders and obtain their increasing effort and commitment. The stakeholder synergy perspective extends stakeholder theory further into the strategy realm, and offers insights for realizing broader value creation that is more likely to produce sustainable competitive advantage.", "author" : [ { "dropping-particle" : "", "family" : "Tantalo", "given" : "Caterina", "non-dropping-particle" : "", "parse-names" : false, "suffix" : "" }, { "dropping-particle" : "", "family" : "Priem", "given" : "Richard L.", "non-dropping-particle" : "", "parse-names" : false, "suffix" : "" } ], "container-title" : "Strategic Management Journal", "id" : "ITEM-1", "issue" : "2", "issued" : { "date-parts" : [ [ "2016" ] ] }, "page" : "314-329", "title" : "Value creation through stakeholder synergy", "type" : "article-journal", "volume" : "37" }, "uris" : [ "http://www.mendeley.com/documents/?uuid=3d755d63-f0ec-46b9-9d59-181d45441fcd" ] } ], "mendeley" : { "formattedCitation" : "(Tantalo &amp; Priem, 2016)", "plainTextFormattedCitation" : "(Tantalo &amp; Priem, 2016)", "previouslyFormattedCitation" : "(Tantalo &amp; Priem, 2016)" }, "properties" : {  }, "schema" : "https://github.com/citation-style-language/schema/raw/master/csl-citation.json" }</w:instrText>
      </w:r>
      <w:r>
        <w:fldChar w:fldCharType="separate"/>
      </w:r>
      <w:r w:rsidRPr="004F2B58">
        <w:rPr>
          <w:noProof/>
        </w:rPr>
        <w:t>(Tantalo &amp; Priem, 2016)</w:t>
      </w:r>
      <w:r>
        <w:fldChar w:fldCharType="end"/>
      </w:r>
      <w:r>
        <w:t>:</w:t>
      </w:r>
    </w:p>
    <w:p w14:paraId="39A35BB4" w14:textId="0DAC64DD" w:rsidR="004F2B58" w:rsidRDefault="004F2B58" w:rsidP="004F2B58">
      <w:pPr>
        <w:pStyle w:val="ListParagraph"/>
        <w:numPr>
          <w:ilvl w:val="0"/>
          <w:numId w:val="5"/>
        </w:numPr>
      </w:pPr>
      <w:r>
        <w:t>Customers</w:t>
      </w:r>
    </w:p>
    <w:p w14:paraId="29A6241D" w14:textId="378D844F" w:rsidR="004F2B58" w:rsidRDefault="004F2B58" w:rsidP="004F2B58">
      <w:pPr>
        <w:pStyle w:val="ListParagraph"/>
        <w:numPr>
          <w:ilvl w:val="0"/>
          <w:numId w:val="5"/>
        </w:numPr>
      </w:pPr>
      <w:r>
        <w:t>Financiers (including shareholders</w:t>
      </w:r>
    </w:p>
    <w:p w14:paraId="4B19AD01" w14:textId="2D94C660" w:rsidR="004F2B58" w:rsidRDefault="004F2B58" w:rsidP="004F2B58">
      <w:pPr>
        <w:pStyle w:val="ListParagraph"/>
        <w:numPr>
          <w:ilvl w:val="0"/>
          <w:numId w:val="5"/>
        </w:numPr>
      </w:pPr>
      <w:r>
        <w:t>Suppliers</w:t>
      </w:r>
    </w:p>
    <w:p w14:paraId="3F8B0AF2" w14:textId="4A2C6A92" w:rsidR="004F2B58" w:rsidRDefault="004F2B58" w:rsidP="004F2B58">
      <w:pPr>
        <w:pStyle w:val="ListParagraph"/>
        <w:numPr>
          <w:ilvl w:val="0"/>
          <w:numId w:val="5"/>
        </w:numPr>
      </w:pPr>
      <w:r>
        <w:t>Employees</w:t>
      </w:r>
    </w:p>
    <w:p w14:paraId="25012D98" w14:textId="53F02FA3" w:rsidR="004F2B58" w:rsidRDefault="004F2B58" w:rsidP="004F2B58">
      <w:pPr>
        <w:pStyle w:val="ListParagraph"/>
        <w:numPr>
          <w:ilvl w:val="0"/>
          <w:numId w:val="5"/>
        </w:numPr>
      </w:pPr>
      <w:r>
        <w:t>Communities</w:t>
      </w:r>
    </w:p>
    <w:p w14:paraId="2317D89C" w14:textId="1B47EF34" w:rsidR="00F058E1" w:rsidRDefault="00F058E1" w:rsidP="00596B9A">
      <w:proofErr w:type="spellStart"/>
      <w:r>
        <w:t>Tantalo</w:t>
      </w:r>
      <w:proofErr w:type="spellEnd"/>
      <w:r>
        <w:t xml:space="preserve"> &amp; </w:t>
      </w:r>
      <w:proofErr w:type="spellStart"/>
      <w:r>
        <w:t>Priem</w:t>
      </w:r>
      <w:proofErr w:type="spellEnd"/>
      <w:r>
        <w:t xml:space="preserve"> </w:t>
      </w:r>
      <w:r>
        <w:fldChar w:fldCharType="begin" w:fldLock="1"/>
      </w:r>
      <w:r>
        <w:instrText>ADDIN CSL_CITATION { "citationItems" : [ { "id" : "ITEM-1", "itemData" : { "DOI" : "10.1002/smj.2337", "ISBN" : "1097-0266", "ISSN" : "10970266", "PMID" : "31767271", "abstract" : "Our \u201cstakeholder synergy\u201d perspective identifies new value creation opportunities that are especially effective strategically because a single strategic action (1) increases different types of value for twoormore essential stakeholder groups simultaneously, and (2) does not reduce the value already received by any other essential stakeholder group. This result is obtainable because multiple potential sources of value creation exist for each essential stakeholder group. Actions that meet these criteria increase the size of the value \u201cpie\u201d available for essential stakeholder groups, and thereby serve to attract exceptional stakeholders and obtain their increasing effort and commitment. The stakeholder synergy perspective extends stakeholder theory further into the strategy realm, and offers insights for realizing broader value creation that is more likely to produce sustainable competitive advantage.", "author" : [ { "dropping-particle" : "", "family" : "Tantalo", "given" : "Caterina", "non-dropping-particle" : "", "parse-names" : false, "suffix" : "" }, { "dropping-particle" : "", "family" : "Priem", "given" : "Richard L.", "non-dropping-particle" : "", "parse-names" : false, "suffix" : "" } ], "container-title" : "Strategic Management Journal", "id" : "ITEM-1", "issue" : "2", "issued" : { "date-parts" : [ [ "2016" ] ] }, "page" : "314-329", "title" : "Value creation through stakeholder synergy", "type" : "article-journal", "volume" : "37" }, "suppress-author" : 1, "uris" : [ "http://www.mendeley.com/documents/?uuid=3d755d63-f0ec-46b9-9d59-181d45441fcd" ] } ], "mendeley" : { "formattedCitation" : "(2016)", "plainTextFormattedCitation" : "(2016)" }, "properties" : {  }, "schema" : "https://github.com/citation-style-language/schema/raw/master/csl-citation.json" }</w:instrText>
      </w:r>
      <w:r>
        <w:fldChar w:fldCharType="separate"/>
      </w:r>
      <w:r w:rsidRPr="00F058E1">
        <w:rPr>
          <w:noProof/>
        </w:rPr>
        <w:t>(2016)</w:t>
      </w:r>
      <w:r>
        <w:fldChar w:fldCharType="end"/>
      </w:r>
      <w:r>
        <w:t xml:space="preserve"> provide guidance on two questions: (1) how to identify </w:t>
      </w:r>
      <w:r>
        <w:rPr>
          <w:i/>
        </w:rPr>
        <w:t xml:space="preserve">ex post </w:t>
      </w:r>
      <w:r>
        <w:t xml:space="preserve">how much stakeholder synergy a firm exhibits in its strategic choices and (2) how to identify </w:t>
      </w:r>
      <w:r>
        <w:rPr>
          <w:i/>
        </w:rPr>
        <w:t xml:space="preserve">ex ante </w:t>
      </w:r>
      <w:r>
        <w:t xml:space="preserve">whether a firm has opportunities for across-stakeholder complementarities </w:t>
      </w:r>
      <w:r w:rsidR="00596B9A">
        <w:fldChar w:fldCharType="begin" w:fldLock="1"/>
      </w:r>
      <w:r>
        <w:instrText>ADDIN CSL_CITATION { "citationItems" : [ { "id" : "ITEM-1", "itemData" : { "DOI" : "10.1002/smj.2337", "ISBN" : "1097-0266", "ISSN" : "10970266", "PMID" : "31767271", "abstract" : "Our \u201cstakeholder synergy\u201d perspective identifies new value creation opportunities that are especially effective strategically because a single strategic action (1) increases different types of value for twoormore essential stakeholder groups simultaneously, and (2) does not reduce the value already received by any other essential stakeholder group. This result is obtainable because multiple potential sources of value creation exist for each essential stakeholder group. Actions that meet these criteria increase the size of the value \u201cpie\u201d available for essential stakeholder groups, and thereby serve to attract exceptional stakeholders and obtain their increasing effort and commitment. The stakeholder synergy perspective extends stakeholder theory further into the strategy realm, and offers insights for realizing broader value creation that is more likely to produce sustainable competitive advantage.", "author" : [ { "dropping-particle" : "", "family" : "Tantalo", "given" : "Caterina", "non-dropping-particle" : "", "parse-names" : false, "suffix" : "" }, { "dropping-particle" : "", "family" : "Priem", "given" : "Richard L.", "non-dropping-particle" : "", "parse-names" : false, "suffix" : "" } ], "container-title" : "Strategic Management Journal", "id" : "ITEM-1", "issue" : "2", "issued" : { "date-parts" : [ [ "2016" ] ] }, "page" : "314-329", "title" : "Value creation through stakeholder synergy", "type" : "article-journal", "volume" : "37" }, "locator" : "322-323", "uris" : [ "http://www.mendeley.com/documents/?uuid=3d755d63-f0ec-46b9-9d59-181d45441fcd" ] } ], "mendeley" : { "formattedCitation" : "(Tantalo &amp; Priem, 2016, pp. 322\u2013323)", "plainTextFormattedCitation" : "(Tantalo &amp; Priem, 2016, pp. 322\u2013323)", "previouslyFormattedCitation" : "(Tantalo &amp; Priem, 2016, pp. 322\u2013323)" }, "properties" : {  }, "schema" : "https://github.com/citation-style-language/schema/raw/master/csl-citation.json" }</w:instrText>
      </w:r>
      <w:r w:rsidR="00596B9A">
        <w:fldChar w:fldCharType="separate"/>
      </w:r>
      <w:r w:rsidR="00596B9A" w:rsidRPr="00596B9A">
        <w:rPr>
          <w:noProof/>
        </w:rPr>
        <w:t>(Tantalo &amp; Priem, 2016, pp. 322–323)</w:t>
      </w:r>
      <w:r w:rsidR="00596B9A">
        <w:fldChar w:fldCharType="end"/>
      </w:r>
      <w:r w:rsidR="00596B9A">
        <w:t xml:space="preserve">. </w:t>
      </w:r>
      <w:r>
        <w:t xml:space="preserve">They use a utility-function approach and argue each stakeholder group has different utility </w:t>
      </w:r>
      <w:proofErr w:type="gramStart"/>
      <w:r>
        <w:t>functions</w:t>
      </w:r>
      <w:proofErr w:type="gramEnd"/>
      <w:r>
        <w:t xml:space="preserve"> but it is possible for firms to find strategic actions that increase multiple stakeholder utilities without decreasing any. The following strategies are thus available to firms:</w:t>
      </w:r>
    </w:p>
    <w:p w14:paraId="31B065C0" w14:textId="275B4654" w:rsidR="00F058E1" w:rsidRDefault="00F058E1" w:rsidP="00F058E1">
      <w:pPr>
        <w:pStyle w:val="ListParagraph"/>
        <w:numPr>
          <w:ilvl w:val="0"/>
          <w:numId w:val="8"/>
        </w:numPr>
      </w:pPr>
      <w:r>
        <w:t>Customer-oriented business strategy,</w:t>
      </w:r>
    </w:p>
    <w:p w14:paraId="73A5CE3E" w14:textId="00DE4643" w:rsidR="00F058E1" w:rsidRDefault="00F058E1" w:rsidP="00F058E1">
      <w:pPr>
        <w:pStyle w:val="ListParagraph"/>
        <w:numPr>
          <w:ilvl w:val="0"/>
          <w:numId w:val="8"/>
        </w:numPr>
      </w:pPr>
      <w:r>
        <w:t>Supplier-oriented,</w:t>
      </w:r>
    </w:p>
    <w:p w14:paraId="6A3A2D9D" w14:textId="30820187" w:rsidR="00F058E1" w:rsidRDefault="00F058E1" w:rsidP="00F058E1">
      <w:pPr>
        <w:pStyle w:val="ListParagraph"/>
        <w:numPr>
          <w:ilvl w:val="0"/>
          <w:numId w:val="8"/>
        </w:numPr>
      </w:pPr>
      <w:r>
        <w:t>Employee-oriented,</w:t>
      </w:r>
    </w:p>
    <w:p w14:paraId="068156C3" w14:textId="25BF0E53" w:rsidR="00F058E1" w:rsidRDefault="00F058E1" w:rsidP="00F058E1">
      <w:pPr>
        <w:pStyle w:val="ListParagraph"/>
        <w:numPr>
          <w:ilvl w:val="0"/>
          <w:numId w:val="8"/>
        </w:numPr>
      </w:pPr>
      <w:r>
        <w:t>Investor-oriented, and</w:t>
      </w:r>
    </w:p>
    <w:p w14:paraId="2D953C67" w14:textId="0C32D7E2" w:rsidR="00F058E1" w:rsidRDefault="00F058E1" w:rsidP="00F058E1">
      <w:pPr>
        <w:pStyle w:val="ListParagraph"/>
        <w:numPr>
          <w:ilvl w:val="0"/>
          <w:numId w:val="8"/>
        </w:numPr>
      </w:pPr>
      <w:r>
        <w:lastRenderedPageBreak/>
        <w:t>Community-oriented</w:t>
      </w:r>
    </w:p>
    <w:p w14:paraId="1590BB7E" w14:textId="01B22158" w:rsidR="007968E9" w:rsidRDefault="007968E9" w:rsidP="00F058E1">
      <w:pPr>
        <w:pStyle w:val="ListParagraph"/>
        <w:numPr>
          <w:ilvl w:val="0"/>
          <w:numId w:val="8"/>
        </w:numPr>
      </w:pPr>
      <w:r>
        <w:t>[No government/regulatory or activist/monitoring]</w:t>
      </w:r>
    </w:p>
    <w:p w14:paraId="266130EC" w14:textId="77777777" w:rsidR="00F058E1" w:rsidRDefault="00F058E1" w:rsidP="00596B9A"/>
    <w:p w14:paraId="2D92B3DE" w14:textId="591C2736" w:rsidR="00596B9A" w:rsidRDefault="00F058E1" w:rsidP="00596B9A">
      <w:proofErr w:type="spellStart"/>
      <w:r>
        <w:t>Tantalo</w:t>
      </w:r>
      <w:proofErr w:type="spellEnd"/>
      <w:r>
        <w:t xml:space="preserve"> &amp; </w:t>
      </w:r>
      <w:proofErr w:type="spellStart"/>
      <w:r>
        <w:t>Priem</w:t>
      </w:r>
      <w:proofErr w:type="spellEnd"/>
      <w:r>
        <w:t xml:space="preserve"> (2016) identify the following stakeholder g</w:t>
      </w:r>
      <w:r w:rsidR="00596B9A">
        <w:t>roups in the example analysis</w:t>
      </w:r>
      <w:r>
        <w:t xml:space="preserve"> of Southwest Airlines</w:t>
      </w:r>
      <w:r w:rsidR="00596B9A">
        <w:t>:</w:t>
      </w:r>
    </w:p>
    <w:p w14:paraId="29C943C3" w14:textId="324319DB" w:rsidR="00596B9A" w:rsidRDefault="00596B9A" w:rsidP="00596B9A">
      <w:pPr>
        <w:pStyle w:val="ListParagraph"/>
        <w:numPr>
          <w:ilvl w:val="0"/>
          <w:numId w:val="6"/>
        </w:numPr>
      </w:pPr>
      <w:r>
        <w:t>Customers</w:t>
      </w:r>
    </w:p>
    <w:p w14:paraId="6C7ED0AB" w14:textId="28B86D0C" w:rsidR="00596B9A" w:rsidRDefault="00596B9A" w:rsidP="00596B9A">
      <w:pPr>
        <w:pStyle w:val="ListParagraph"/>
        <w:numPr>
          <w:ilvl w:val="0"/>
          <w:numId w:val="6"/>
        </w:numPr>
      </w:pPr>
      <w:r>
        <w:t>Employees</w:t>
      </w:r>
    </w:p>
    <w:p w14:paraId="463C3B01" w14:textId="43632769" w:rsidR="00596B9A" w:rsidRDefault="00596B9A" w:rsidP="00596B9A">
      <w:pPr>
        <w:pStyle w:val="ListParagraph"/>
        <w:numPr>
          <w:ilvl w:val="0"/>
          <w:numId w:val="6"/>
        </w:numPr>
      </w:pPr>
      <w:r>
        <w:t>Investors</w:t>
      </w:r>
    </w:p>
    <w:p w14:paraId="44E6E28C" w14:textId="5A2BF7C4" w:rsidR="00596B9A" w:rsidRDefault="00596B9A" w:rsidP="00596B9A">
      <w:pPr>
        <w:pStyle w:val="ListParagraph"/>
        <w:numPr>
          <w:ilvl w:val="0"/>
          <w:numId w:val="6"/>
        </w:numPr>
      </w:pPr>
      <w:r>
        <w:t>Suppliers</w:t>
      </w:r>
    </w:p>
    <w:p w14:paraId="63CCFF34" w14:textId="5343B4A2" w:rsidR="00596B9A" w:rsidRDefault="00596B9A" w:rsidP="00596B9A">
      <w:pPr>
        <w:pStyle w:val="ListParagraph"/>
        <w:numPr>
          <w:ilvl w:val="0"/>
          <w:numId w:val="6"/>
        </w:numPr>
      </w:pPr>
      <w:r>
        <w:t>Communities</w:t>
      </w:r>
    </w:p>
    <w:p w14:paraId="67758F07" w14:textId="24F6FD45" w:rsidR="00596B9A" w:rsidRDefault="00596B9A" w:rsidP="00596B9A">
      <w:proofErr w:type="spellStart"/>
      <w:r>
        <w:t>Tantolo</w:t>
      </w:r>
      <w:proofErr w:type="spellEnd"/>
      <w:r>
        <w:t xml:space="preserve"> &amp; </w:t>
      </w:r>
      <w:proofErr w:type="spellStart"/>
      <w:r>
        <w:t>Priem</w:t>
      </w:r>
      <w:proofErr w:type="spellEnd"/>
      <w:r>
        <w:t xml:space="preserve"> (2016) </w:t>
      </w:r>
      <w:r w:rsidR="00F058E1">
        <w:t xml:space="preserve">identify the following stakeholder groups for </w:t>
      </w:r>
      <w:r>
        <w:t>Ferrero:</w:t>
      </w:r>
    </w:p>
    <w:p w14:paraId="48256E82" w14:textId="74DA18D0" w:rsidR="00596B9A" w:rsidRDefault="00596B9A" w:rsidP="00596B9A">
      <w:pPr>
        <w:pStyle w:val="ListParagraph"/>
        <w:numPr>
          <w:ilvl w:val="0"/>
          <w:numId w:val="7"/>
        </w:numPr>
      </w:pPr>
      <w:r>
        <w:t>Suppliers of high-quality chocolate</w:t>
      </w:r>
    </w:p>
    <w:p w14:paraId="6DF6D0F5" w14:textId="62567076" w:rsidR="00596B9A" w:rsidRDefault="00596B9A" w:rsidP="00596B9A">
      <w:pPr>
        <w:pStyle w:val="ListParagraph"/>
        <w:numPr>
          <w:ilvl w:val="0"/>
          <w:numId w:val="7"/>
        </w:numPr>
      </w:pPr>
      <w:r>
        <w:t>Communities around chocolate</w:t>
      </w:r>
      <w:r w:rsidR="00970518">
        <w:t>-</w:t>
      </w:r>
      <w:r>
        <w:t>producing suppliers</w:t>
      </w:r>
    </w:p>
    <w:p w14:paraId="55E93134" w14:textId="530F1E15" w:rsidR="00596B9A" w:rsidRPr="00596B9A" w:rsidRDefault="00596B9A" w:rsidP="00596B9A">
      <w:pPr>
        <w:pStyle w:val="ListParagraph"/>
        <w:numPr>
          <w:ilvl w:val="0"/>
          <w:numId w:val="7"/>
        </w:numPr>
      </w:pPr>
      <w:r>
        <w:t>Consumers</w:t>
      </w:r>
    </w:p>
    <w:sectPr w:rsidR="00596B9A" w:rsidRPr="0059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B2DB0"/>
    <w:multiLevelType w:val="hybridMultilevel"/>
    <w:tmpl w:val="0C86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500D"/>
    <w:multiLevelType w:val="hybridMultilevel"/>
    <w:tmpl w:val="CE784888"/>
    <w:lvl w:ilvl="0" w:tplc="26D4F06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918E8"/>
    <w:multiLevelType w:val="hybridMultilevel"/>
    <w:tmpl w:val="70FA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62CF3"/>
    <w:multiLevelType w:val="hybridMultilevel"/>
    <w:tmpl w:val="F48AFC42"/>
    <w:lvl w:ilvl="0" w:tplc="209EB0C0">
      <w:start w:val="1"/>
      <w:numFmt w:val="decimal"/>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B3B48"/>
    <w:multiLevelType w:val="hybridMultilevel"/>
    <w:tmpl w:val="0F7E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C1BF9"/>
    <w:multiLevelType w:val="hybridMultilevel"/>
    <w:tmpl w:val="CA88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A0EF0"/>
    <w:multiLevelType w:val="hybridMultilevel"/>
    <w:tmpl w:val="96024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E4061"/>
    <w:multiLevelType w:val="hybridMultilevel"/>
    <w:tmpl w:val="1DBAD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6"/>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6B6"/>
    <w:rsid w:val="00004A23"/>
    <w:rsid w:val="00021FDB"/>
    <w:rsid w:val="0006511D"/>
    <w:rsid w:val="001212C5"/>
    <w:rsid w:val="0014059F"/>
    <w:rsid w:val="001B6272"/>
    <w:rsid w:val="00201049"/>
    <w:rsid w:val="0022754A"/>
    <w:rsid w:val="00255B21"/>
    <w:rsid w:val="0028718B"/>
    <w:rsid w:val="002F5CDF"/>
    <w:rsid w:val="00326270"/>
    <w:rsid w:val="003838CF"/>
    <w:rsid w:val="003951A4"/>
    <w:rsid w:val="00414E29"/>
    <w:rsid w:val="00415862"/>
    <w:rsid w:val="00475384"/>
    <w:rsid w:val="004B0600"/>
    <w:rsid w:val="004F2B58"/>
    <w:rsid w:val="00510399"/>
    <w:rsid w:val="00573FFC"/>
    <w:rsid w:val="00575A39"/>
    <w:rsid w:val="00584756"/>
    <w:rsid w:val="00590666"/>
    <w:rsid w:val="00596B9A"/>
    <w:rsid w:val="005B35E5"/>
    <w:rsid w:val="00620FA2"/>
    <w:rsid w:val="006A010B"/>
    <w:rsid w:val="006C1FA7"/>
    <w:rsid w:val="006E590E"/>
    <w:rsid w:val="00710876"/>
    <w:rsid w:val="00713BFC"/>
    <w:rsid w:val="00782A99"/>
    <w:rsid w:val="007968E9"/>
    <w:rsid w:val="008277C6"/>
    <w:rsid w:val="008310C6"/>
    <w:rsid w:val="00844A0D"/>
    <w:rsid w:val="00891F90"/>
    <w:rsid w:val="00937AAA"/>
    <w:rsid w:val="009626E3"/>
    <w:rsid w:val="00970518"/>
    <w:rsid w:val="00976456"/>
    <w:rsid w:val="009B4EA3"/>
    <w:rsid w:val="009D1558"/>
    <w:rsid w:val="009E23F1"/>
    <w:rsid w:val="00A04B71"/>
    <w:rsid w:val="00A26280"/>
    <w:rsid w:val="00A26B89"/>
    <w:rsid w:val="00A827BB"/>
    <w:rsid w:val="00AE30C2"/>
    <w:rsid w:val="00AE7924"/>
    <w:rsid w:val="00B21E28"/>
    <w:rsid w:val="00B43A14"/>
    <w:rsid w:val="00BA12BD"/>
    <w:rsid w:val="00BB36B6"/>
    <w:rsid w:val="00BB6471"/>
    <w:rsid w:val="00BF7484"/>
    <w:rsid w:val="00C37C2A"/>
    <w:rsid w:val="00CD4849"/>
    <w:rsid w:val="00D60B85"/>
    <w:rsid w:val="00D70E13"/>
    <w:rsid w:val="00D729D0"/>
    <w:rsid w:val="00D7383E"/>
    <w:rsid w:val="00D823EE"/>
    <w:rsid w:val="00DF3728"/>
    <w:rsid w:val="00E25AB4"/>
    <w:rsid w:val="00E42DA0"/>
    <w:rsid w:val="00E75778"/>
    <w:rsid w:val="00E901B4"/>
    <w:rsid w:val="00EB2F36"/>
    <w:rsid w:val="00EB681E"/>
    <w:rsid w:val="00EE34FC"/>
    <w:rsid w:val="00EE636E"/>
    <w:rsid w:val="00F058E1"/>
    <w:rsid w:val="00FA1DE3"/>
    <w:rsid w:val="00FD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CE5F"/>
  <w15:chartTrackingRefBased/>
  <w15:docId w15:val="{F057A5D8-5C35-4CD5-8755-6F8EDB8C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6B6"/>
    <w:pPr>
      <w:jc w:val="both"/>
    </w:pPr>
    <w:rPr>
      <w:b w:val="0"/>
    </w:rPr>
  </w:style>
  <w:style w:type="paragraph" w:styleId="Heading1">
    <w:name w:val="heading 1"/>
    <w:basedOn w:val="Normal"/>
    <w:next w:val="Normal"/>
    <w:link w:val="Heading1Char"/>
    <w:autoRedefine/>
    <w:uiPriority w:val="9"/>
    <w:qFormat/>
    <w:rsid w:val="00A827BB"/>
    <w:pPr>
      <w:keepNext/>
      <w:spacing w:before="240" w:after="120"/>
      <w:jc w:val="left"/>
      <w:outlineLvl w:val="0"/>
    </w:pPr>
    <w:rPr>
      <w:b/>
      <w:caps/>
    </w:rPr>
  </w:style>
  <w:style w:type="paragraph" w:styleId="Heading2">
    <w:name w:val="heading 2"/>
    <w:basedOn w:val="Normal"/>
    <w:next w:val="Normal"/>
    <w:link w:val="Heading2Char"/>
    <w:uiPriority w:val="9"/>
    <w:unhideWhenUsed/>
    <w:qFormat/>
    <w:rsid w:val="00A827BB"/>
    <w:pPr>
      <w:keepNext/>
      <w:spacing w:before="240"/>
      <w:outlineLvl w:val="1"/>
    </w:pPr>
    <w:rPr>
      <w:b/>
    </w:rPr>
  </w:style>
  <w:style w:type="paragraph" w:styleId="Heading3">
    <w:name w:val="heading 3"/>
    <w:basedOn w:val="Heading2"/>
    <w:next w:val="Normal"/>
    <w:link w:val="Heading3Char"/>
    <w:uiPriority w:val="9"/>
    <w:unhideWhenUsed/>
    <w:qFormat/>
    <w:rsid w:val="009D1558"/>
    <w:pPr>
      <w:jc w:val="left"/>
      <w:outlineLvl w:val="2"/>
    </w:pPr>
    <w:rPr>
      <w:b w:val="0"/>
      <w:i/>
    </w:rPr>
  </w:style>
  <w:style w:type="paragraph" w:styleId="Heading4">
    <w:name w:val="heading 4"/>
    <w:basedOn w:val="Normal"/>
    <w:next w:val="Normal"/>
    <w:link w:val="Heading4Char"/>
    <w:uiPriority w:val="9"/>
    <w:unhideWhenUsed/>
    <w:qFormat/>
    <w:rsid w:val="00AE30C2"/>
    <w:pPr>
      <w:spacing w:before="120" w:line="360" w:lineRule="auto"/>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BB"/>
    <w:rPr>
      <w:caps/>
    </w:rPr>
  </w:style>
  <w:style w:type="character" w:customStyle="1" w:styleId="Heading2Char">
    <w:name w:val="Heading 2 Char"/>
    <w:basedOn w:val="DefaultParagraphFont"/>
    <w:link w:val="Heading2"/>
    <w:uiPriority w:val="9"/>
    <w:rsid w:val="00A827BB"/>
  </w:style>
  <w:style w:type="character" w:customStyle="1" w:styleId="Heading3Char">
    <w:name w:val="Heading 3 Char"/>
    <w:basedOn w:val="DefaultParagraphFont"/>
    <w:link w:val="Heading3"/>
    <w:uiPriority w:val="9"/>
    <w:rsid w:val="009D1558"/>
    <w:rPr>
      <w:b w:val="0"/>
      <w:i/>
    </w:rPr>
  </w:style>
  <w:style w:type="character" w:customStyle="1" w:styleId="Heading4Char">
    <w:name w:val="Heading 4 Char"/>
    <w:basedOn w:val="DefaultParagraphFont"/>
    <w:link w:val="Heading4"/>
    <w:uiPriority w:val="9"/>
    <w:rsid w:val="00AE30C2"/>
    <w:rPr>
      <w:b w:val="0"/>
      <w:u w:val="single"/>
    </w:rPr>
  </w:style>
  <w:style w:type="paragraph" w:styleId="Title">
    <w:name w:val="Title"/>
    <w:basedOn w:val="Normal"/>
    <w:next w:val="Normal"/>
    <w:link w:val="TitleChar"/>
    <w:uiPriority w:val="10"/>
    <w:qFormat/>
    <w:rsid w:val="00BB36B6"/>
    <w:pPr>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BB36B6"/>
    <w:rPr>
      <w:rFonts w:eastAsiaTheme="majorEastAsia" w:cstheme="majorBidi"/>
      <w:caps/>
      <w:spacing w:val="-10"/>
      <w:kern w:val="28"/>
      <w:szCs w:val="56"/>
    </w:rPr>
  </w:style>
  <w:style w:type="paragraph" w:styleId="Caption">
    <w:name w:val="caption"/>
    <w:basedOn w:val="Normal"/>
    <w:next w:val="Normal"/>
    <w:uiPriority w:val="35"/>
    <w:unhideWhenUsed/>
    <w:qFormat/>
    <w:rsid w:val="00A827BB"/>
    <w:pPr>
      <w:spacing w:after="120"/>
      <w:jc w:val="center"/>
    </w:pPr>
    <w:rPr>
      <w:iCs/>
      <w:color w:val="000000" w:themeColor="text1"/>
      <w:sz w:val="20"/>
      <w:szCs w:val="18"/>
    </w:rPr>
  </w:style>
  <w:style w:type="table" w:styleId="TableGrid">
    <w:name w:val="Table Grid"/>
    <w:basedOn w:val="TableNormal"/>
    <w:uiPriority w:val="39"/>
    <w:rsid w:val="00BB3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6B6"/>
    <w:pPr>
      <w:spacing w:after="240"/>
      <w:ind w:left="720"/>
      <w:contextualSpacing/>
    </w:pPr>
  </w:style>
  <w:style w:type="paragraph" w:styleId="Quote">
    <w:name w:val="Quote"/>
    <w:basedOn w:val="Normal"/>
    <w:next w:val="Normal"/>
    <w:link w:val="QuoteChar"/>
    <w:uiPriority w:val="29"/>
    <w:qFormat/>
    <w:rsid w:val="00584756"/>
    <w:pPr>
      <w:spacing w:before="200" w:after="160" w:line="480" w:lineRule="auto"/>
      <w:ind w:left="864" w:right="864"/>
    </w:pPr>
    <w:rPr>
      <w:iCs/>
      <w:color w:val="404040" w:themeColor="text1" w:themeTint="BF"/>
      <w:sz w:val="20"/>
    </w:rPr>
  </w:style>
  <w:style w:type="character" w:customStyle="1" w:styleId="QuoteChar">
    <w:name w:val="Quote Char"/>
    <w:basedOn w:val="DefaultParagraphFont"/>
    <w:link w:val="Quote"/>
    <w:uiPriority w:val="29"/>
    <w:rsid w:val="00584756"/>
    <w:rPr>
      <w:b w:val="0"/>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14</cp:revision>
  <dcterms:created xsi:type="dcterms:W3CDTF">2018-05-02T19:19:00Z</dcterms:created>
  <dcterms:modified xsi:type="dcterms:W3CDTF">2018-05-03T18:13:00Z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b112d4eb-eb61-31da-bf05-740db4838ad2</vt:lpwstr>
  </property>
  <property fmtid="{D5CDD505-2E9C-101B-9397-08002B2CF9AE}" pid="4" name="Mendeley Citation Style_1">
    <vt:lpwstr>http://www.zotero.org/styles/apa</vt:lpwstr>
  </property>
</Properties>
</file>