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11D" w:rsidRDefault="00E15528" w:rsidP="00E15528">
      <w:pPr>
        <w:jc w:val="center"/>
      </w:pPr>
      <w:r>
        <w:t>Meeting Notes</w:t>
      </w:r>
    </w:p>
    <w:p w:rsidR="00E15528" w:rsidRDefault="00E15528" w:rsidP="00E15528">
      <w:pPr>
        <w:jc w:val="center"/>
      </w:pPr>
      <w:r>
        <w:t>April 30 with Alfie Marcus</w:t>
      </w:r>
    </w:p>
    <w:p w:rsidR="0015152C" w:rsidRDefault="0015152C" w:rsidP="00840D68">
      <w:pPr>
        <w:pStyle w:val="Heading1"/>
      </w:pPr>
      <w:r>
        <w:t>To do</w:t>
      </w:r>
    </w:p>
    <w:p w:rsidR="0015152C" w:rsidRDefault="0015152C" w:rsidP="0015152C">
      <w:pPr>
        <w:pStyle w:val="ListParagraph"/>
        <w:numPr>
          <w:ilvl w:val="0"/>
          <w:numId w:val="4"/>
        </w:numPr>
      </w:pPr>
      <w:r>
        <w:t xml:space="preserve">Check </w:t>
      </w:r>
      <w:r>
        <w:fldChar w:fldCharType="begin" w:fldLock="1"/>
      </w:r>
      <w:r>
        <w:instrText>ADDIN CSL_CITATION { "citationItems" : [ { "id" : "ITEM-1", "itemData" : { "DOI" : "10.1287/orsc.12.4.414.10639", "ISSN" : "1047-7039, 1526-5455", "abstract" : "This paper builds on prior theory and research on attention and identity to examine whether and how industries publicly attend to external events. Events are critical triggers of institutional transformation and industry evolution. However, they must first become the focus of public attention to have this effect. We draw on a paired case comparison of media coverage of eight nonroutine events affecting the natural environment and the U.S. chemical industry. We employ both deductive and inductive analysis to develop a model and hypotheses to explain two research questions. First, what determines the initial public attention to an event? Second, when and why do certain events attain high and sustained levels of industry attention? A key inference is that whether an event receives industry-level attention depends on either outsiders holding the industry accountable for the event, or insiders' internal concerns with the industry image. We further infer that an event can be transformed into a critical issue for an industry, warranting sustained attention, if there is contestation with outsiders over the accountability for the event and its enactment, and internal contradictions and challenges to the industry's identity.", "author" : [ { "dropping-particle" : "", "family" : "Hoffman", "given" : "Andrew J", "non-dropping-particle" : "", "parse-names" : false, "suffix" : "" }, { "dropping-particle" : "", "family" : "Ocasio", "given" : "William", "non-dropping-particle" : "", "parse-names" : false, "suffix" : "" } ], "container-title" : "Organization Science", "id" : "ITEM-1", "issue" : "4", "issued" : { "date-parts" : [ [ "2001", "7" ] ] }, "language" : "en", "note" : "From Duplicate 3 (Not all events are attended equally: Toward a middle-range theory of industry attention to external events - Hoffman, Andrew J; Ocasio, William)\n\nTriggering events", "page" : "414-434", "title" : "Not All Events Are Attended Equally: Toward a Middle-Range Theory of Industry Attention to External Events", "title-short" : "Not All Events Are Attended Equally", "type" : "article-journal", "volume" : "12" }, "uris" : [ "http://www.mendeley.com/documents/?uuid=66afb2a0-da91-42b2-a166-fc76e10524c5" ] } ], "mendeley" : { "formattedCitation" : "(Hoffman &amp; Ocasio, 2001)", "plainTextFormattedCitation" : "(Hoffman &amp; Ocasio, 2001)", "previouslyFormattedCitation" : "(Hoffman &amp; Ocasio, 2001)" }, "properties" : {  }, "schema" : "https://github.com/citation-style-language/schema/raw/master/csl-citation.json" }</w:instrText>
      </w:r>
      <w:r>
        <w:fldChar w:fldCharType="separate"/>
      </w:r>
      <w:r w:rsidRPr="0015152C">
        <w:rPr>
          <w:noProof/>
        </w:rPr>
        <w:t>(Hoffman &amp; Ocasio, 2001)</w:t>
      </w:r>
      <w:r>
        <w:fldChar w:fldCharType="end"/>
      </w:r>
      <w:r>
        <w:t xml:space="preserve"> for how they used media measures</w:t>
      </w:r>
    </w:p>
    <w:p w:rsidR="0015152C" w:rsidRDefault="0015152C" w:rsidP="0015152C">
      <w:pPr>
        <w:pStyle w:val="ListParagraph"/>
        <w:numPr>
          <w:ilvl w:val="0"/>
          <w:numId w:val="4"/>
        </w:numPr>
      </w:pPr>
      <w:r>
        <w:t xml:space="preserve">Read </w:t>
      </w:r>
      <w:r>
        <w:fldChar w:fldCharType="begin" w:fldLock="1"/>
      </w:r>
      <w:r w:rsidR="00840D68">
        <w:instrText>ADDIN CSL_CITATION { "citationItems" : [ { "id" : "ITEM-1", "itemData" : { "author" : [ { "dropping-particle" : "", "family" : "Fremeth", "given" : "Adam R", "non-dropping-particle" : "", "parse-names" : false, "suffix" : "" }, { "dropping-particle" : "", "family" : "Holburn", "given" : "Guy LF", "non-dropping-particle" : "", "parse-names" : false, "suffix" : "" }, { "dropping-particle" : "", "family" : "Richter", "given" : "Brian K", "non-dropping-particle" : "", "parse-names" : false, "suffix" : "" } ], "container-title" : "Organization Science", "id" : "ITEM-1", "issue" : "2", "issued" : { "date-parts" : [ [ "2016" ] ] }, "page" : "462-482", "title" : "Bridging Qualitative and Quantitative Methods in Organizational Research: Applications of Synthetic Control Methodology in the U. S. Automobile Industry", "type" : "article-journal", "volume" : "27" }, "uris" : [ "http://www.mendeley.com/documents/?uuid=2a0d9599-73fd-45e3-8173-3f556ec25d92" ] } ], "mendeley" : { "formattedCitation" : "(Fremeth, Holburn, &amp; Richter, 2016)", "plainTextFormattedCitation" : "(Fremeth, Holburn, &amp; Richter, 2016)", "previouslyFormattedCitation" : "(Fremeth, Holburn, &amp; Richter, 2016)" }, "properties" : {  }, "schema" : "https://github.com/citation-style-language/schema/raw/master/csl-citation.json" }</w:instrText>
      </w:r>
      <w:r>
        <w:fldChar w:fldCharType="separate"/>
      </w:r>
      <w:r w:rsidRPr="0015152C">
        <w:rPr>
          <w:noProof/>
        </w:rPr>
        <w:t>(Fremeth, Holburn, &amp; Richter, 2016)</w:t>
      </w:r>
      <w:r>
        <w:fldChar w:fldCharType="end"/>
      </w:r>
      <w:r>
        <w:t xml:space="preserve"> on synthetic control identification strategy</w:t>
      </w:r>
    </w:p>
    <w:p w:rsidR="0015152C" w:rsidRDefault="0015152C" w:rsidP="0015152C">
      <w:pPr>
        <w:pStyle w:val="ListParagraph"/>
        <w:numPr>
          <w:ilvl w:val="0"/>
          <w:numId w:val="4"/>
        </w:numPr>
      </w:pPr>
      <w:r>
        <w:t>Use principal component analysis and factor analysis on CSRHub data</w:t>
      </w:r>
    </w:p>
    <w:p w:rsidR="0015152C" w:rsidRDefault="0015152C" w:rsidP="0015152C">
      <w:pPr>
        <w:pStyle w:val="ListParagraph"/>
        <w:numPr>
          <w:ilvl w:val="1"/>
          <w:numId w:val="4"/>
        </w:numPr>
      </w:pPr>
      <w:r>
        <w:t xml:space="preserve">Do this analysis with entire data and with subsets defined by </w:t>
      </w:r>
    </w:p>
    <w:p w:rsidR="0015152C" w:rsidRDefault="0015152C" w:rsidP="0015152C">
      <w:pPr>
        <w:pStyle w:val="ListParagraph"/>
        <w:numPr>
          <w:ilvl w:val="2"/>
          <w:numId w:val="4"/>
        </w:numPr>
      </w:pPr>
      <w:r>
        <w:t>Industry across all years to see if different dynamics exist by industry</w:t>
      </w:r>
    </w:p>
    <w:p w:rsidR="0015152C" w:rsidRDefault="0015152C" w:rsidP="0015152C">
      <w:pPr>
        <w:pStyle w:val="ListParagraph"/>
        <w:numPr>
          <w:ilvl w:val="2"/>
          <w:numId w:val="4"/>
        </w:numPr>
      </w:pPr>
      <w:r>
        <w:t>Year to see if dynamics change over time</w:t>
      </w:r>
    </w:p>
    <w:p w:rsidR="0015152C" w:rsidRDefault="0015152C" w:rsidP="0015152C">
      <w:pPr>
        <w:pStyle w:val="ListParagraph"/>
        <w:numPr>
          <w:ilvl w:val="1"/>
          <w:numId w:val="4"/>
        </w:numPr>
      </w:pPr>
      <w:r>
        <w:t>Examine how well the sub-categories load on the four categories</w:t>
      </w:r>
    </w:p>
    <w:p w:rsidR="0015152C" w:rsidRDefault="0015152C" w:rsidP="0015152C">
      <w:pPr>
        <w:pStyle w:val="ListParagraph"/>
        <w:numPr>
          <w:ilvl w:val="1"/>
          <w:numId w:val="4"/>
        </w:numPr>
      </w:pPr>
      <w:r>
        <w:t>Examine whether this produces factors with combinations of categories that reasonably map to stakeholder groups</w:t>
      </w:r>
    </w:p>
    <w:p w:rsidR="005645CF" w:rsidRDefault="005645CF" w:rsidP="005645CF">
      <w:pPr>
        <w:pStyle w:val="ListParagraph"/>
        <w:numPr>
          <w:ilvl w:val="0"/>
          <w:numId w:val="4"/>
        </w:numPr>
      </w:pPr>
      <w:r>
        <w:t>Develop stakeholder mapping that connects CSRHub and media data. Which stakeholder groups are in there? How to tie data to each group? Which data measures which group?</w:t>
      </w:r>
    </w:p>
    <w:p w:rsidR="005645CF" w:rsidRDefault="005645CF" w:rsidP="005645CF">
      <w:pPr>
        <w:pStyle w:val="ListParagraph"/>
        <w:numPr>
          <w:ilvl w:val="0"/>
          <w:numId w:val="4"/>
        </w:numPr>
      </w:pPr>
      <w:r>
        <w:t>Map CSR types, stakeholder types to CSRHub, CFP types</w:t>
      </w:r>
    </w:p>
    <w:p w:rsidR="005645CF" w:rsidRDefault="005645CF" w:rsidP="005645CF">
      <w:pPr>
        <w:pStyle w:val="ListParagraph"/>
        <w:numPr>
          <w:ilvl w:val="0"/>
          <w:numId w:val="4"/>
        </w:numPr>
      </w:pPr>
      <w:r>
        <w:t>Specify some models of CFP = f (CSP)</w:t>
      </w:r>
    </w:p>
    <w:p w:rsidR="005645CF" w:rsidRDefault="005645CF" w:rsidP="005645CF">
      <w:pPr>
        <w:pStyle w:val="ListParagraph"/>
        <w:numPr>
          <w:ilvl w:val="0"/>
          <w:numId w:val="4"/>
        </w:numPr>
      </w:pPr>
      <w:r>
        <w:t>See Lieberman's SMJ paper on synthetic control</w:t>
      </w:r>
    </w:p>
    <w:p w:rsidR="005645CF" w:rsidRDefault="005645CF" w:rsidP="005645CF">
      <w:pPr>
        <w:pStyle w:val="ListParagraph"/>
        <w:numPr>
          <w:ilvl w:val="0"/>
          <w:numId w:val="4"/>
        </w:numPr>
      </w:pPr>
      <w:r>
        <w:t>Download all Factiva media data</w:t>
      </w:r>
    </w:p>
    <w:p w:rsidR="0015152C" w:rsidRPr="0015152C" w:rsidRDefault="0015152C" w:rsidP="00840D68">
      <w:pPr>
        <w:pStyle w:val="Heading1"/>
      </w:pPr>
      <w:r>
        <w:t>Notes</w:t>
      </w:r>
    </w:p>
    <w:p w:rsidR="00620495" w:rsidRDefault="00620495" w:rsidP="00620495">
      <w:pPr>
        <w:jc w:val="left"/>
      </w:pPr>
      <w:r>
        <w:t>How can I determine which stakeholder groups matter the most to a firm?</w:t>
      </w:r>
    </w:p>
    <w:p w:rsidR="00620495" w:rsidRDefault="00620495" w:rsidP="00620495">
      <w:pPr>
        <w:pStyle w:val="ListParagraph"/>
        <w:numPr>
          <w:ilvl w:val="0"/>
          <w:numId w:val="3"/>
        </w:numPr>
        <w:jc w:val="left"/>
      </w:pPr>
      <w:r>
        <w:t>Stakeholder salience measure</w:t>
      </w:r>
    </w:p>
    <w:p w:rsidR="00620495" w:rsidRDefault="00620495" w:rsidP="00620495">
      <w:pPr>
        <w:pStyle w:val="ListParagraph"/>
        <w:numPr>
          <w:ilvl w:val="0"/>
          <w:numId w:val="3"/>
        </w:numPr>
        <w:jc w:val="left"/>
      </w:pPr>
      <w:r>
        <w:t xml:space="preserve">Also requires theory about (1) what stakeholder groups exist and (2) which of those matter to a </w:t>
      </w:r>
      <w:proofErr w:type="gramStart"/>
      <w:r>
        <w:t>particular firm</w:t>
      </w:r>
      <w:proofErr w:type="gramEnd"/>
      <w:r>
        <w:t>:</w:t>
      </w:r>
    </w:p>
    <w:p w:rsidR="00620495" w:rsidRDefault="00620495" w:rsidP="00620495">
      <w:pPr>
        <w:pStyle w:val="ListParagraph"/>
        <w:numPr>
          <w:ilvl w:val="1"/>
          <w:numId w:val="3"/>
        </w:numPr>
        <w:jc w:val="left"/>
      </w:pPr>
      <w:r>
        <w:lastRenderedPageBreak/>
        <w:t xml:space="preserve">Power, legitimacy, urgency framework </w:t>
      </w:r>
      <w:r>
        <w:fldChar w:fldCharType="begin" w:fldLock="1"/>
      </w:r>
      <w:r>
        <w:instrText>ADDIN CSL_CITATION { "citationItems" : [ { "id" : "ITEM-1", "itemData" : { "author" : [ { "dropping-particle" : "", "family" : "Mitchell", "given" : "Ronald K", "non-dropping-particle" : "", "parse-names" : false, "suffix" : "" }, { "dropping-particle" : "", "family" : "Agle", "given" : "Bradley R", "non-dropping-particle" : "", "parse-names" : false, "suffix" : "" }, { "dropping-particle" : "", "family" : "Wood", "given" : "Donna J", "non-dropping-particle" : "", "parse-names" : false, "suffix" : "" } ], "container-title" : "Academy of Management Review", "id" : "ITEM-1", "issue" : "4", "issued" : { "date-parts" : [ [ "1997" ] ] }, "page" : "853-886", "title" : "Toward a Theory of Stakeholder Identification and Salience: Defining the Principle of Who and What Really Counts", "type" : "article-journal", "volume" : "22" }, "uris" : [ "http://www.mendeley.com/documents/?uuid=a2f2bf78-7166-4786-a64b-2453ef326123" ] } ], "mendeley" : { "formattedCitation" : "(Mitchell, Agle, &amp; Wood, 1997)", "plainTextFormattedCitation" : "(Mitchell, Agle, &amp; Wood, 1997)", "previouslyFormattedCitation" : "(Mitchell, Agle, &amp; Wood, 1997)" }, "properties" : {  }, "schema" : "https://github.com/citation-style-language/schema/raw/master/csl-citation.json" }</w:instrText>
      </w:r>
      <w:r>
        <w:fldChar w:fldCharType="separate"/>
      </w:r>
      <w:r w:rsidRPr="00620495">
        <w:rPr>
          <w:noProof/>
        </w:rPr>
        <w:t>(Mitchell, Agle, &amp; Wood, 1997)</w:t>
      </w:r>
      <w:r>
        <w:fldChar w:fldCharType="end"/>
      </w:r>
    </w:p>
    <w:p w:rsidR="00620495" w:rsidRDefault="00620495" w:rsidP="00620495">
      <w:pPr>
        <w:pStyle w:val="ListParagraph"/>
        <w:numPr>
          <w:ilvl w:val="1"/>
          <w:numId w:val="3"/>
        </w:numPr>
        <w:jc w:val="left"/>
      </w:pPr>
      <w:r>
        <w:t xml:space="preserve">Organizational lifecycle approach </w:t>
      </w:r>
      <w:r>
        <w:fldChar w:fldCharType="begin" w:fldLock="1"/>
      </w:r>
      <w:r>
        <w:instrText>ADDIN CSL_CITATION { "citationItems" : [ { "id" : "ITEM-1", "itemData" : { "DOI" : "10.1016/j.sysarc.2007.12.004", "ISBN" : "0020-739X\\r1464-5211", "ISSN" : "13837621", "PMID" : "9711022105", "author" : [ { "dropping-particle" : "", "family" : "Jawahar", "given" : "IM", "non-dropping-particle" : "", "parse-names" : false, "suffix" : "" }, { "dropping-particle" : "", "family" : "McLaughlin", "given" : "Gary L", "non-dropping-particle" : "", "parse-names" : false, "suffix" : "" } ], "container-title" : "Academy of Management Review", "id" : "ITEM-1", "issue" : "3", "issued" : { "date-parts" : [ [ "2001" ] ] }, "page" : "397-414", "title" : "Toward a Descriptive Stakeholder Theory: An Organizational Life Cycle Approach", "type" : "article-journal", "volume" : "26" }, "uris" : [ "http://www.mendeley.com/documents/?uuid=0e721170-b217-4a1f-8f03-8d7426fea3a4" ] } ], "mendeley" : { "formattedCitation" : "(Jawahar &amp; McLaughlin, 2001)", "plainTextFormattedCitation" : "(Jawahar &amp; McLaughlin, 2001)", "previouslyFormattedCitation" : "(Jawahar &amp; McLaughlin, 2001)" }, "properties" : {  }, "schema" : "https://github.com/citation-style-language/schema/raw/master/csl-citation.json" }</w:instrText>
      </w:r>
      <w:r>
        <w:fldChar w:fldCharType="separate"/>
      </w:r>
      <w:r w:rsidRPr="00620495">
        <w:rPr>
          <w:noProof/>
        </w:rPr>
        <w:t>(Jawahar &amp; McLaughlin, 2001)</w:t>
      </w:r>
      <w:r>
        <w:fldChar w:fldCharType="end"/>
      </w:r>
    </w:p>
    <w:p w:rsidR="002D32D4" w:rsidRDefault="00620495" w:rsidP="002D32D4">
      <w:pPr>
        <w:pStyle w:val="ListParagraph"/>
        <w:numPr>
          <w:ilvl w:val="1"/>
          <w:numId w:val="3"/>
        </w:numPr>
        <w:jc w:val="left"/>
      </w:pPr>
      <w:r>
        <w:t xml:space="preserve">Organization-stakeholder fit </w:t>
      </w:r>
      <w:r>
        <w:fldChar w:fldCharType="begin" w:fldLock="1"/>
      </w:r>
      <w:r w:rsidR="0015152C">
        <w:instrText>ADDIN CSL_CITATION { "citationItems" : [ { "id" : "ITEM-1", "itemData" : { "DOI" : "10.1002/smj.2736", "ISSN" : "10970266", "abstract" : "Research Summary: We advance the concept of organization-stakeholder fit (O-S fit) to explain cooperative behavior between an organization and its stakeholders. O-S fit describes the compatibility that exists between an organization and a stakeholder when their characteristics are well matched. We highlight two dimensions of O-S fit: value congruence, or the supplementary fit of organizational and stakeholder values, and strategic complementarity, or the complementary fit of strategic needs and resources. For each dimension, we detail the unique relational factors\u2014including core elements of trust, predictability, attraction/exchange, and communication\u2014that motivate cooperation. We then explicate the ways in which value congruence and strategic complementarity dynamically interrelate over time. Finally, we consider how organization-stakeholder misfit may result in alternative relational behaviors, such as conflict or compromise. Managerial Summary: We develop a new way of thinking about the relationship between organizations and stakeholders. Recognizing that positive relationships require a degree of fit or compatibility, we argue that cooperative behavior between an organization and its stakeholders is maximized when relational partners share both core values and strategic priorities. We explain that high fit along these two dimensions increases trust, relational predictability, attraction/exchange, and communication. We also describe how positive relationships might be formed with fit along only one dimension, and how negative relationships might result in the presence of misfit. Ultimately, we suggest that managers who want to foster positive relationships with stakeholders should concentrate on aligning their values and priorities, rather than simply concentrating on one or the other.", "author" : [ { "dropping-particle" : "", "family" : "Bundy", "given" : "Jonathan", "non-dropping-particle" : "", "parse-names" : false, "suffix" : "" }, { "dropping-particle" : "", "family" : "Vogel", "given" : "Ryan M. M.", "non-dropping-particle" : "", "parse-names" : false, "suffix" : "" }, { "dropping-particle" : "", "family" : "Zachary", "given" : "Miles A. A.", "non-dropping-particle" : "", "parse-names" : false, "suffix" : "" } ], "container-title" : "Strategic Management Journal", "id" : "ITEM-1", "issue" : "2", "issued" : { "date-parts" : [ [ "2018" ] ] }, "page" : "476-501", "title" : "Organization\u2013stakeholder fit: A dynamic theory of cooperation, compromise, and conflict between an organization and its stakeholders", "type" : "article-journal", "volume" : "39" }, "uris" : [ "http://www.mendeley.com/documents/?uuid=7573b232-7ea1-435d-b67a-eae08301b088" ] } ], "mendeley" : { "formattedCitation" : "(Bundy, Vogel, &amp; Zachary, 2018)", "plainTextFormattedCitation" : "(Bundy, Vogel, &amp; Zachary, 2018)", "previouslyFormattedCitation" : "(Bundy, Vogel, &amp; Zachary, 2018)" }, "properties" : {  }, "schema" : "https://github.com/citation-style-language/schema/raw/master/csl-citation.json" }</w:instrText>
      </w:r>
      <w:r>
        <w:fldChar w:fldCharType="separate"/>
      </w:r>
      <w:r w:rsidRPr="00620495">
        <w:rPr>
          <w:noProof/>
        </w:rPr>
        <w:t>(Bundy, Vogel, &amp; Zachary, 2018)</w:t>
      </w:r>
      <w:r>
        <w:fldChar w:fldCharType="end"/>
      </w:r>
    </w:p>
    <w:p w:rsidR="002D32D4" w:rsidRDefault="002D32D4" w:rsidP="002D32D4">
      <w:pPr>
        <w:pStyle w:val="ListParagraph"/>
        <w:numPr>
          <w:ilvl w:val="0"/>
          <w:numId w:val="3"/>
        </w:numPr>
        <w:jc w:val="left"/>
      </w:pPr>
      <w:r>
        <w:t>News articles measure</w:t>
      </w:r>
    </w:p>
    <w:p w:rsidR="002D32D4" w:rsidRDefault="002D32D4" w:rsidP="002D32D4">
      <w:pPr>
        <w:pStyle w:val="ListParagraph"/>
        <w:numPr>
          <w:ilvl w:val="1"/>
          <w:numId w:val="3"/>
        </w:numPr>
        <w:jc w:val="left"/>
      </w:pPr>
      <w:r>
        <w:t>Can I do positive/negative sentiment analysis on the articles?</w:t>
      </w:r>
    </w:p>
    <w:p w:rsidR="002D32D4" w:rsidRDefault="002D32D4" w:rsidP="002D32D4">
      <w:pPr>
        <w:pStyle w:val="ListParagraph"/>
        <w:numPr>
          <w:ilvl w:val="0"/>
          <w:numId w:val="3"/>
        </w:numPr>
        <w:jc w:val="left"/>
      </w:pPr>
      <w:r>
        <w:t>Public opinion polling data</w:t>
      </w:r>
    </w:p>
    <w:p w:rsidR="002D32D4" w:rsidRDefault="002D32D4" w:rsidP="002D32D4">
      <w:pPr>
        <w:pStyle w:val="ListParagraph"/>
        <w:numPr>
          <w:ilvl w:val="1"/>
          <w:numId w:val="3"/>
        </w:numPr>
        <w:jc w:val="left"/>
      </w:pPr>
      <w:r>
        <w:t>Assess which issues are most important to the public and how that changes over time</w:t>
      </w:r>
    </w:p>
    <w:p w:rsidR="0015152C" w:rsidRDefault="0015152C" w:rsidP="002D32D4">
      <w:pPr>
        <w:pStyle w:val="ListParagraph"/>
        <w:numPr>
          <w:ilvl w:val="1"/>
          <w:numId w:val="3"/>
        </w:numPr>
        <w:jc w:val="left"/>
      </w:pPr>
      <w:r>
        <w:t>National Opinion Research Center</w:t>
      </w:r>
    </w:p>
    <w:p w:rsidR="0015152C" w:rsidRDefault="0015152C" w:rsidP="0015152C">
      <w:pPr>
        <w:jc w:val="left"/>
      </w:pPr>
      <w:r>
        <w:t>Nested levels of analysis</w:t>
      </w:r>
    </w:p>
    <w:p w:rsidR="0015152C" w:rsidRDefault="0015152C" w:rsidP="0015152C">
      <w:pPr>
        <w:pStyle w:val="ListParagraph"/>
        <w:numPr>
          <w:ilvl w:val="0"/>
          <w:numId w:val="5"/>
        </w:numPr>
        <w:jc w:val="left"/>
      </w:pPr>
      <w:r>
        <w:t>Analysis can be at industry and firm level, with firms in industries</w:t>
      </w:r>
    </w:p>
    <w:p w:rsidR="0015152C" w:rsidRDefault="0015152C" w:rsidP="0015152C">
      <w:pPr>
        <w:pStyle w:val="ListParagraph"/>
        <w:numPr>
          <w:ilvl w:val="0"/>
          <w:numId w:val="5"/>
        </w:numPr>
        <w:jc w:val="left"/>
      </w:pPr>
      <w:r>
        <w:t>Can look at outcomes for industry (differences in CSRHub scores, etc.) and firm (performance)</w:t>
      </w:r>
    </w:p>
    <w:p w:rsidR="00840D68" w:rsidRDefault="00840D68" w:rsidP="00840D68">
      <w:pPr>
        <w:jc w:val="left"/>
      </w:pPr>
      <w:r>
        <w:t>Modeling CFP = f (CSP)</w:t>
      </w:r>
    </w:p>
    <w:p w:rsidR="00840D68" w:rsidRDefault="00840D68" w:rsidP="00840D68">
      <w:pPr>
        <w:pStyle w:val="ListParagraph"/>
        <w:numPr>
          <w:ilvl w:val="0"/>
          <w:numId w:val="6"/>
        </w:numPr>
        <w:jc w:val="left"/>
      </w:pPr>
      <w:r>
        <w:t>How to conceptualize and measure treatment?</w:t>
      </w:r>
    </w:p>
    <w:p w:rsidR="00840D68" w:rsidRDefault="00840D68" w:rsidP="00840D68">
      <w:pPr>
        <w:pStyle w:val="ListParagraph"/>
        <w:numPr>
          <w:ilvl w:val="1"/>
          <w:numId w:val="6"/>
        </w:numPr>
        <w:jc w:val="left"/>
      </w:pPr>
      <w:r>
        <w:t>High/low CSP?</w:t>
      </w:r>
    </w:p>
    <w:p w:rsidR="00840D68" w:rsidRDefault="00840D68" w:rsidP="00840D68">
      <w:pPr>
        <w:pStyle w:val="ListParagraph"/>
        <w:numPr>
          <w:ilvl w:val="1"/>
          <w:numId w:val="6"/>
        </w:numPr>
        <w:jc w:val="left"/>
      </w:pPr>
      <w:r>
        <w:t>+/- 2 standard deviations from median or mean value for year/industry?</w:t>
      </w:r>
    </w:p>
    <w:p w:rsidR="00840D68" w:rsidRDefault="00840D68" w:rsidP="00840D68">
      <w:pPr>
        <w:pStyle w:val="ListParagraph"/>
        <w:numPr>
          <w:ilvl w:val="1"/>
          <w:numId w:val="6"/>
        </w:numPr>
        <w:jc w:val="left"/>
      </w:pPr>
      <w:r>
        <w:t>Run analysis using many different cut points for high/low CSP</w:t>
      </w:r>
    </w:p>
    <w:p w:rsidR="00840D68" w:rsidRDefault="00840D68" w:rsidP="00840D68">
      <w:pPr>
        <w:pStyle w:val="ListParagraph"/>
        <w:numPr>
          <w:ilvl w:val="0"/>
          <w:numId w:val="6"/>
        </w:numPr>
        <w:jc w:val="left"/>
      </w:pPr>
      <w:r>
        <w:t>If stakeholder management is strategic, need to model CSR for multiple stakeholders, not use aggregate CSR</w:t>
      </w:r>
    </w:p>
    <w:p w:rsidR="00840D68" w:rsidRDefault="00840D68" w:rsidP="00840D68">
      <w:pPr>
        <w:pStyle w:val="ListParagraph"/>
        <w:numPr>
          <w:ilvl w:val="1"/>
          <w:numId w:val="6"/>
        </w:numPr>
        <w:jc w:val="left"/>
      </w:pPr>
      <w:r>
        <w:t xml:space="preserve">Connects to </w:t>
      </w:r>
      <w:r>
        <w:fldChar w:fldCharType="begin" w:fldLock="1"/>
      </w:r>
      <w:r>
        <w:instrText>ADDIN CSL_CITATION { "citationItems" : [ { "id" : "ITEM-1", "itemData" : { "DOI" : "10.1002/smj.2736", "ISSN" : "10970266", "abstract" : "Research Summary: We advance the concept of organization-stakeholder fit (O-S fit) to explain cooperative behavior between an organization and its stakeholders. O-S fit describes the compatibility that exists between an organization and a stakeholder when their characteristics are well matched. We highlight two dimensions of O-S fit: value congruence, or the supplementary fit of organizational and stakeholder values, and strategic complementarity, or the complementary fit of strategic needs and resources. For each dimension, we detail the unique relational factors\u2014including core elements of trust, predictability, attraction/exchange, and communication\u2014that motivate cooperation. We then explicate the ways in which value congruence and strategic complementarity dynamically interrelate over time. Finally, we consider how organization-stakeholder misfit may result in alternative relational behaviors, such as conflict or compromise. Managerial Summary: We develop a new way of thinking about the relationship between organizations and stakeholders. Recognizing that positive relationships require a degree of fit or compatibility, we argue that cooperative behavior between an organization and its stakeholders is maximized when relational partners share both core values and strategic priorities. We explain that high fit along these two dimensions increases trust, relational predictability, attraction/exchange, and communication. We also describe how positive relationships might be formed with fit along only one dimension, and how negative relationships might result in the presence of misfit. Ultimately, we suggest that managers who want to foster positive relationships with stakeholders should concentrate on aligning their values and priorities, rather than simply concentrating on one or the other.", "author" : [ { "dropping-particle" : "", "family" : "Bundy", "given" : "Jonathan", "non-dropping-particle" : "", "parse-names" : false, "suffix" : "" }, { "dropping-particle" : "", "family" : "Vogel", "given" : "Ryan M. M.", "non-dropping-particle" : "", "parse-names" : false, "suffix" : "" }, { "dropping-particle" : "", "family" : "Zachary", "given" : "Miles A. A.", "non-dropping-particle" : "", "parse-names" : false, "suffix" : "" } ], "container-title" : "Strategic Management Journal", "id" : "ITEM-1", "issue" : "2", "issued" : { "date-parts" : [ [ "2018" ] ] }, "page" : "476-501", "title" : "Organization\u2013stakeholder fit: A dynamic theory of cooperation, compromise, and conflict between an organization and its stakeholders", "type" : "article-journal", "volume" : "39" }, "uris" : [ "http://www.mendeley.com/documents/?uuid=7573b232-7ea1-435d-b67a-eae08301b088" ] } ], "mendeley" : { "formattedCitation" : "(Bundy et al., 2018)", "plainTextFormattedCitation" : "(Bundy et al., 2018)" }, "properties" : {  }, "schema" : "https://github.com/citation-style-language/schema/raw/master/csl-citation.json" }</w:instrText>
      </w:r>
      <w:r>
        <w:fldChar w:fldCharType="separate"/>
      </w:r>
      <w:r w:rsidRPr="00840D68">
        <w:rPr>
          <w:noProof/>
        </w:rPr>
        <w:t>(Bundy et al., 2018)</w:t>
      </w:r>
      <w:r>
        <w:fldChar w:fldCharType="end"/>
      </w:r>
      <w:r>
        <w:t xml:space="preserve"> call for theory and empirical work considering how the firm interacts with many stakeholders rather than one at a time.</w:t>
      </w:r>
    </w:p>
    <w:p w:rsidR="00700170" w:rsidRDefault="00700170" w:rsidP="00700170">
      <w:pPr>
        <w:jc w:val="left"/>
      </w:pPr>
      <w:r>
        <w:t>Contribution</w:t>
      </w:r>
    </w:p>
    <w:p w:rsidR="00D60F30" w:rsidRDefault="00700170" w:rsidP="00D60F30">
      <w:pPr>
        <w:pStyle w:val="ListParagraph"/>
        <w:numPr>
          <w:ilvl w:val="0"/>
          <w:numId w:val="7"/>
        </w:numPr>
        <w:jc w:val="left"/>
      </w:pPr>
      <w:r>
        <w:lastRenderedPageBreak/>
        <w:t>Demonstrating that the CSP-CFP relationship differs by industry and cannot be assumed to operate the same way for all firms.</w:t>
      </w:r>
    </w:p>
    <w:p w:rsidR="00781A3B" w:rsidRDefault="00781A3B" w:rsidP="00781A3B">
      <w:pPr>
        <w:jc w:val="left"/>
      </w:pPr>
    </w:p>
    <w:p w:rsidR="00781A3B" w:rsidRDefault="00781A3B" w:rsidP="00781A3B">
      <w:pPr>
        <w:jc w:val="left"/>
      </w:pPr>
      <w:bookmarkStart w:id="0" w:name="_GoBack"/>
      <w:r>
        <w:rPr>
          <w:noProof/>
        </w:rPr>
        <w:drawing>
          <wp:inline distT="0" distB="0" distL="0" distR="0">
            <wp:extent cx="5943600" cy="402286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BEBA8EAE-BF5A-486C-A8C5-ECC9F3942E4B}">
                          <a14:imgProps xmlns:a14="http://schemas.microsoft.com/office/drawing/2010/main">
                            <a14:imgLayer r:embed="rId6">
                              <a14:imgEffect>
                                <a14:brightnessContrast bright="40000" contrast="-20000"/>
                              </a14:imgEffect>
                            </a14:imgLayer>
                          </a14:imgProps>
                        </a:ext>
                        <a:ext uri="{28A0092B-C50C-407E-A947-70E740481C1C}">
                          <a14:useLocalDpi xmlns:a14="http://schemas.microsoft.com/office/drawing/2010/main"/>
                        </a:ext>
                      </a:extLst>
                    </a:blip>
                    <a:srcRect/>
                    <a:stretch>
                      <a:fillRect/>
                    </a:stretch>
                  </pic:blipFill>
                  <pic:spPr bwMode="auto">
                    <a:xfrm>
                      <a:off x="0" y="0"/>
                      <a:ext cx="5943600" cy="4022868"/>
                    </a:xfrm>
                    <a:prstGeom prst="rect">
                      <a:avLst/>
                    </a:prstGeom>
                    <a:noFill/>
                    <a:ln>
                      <a:noFill/>
                    </a:ln>
                  </pic:spPr>
                </pic:pic>
              </a:graphicData>
            </a:graphic>
          </wp:inline>
        </w:drawing>
      </w:r>
      <w:bookmarkEnd w:id="0"/>
    </w:p>
    <w:sectPr w:rsidR="00781A3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0D500D"/>
    <w:multiLevelType w:val="hybridMultilevel"/>
    <w:tmpl w:val="CE784888"/>
    <w:lvl w:ilvl="0" w:tplc="26D4F064">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032BB6"/>
    <w:multiLevelType w:val="hybridMultilevel"/>
    <w:tmpl w:val="3348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2223F4"/>
    <w:multiLevelType w:val="hybridMultilevel"/>
    <w:tmpl w:val="F37A5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562CF3"/>
    <w:multiLevelType w:val="hybridMultilevel"/>
    <w:tmpl w:val="F48AFC42"/>
    <w:lvl w:ilvl="0" w:tplc="209EB0C0">
      <w:start w:val="1"/>
      <w:numFmt w:val="decimal"/>
      <w:lvlText w:val="H%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E0278B"/>
    <w:multiLevelType w:val="hybridMultilevel"/>
    <w:tmpl w:val="63BA6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0508B0"/>
    <w:multiLevelType w:val="hybridMultilevel"/>
    <w:tmpl w:val="09B0E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AE7B9A"/>
    <w:multiLevelType w:val="hybridMultilevel"/>
    <w:tmpl w:val="381E4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5"/>
  </w:num>
  <w:num w:numId="4">
    <w:abstractNumId w:val="2"/>
  </w:num>
  <w:num w:numId="5">
    <w:abstractNumId w:val="1"/>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528"/>
    <w:rsid w:val="00004A23"/>
    <w:rsid w:val="00021FDB"/>
    <w:rsid w:val="0006511D"/>
    <w:rsid w:val="00134107"/>
    <w:rsid w:val="0014059F"/>
    <w:rsid w:val="0015152C"/>
    <w:rsid w:val="001B6272"/>
    <w:rsid w:val="00201049"/>
    <w:rsid w:val="0022754A"/>
    <w:rsid w:val="0028718B"/>
    <w:rsid w:val="002D32D4"/>
    <w:rsid w:val="00326270"/>
    <w:rsid w:val="003838CF"/>
    <w:rsid w:val="003951A4"/>
    <w:rsid w:val="00415862"/>
    <w:rsid w:val="00475384"/>
    <w:rsid w:val="00510399"/>
    <w:rsid w:val="005645CF"/>
    <w:rsid w:val="00573FFC"/>
    <w:rsid w:val="00575A39"/>
    <w:rsid w:val="00590666"/>
    <w:rsid w:val="005B35E5"/>
    <w:rsid w:val="00620495"/>
    <w:rsid w:val="006C1FA7"/>
    <w:rsid w:val="006E590E"/>
    <w:rsid w:val="00700170"/>
    <w:rsid w:val="00713BFC"/>
    <w:rsid w:val="00781A3B"/>
    <w:rsid w:val="00782A99"/>
    <w:rsid w:val="008277C6"/>
    <w:rsid w:val="008310C6"/>
    <w:rsid w:val="00840D68"/>
    <w:rsid w:val="00891F90"/>
    <w:rsid w:val="00937AAA"/>
    <w:rsid w:val="009626E3"/>
    <w:rsid w:val="00976456"/>
    <w:rsid w:val="009B4EA3"/>
    <w:rsid w:val="009D1558"/>
    <w:rsid w:val="009E23F1"/>
    <w:rsid w:val="00A04B71"/>
    <w:rsid w:val="00A26280"/>
    <w:rsid w:val="00AE30C2"/>
    <w:rsid w:val="00AE7924"/>
    <w:rsid w:val="00B21E28"/>
    <w:rsid w:val="00BA12BD"/>
    <w:rsid w:val="00BB6471"/>
    <w:rsid w:val="00BF7484"/>
    <w:rsid w:val="00C37C2A"/>
    <w:rsid w:val="00CD4849"/>
    <w:rsid w:val="00D60B85"/>
    <w:rsid w:val="00D60F30"/>
    <w:rsid w:val="00D729D0"/>
    <w:rsid w:val="00D7383E"/>
    <w:rsid w:val="00D823EE"/>
    <w:rsid w:val="00E15528"/>
    <w:rsid w:val="00E25AB4"/>
    <w:rsid w:val="00E42DA0"/>
    <w:rsid w:val="00E75778"/>
    <w:rsid w:val="00E901B4"/>
    <w:rsid w:val="00EB681E"/>
    <w:rsid w:val="00EE34FC"/>
    <w:rsid w:val="00EE636E"/>
    <w:rsid w:val="00FA1DE3"/>
    <w:rsid w:val="00FD4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7AE73"/>
  <w15:chartTrackingRefBased/>
  <w15:docId w15:val="{11A70A1A-D503-40A8-A3B5-CA9ABCB4C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b/>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B4EA3"/>
    <w:pPr>
      <w:spacing w:line="480" w:lineRule="auto"/>
      <w:jc w:val="both"/>
    </w:pPr>
    <w:rPr>
      <w:b w:val="0"/>
    </w:rPr>
  </w:style>
  <w:style w:type="paragraph" w:styleId="Heading1">
    <w:name w:val="heading 1"/>
    <w:basedOn w:val="Normal"/>
    <w:next w:val="Normal"/>
    <w:link w:val="Heading1Char"/>
    <w:autoRedefine/>
    <w:uiPriority w:val="9"/>
    <w:qFormat/>
    <w:rsid w:val="008310C6"/>
    <w:pPr>
      <w:keepNext/>
      <w:jc w:val="left"/>
      <w:outlineLvl w:val="0"/>
    </w:pPr>
    <w:rPr>
      <w:b/>
      <w:caps/>
    </w:rPr>
  </w:style>
  <w:style w:type="paragraph" w:styleId="Heading2">
    <w:name w:val="heading 2"/>
    <w:basedOn w:val="Normal"/>
    <w:next w:val="Normal"/>
    <w:link w:val="Heading2Char"/>
    <w:uiPriority w:val="9"/>
    <w:unhideWhenUsed/>
    <w:qFormat/>
    <w:rsid w:val="00AE30C2"/>
    <w:pPr>
      <w:keepNext/>
      <w:outlineLvl w:val="1"/>
    </w:pPr>
    <w:rPr>
      <w:b/>
    </w:rPr>
  </w:style>
  <w:style w:type="paragraph" w:styleId="Heading3">
    <w:name w:val="heading 3"/>
    <w:basedOn w:val="Heading2"/>
    <w:next w:val="Normal"/>
    <w:link w:val="Heading3Char"/>
    <w:uiPriority w:val="9"/>
    <w:unhideWhenUsed/>
    <w:qFormat/>
    <w:rsid w:val="009D1558"/>
    <w:pPr>
      <w:jc w:val="left"/>
      <w:outlineLvl w:val="2"/>
    </w:pPr>
    <w:rPr>
      <w:b w:val="0"/>
      <w:i/>
    </w:rPr>
  </w:style>
  <w:style w:type="paragraph" w:styleId="Heading4">
    <w:name w:val="heading 4"/>
    <w:basedOn w:val="Normal"/>
    <w:next w:val="Normal"/>
    <w:link w:val="Heading4Char"/>
    <w:uiPriority w:val="9"/>
    <w:unhideWhenUsed/>
    <w:qFormat/>
    <w:rsid w:val="00AE30C2"/>
    <w:pPr>
      <w:spacing w:before="120" w:line="360" w:lineRule="auto"/>
      <w:jc w:val="left"/>
      <w:outlineLvl w:val="3"/>
    </w:pPr>
    <w:rPr>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10C6"/>
    <w:rPr>
      <w:caps/>
    </w:rPr>
  </w:style>
  <w:style w:type="character" w:customStyle="1" w:styleId="Heading2Char">
    <w:name w:val="Heading 2 Char"/>
    <w:basedOn w:val="DefaultParagraphFont"/>
    <w:link w:val="Heading2"/>
    <w:uiPriority w:val="9"/>
    <w:rsid w:val="00AE30C2"/>
  </w:style>
  <w:style w:type="character" w:customStyle="1" w:styleId="Heading3Char">
    <w:name w:val="Heading 3 Char"/>
    <w:basedOn w:val="DefaultParagraphFont"/>
    <w:link w:val="Heading3"/>
    <w:uiPriority w:val="9"/>
    <w:rsid w:val="009D1558"/>
    <w:rPr>
      <w:b w:val="0"/>
      <w:i/>
    </w:rPr>
  </w:style>
  <w:style w:type="character" w:customStyle="1" w:styleId="Heading4Char">
    <w:name w:val="Heading 4 Char"/>
    <w:basedOn w:val="DefaultParagraphFont"/>
    <w:link w:val="Heading4"/>
    <w:uiPriority w:val="9"/>
    <w:rsid w:val="00AE30C2"/>
    <w:rPr>
      <w:b w:val="0"/>
      <w:u w:val="single"/>
    </w:rPr>
  </w:style>
  <w:style w:type="paragraph" w:styleId="Title">
    <w:name w:val="Title"/>
    <w:basedOn w:val="Normal"/>
    <w:next w:val="Normal"/>
    <w:link w:val="TitleChar"/>
    <w:uiPriority w:val="10"/>
    <w:qFormat/>
    <w:rsid w:val="00134107"/>
    <w:pPr>
      <w:spacing w:line="240" w:lineRule="auto"/>
      <w:contextualSpacing/>
      <w:jc w:val="center"/>
    </w:pPr>
    <w:rPr>
      <w:rFonts w:eastAsiaTheme="majorEastAsia" w:cstheme="majorBidi"/>
      <w:b/>
      <w:caps/>
      <w:spacing w:val="-10"/>
      <w:kern w:val="28"/>
      <w:szCs w:val="56"/>
    </w:rPr>
  </w:style>
  <w:style w:type="character" w:customStyle="1" w:styleId="TitleChar">
    <w:name w:val="Title Char"/>
    <w:basedOn w:val="DefaultParagraphFont"/>
    <w:link w:val="Title"/>
    <w:uiPriority w:val="10"/>
    <w:rsid w:val="00134107"/>
    <w:rPr>
      <w:rFonts w:eastAsiaTheme="majorEastAsia" w:cstheme="majorBidi"/>
      <w:caps/>
      <w:spacing w:val="-10"/>
      <w:kern w:val="28"/>
      <w:szCs w:val="56"/>
    </w:rPr>
  </w:style>
  <w:style w:type="paragraph" w:styleId="ListParagraph">
    <w:name w:val="List Paragraph"/>
    <w:basedOn w:val="Normal"/>
    <w:uiPriority w:val="34"/>
    <w:qFormat/>
    <w:rsid w:val="006204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07/relationships/hdphoto" Target="media/hdphoto1.wdp"/><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96</TotalTime>
  <Pages>3</Pages>
  <Words>2252</Words>
  <Characters>12841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Poggioli</dc:creator>
  <cp:keywords/>
  <dc:description/>
  <cp:lastModifiedBy>Nicholas Poggioli</cp:lastModifiedBy>
  <cp:revision>6</cp:revision>
  <dcterms:created xsi:type="dcterms:W3CDTF">2018-05-01T14:27:00Z</dcterms:created>
  <dcterms:modified xsi:type="dcterms:W3CDTF">2018-05-01T16:03:00Z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b112d4eb-eb61-31da-bf05-740db4838ad2</vt:lpwstr>
  </property>
  <property fmtid="{D5CDD505-2E9C-101B-9397-08002B2CF9AE}" pid="4" name="Mendeley Citation Style_1">
    <vt:lpwstr>http://www.zotero.org/styles/apa</vt:lpwstr>
  </property>
</Properties>
</file>