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18111" w14:textId="77777777" w:rsidR="0038091B" w:rsidRPr="00413CDB" w:rsidRDefault="00000000">
      <w:pPr>
        <w:pStyle w:val="Title"/>
        <w:rPr>
          <w:color w:val="000000" w:themeColor="text1"/>
          <w:lang w:val="pt-BR"/>
        </w:rPr>
      </w:pPr>
      <w:r w:rsidRPr="00413CDB">
        <w:rPr>
          <w:color w:val="000000" w:themeColor="text1"/>
          <w:lang w:val="pt-BR"/>
        </w:rPr>
        <w:t>A contradição imanente da sustentabilidade corporativa</w:t>
      </w:r>
    </w:p>
    <w:p w14:paraId="08DEA0F7" w14:textId="1EF69808" w:rsidR="0038091B" w:rsidRDefault="00000000" w:rsidP="00413CDB">
      <w:pPr>
        <w:pStyle w:val="Author"/>
        <w:rPr>
          <w:lang w:val="pt-BR"/>
        </w:rPr>
      </w:pPr>
      <w:r w:rsidRPr="003D38CD">
        <w:rPr>
          <w:lang w:val="pt-BR"/>
        </w:rPr>
        <w:t>Nicholas Funari Voltani</w:t>
      </w:r>
    </w:p>
    <w:p w14:paraId="4D8AD84F" w14:textId="77777777" w:rsidR="00F519A9" w:rsidRDefault="00F519A9" w:rsidP="00F519A9">
      <w:pPr>
        <w:pStyle w:val="Bibliography"/>
        <w:rPr>
          <w:b/>
          <w:bCs/>
          <w:lang w:val="pt-BR"/>
        </w:rPr>
      </w:pPr>
    </w:p>
    <w:p w14:paraId="3AAFBEE6" w14:textId="77777777" w:rsidR="00F519A9" w:rsidRDefault="00F519A9" w:rsidP="00F519A9">
      <w:pPr>
        <w:pStyle w:val="Bibliography"/>
        <w:rPr>
          <w:b/>
          <w:bCs/>
          <w:lang w:val="pt-BR"/>
        </w:rPr>
      </w:pPr>
      <w:r w:rsidRPr="00F519A9">
        <w:rPr>
          <w:b/>
          <w:bCs/>
          <w:lang w:val="pt-BR"/>
        </w:rPr>
        <w:t>Res</w:t>
      </w:r>
      <w:r>
        <w:rPr>
          <w:b/>
          <w:bCs/>
          <w:lang w:val="pt-BR"/>
        </w:rPr>
        <w:t>u</w:t>
      </w:r>
      <w:r w:rsidRPr="00F519A9">
        <w:rPr>
          <w:b/>
          <w:bCs/>
          <w:lang w:val="pt-BR"/>
        </w:rPr>
        <w:t>mo</w:t>
      </w:r>
      <w:bookmarkStart w:id="0" w:name="introdução"/>
    </w:p>
    <w:p w14:paraId="38E4944F" w14:textId="77777777" w:rsidR="009B122F" w:rsidRDefault="00F519A9" w:rsidP="009B122F">
      <w:pPr>
        <w:pStyle w:val="Bibliography"/>
        <w:rPr>
          <w:lang w:val="pt-BR"/>
        </w:rPr>
      </w:pPr>
      <w:r>
        <w:rPr>
          <w:lang w:val="pt-BR"/>
        </w:rPr>
        <w:t xml:space="preserve">O presente trabalho busca elucidar como as iniciativas de sustentabilidade feitas pelo meio corporativo não podem ir contra </w:t>
      </w:r>
      <w:r w:rsidRPr="00F519A9">
        <w:rPr>
          <w:lang w:val="pt-BR"/>
        </w:rPr>
        <w:t xml:space="preserve">o </w:t>
      </w:r>
      <w:r w:rsidRPr="00F519A9">
        <w:rPr>
          <w:i/>
          <w:iCs/>
          <w:lang w:val="pt-BR"/>
        </w:rPr>
        <w:t>télos</w:t>
      </w:r>
      <w:r w:rsidRPr="00F519A9">
        <w:rPr>
          <w:lang w:val="pt-BR"/>
        </w:rPr>
        <w:t xml:space="preserve"> do capital — </w:t>
      </w:r>
      <w:r>
        <w:rPr>
          <w:lang w:val="pt-BR"/>
        </w:rPr>
        <w:t xml:space="preserve">a saber, </w:t>
      </w:r>
      <w:r w:rsidRPr="00F519A9">
        <w:rPr>
          <w:lang w:val="pt-BR"/>
        </w:rPr>
        <w:t>a valorização do valor —</w:t>
      </w:r>
      <w:r>
        <w:rPr>
          <w:lang w:val="pt-BR"/>
        </w:rPr>
        <w:t xml:space="preserve">, o qual </w:t>
      </w:r>
      <w:r w:rsidRPr="00F519A9">
        <w:rPr>
          <w:lang w:val="pt-BR"/>
        </w:rPr>
        <w:t>condicion</w:t>
      </w:r>
      <w:r>
        <w:rPr>
          <w:lang w:val="pt-BR"/>
        </w:rPr>
        <w:t xml:space="preserve">a, em última instância, as práticas dos agentes econômicos. </w:t>
      </w:r>
      <w:r w:rsidR="00E1452B" w:rsidRPr="00F519A9">
        <w:rPr>
          <w:lang w:val="pt-BR"/>
        </w:rPr>
        <w:t xml:space="preserve">A partir de um resgate teórico baseado na teoria do valor-trabalho de Marx e na </w:t>
      </w:r>
      <w:r w:rsidR="00E1452B">
        <w:rPr>
          <w:lang w:val="pt-BR"/>
        </w:rPr>
        <w:t>discussão</w:t>
      </w:r>
      <w:r w:rsidR="00E1452B" w:rsidRPr="00F519A9">
        <w:rPr>
          <w:lang w:val="pt-BR"/>
        </w:rPr>
        <w:t xml:space="preserve"> de Lukács</w:t>
      </w:r>
      <w:r w:rsidR="00E1452B">
        <w:rPr>
          <w:lang w:val="pt-BR"/>
        </w:rPr>
        <w:t xml:space="preserve"> sobre trabalho e ética</w:t>
      </w:r>
      <w:r>
        <w:rPr>
          <w:lang w:val="pt-BR"/>
        </w:rPr>
        <w:t xml:space="preserve">, </w:t>
      </w:r>
      <w:r w:rsidR="00E1452B">
        <w:rPr>
          <w:lang w:val="pt-BR"/>
        </w:rPr>
        <w:t xml:space="preserve">busca-se mostrar como tais práticas </w:t>
      </w:r>
      <w:r w:rsidRPr="00F519A9">
        <w:rPr>
          <w:lang w:val="pt-BR"/>
        </w:rPr>
        <w:t xml:space="preserve">não podem ultrapassar um caráter superficial e </w:t>
      </w:r>
      <w:r w:rsidR="00E1452B">
        <w:rPr>
          <w:lang w:val="pt-BR"/>
        </w:rPr>
        <w:t>i</w:t>
      </w:r>
      <w:r w:rsidRPr="00F519A9">
        <w:rPr>
          <w:lang w:val="pt-BR"/>
        </w:rPr>
        <w:t>nstrumental</w:t>
      </w:r>
      <w:r w:rsidR="00E1452B">
        <w:rPr>
          <w:lang w:val="pt-BR"/>
        </w:rPr>
        <w:t xml:space="preserve"> no que tange ao télos do capital.</w:t>
      </w:r>
      <w:r w:rsidR="009B122F">
        <w:rPr>
          <w:lang w:val="pt-BR"/>
        </w:rPr>
        <w:br/>
      </w:r>
      <w:r w:rsidR="009B122F" w:rsidRPr="009B122F">
        <w:rPr>
          <w:b/>
          <w:bCs/>
          <w:lang w:val="pt-BR"/>
        </w:rPr>
        <w:t>Palavras-chave</w:t>
      </w:r>
      <w:r w:rsidR="009B122F" w:rsidRPr="009B122F">
        <w:rPr>
          <w:lang w:val="pt-BR"/>
        </w:rPr>
        <w:t>: Teoria do valor-trabalho, ESG, economia po</w:t>
      </w:r>
      <w:r w:rsidR="009B122F">
        <w:rPr>
          <w:lang w:val="pt-BR"/>
        </w:rPr>
        <w:t>lítica, ética.</w:t>
      </w:r>
    </w:p>
    <w:p w14:paraId="0C829326" w14:textId="77777777" w:rsidR="009B122F" w:rsidRDefault="009B122F" w:rsidP="009B122F">
      <w:pPr>
        <w:pStyle w:val="Bibliography"/>
        <w:rPr>
          <w:b/>
          <w:bCs/>
          <w:lang w:val="pt-BR"/>
        </w:rPr>
      </w:pPr>
    </w:p>
    <w:p w14:paraId="24D3E639" w14:textId="25C83413" w:rsidR="009B122F" w:rsidRPr="009B122F" w:rsidRDefault="009B122F" w:rsidP="009B122F">
      <w:pPr>
        <w:pStyle w:val="Bibliography"/>
      </w:pPr>
      <w:r w:rsidRPr="009B122F">
        <w:rPr>
          <w:b/>
          <w:bCs/>
        </w:rPr>
        <w:t>Abstract</w:t>
      </w:r>
    </w:p>
    <w:p w14:paraId="46C7B602" w14:textId="50CDBC13" w:rsidR="009B122F" w:rsidRPr="00663B00" w:rsidRDefault="009B122F" w:rsidP="009B122F">
      <w:pPr>
        <w:pStyle w:val="Bibliography"/>
        <w:tabs>
          <w:tab w:val="left" w:pos="3000"/>
        </w:tabs>
        <w:rPr>
          <w:lang w:val="pt-BR"/>
        </w:rPr>
      </w:pPr>
      <w:r w:rsidRPr="009B122F">
        <w:t>This paper seeks to elucidate how sustainability initiatives undertaken by the corporate sector cannot go against the télos of capital—namely, the valorization of value—which ultimately conditions the practices of economic agents. Based on a theoretical review of Marx's labor theory of value and Lukács's discussion of work and ethics, it aims to show how such practices cannot transcend a superficial and instrumental character in relation to the télos of capital.</w:t>
      </w:r>
      <w:r>
        <w:br/>
      </w:r>
      <w:r w:rsidRPr="00663B00">
        <w:rPr>
          <w:b/>
          <w:bCs/>
          <w:lang w:val="pt-BR"/>
        </w:rPr>
        <w:t>Keywords</w:t>
      </w:r>
      <w:r w:rsidRPr="00663B00">
        <w:rPr>
          <w:lang w:val="pt-BR"/>
        </w:rPr>
        <w:t>: labor theory of value, ESG, political economy</w:t>
      </w:r>
      <w:r w:rsidR="00663B00">
        <w:rPr>
          <w:lang w:val="pt-BR"/>
        </w:rPr>
        <w:t>, ethics.</w:t>
      </w:r>
    </w:p>
    <w:p w14:paraId="5FD1D807" w14:textId="3E1F4DA2" w:rsidR="0038091B" w:rsidRPr="00663B00" w:rsidRDefault="00000000">
      <w:pPr>
        <w:pStyle w:val="Heading1"/>
        <w:rPr>
          <w:color w:val="000000" w:themeColor="text1"/>
          <w:lang w:val="pt-BR"/>
        </w:rPr>
      </w:pPr>
      <w:r w:rsidRPr="00663B00">
        <w:rPr>
          <w:color w:val="000000" w:themeColor="text1"/>
          <w:lang w:val="pt-BR"/>
        </w:rPr>
        <w:t>Introdução</w:t>
      </w:r>
    </w:p>
    <w:p w14:paraId="10597C82" w14:textId="77777777" w:rsidR="0038091B" w:rsidRPr="003D38CD" w:rsidRDefault="00000000">
      <w:pPr>
        <w:pStyle w:val="FirstParagraph"/>
        <w:rPr>
          <w:lang w:val="pt-BR"/>
        </w:rPr>
      </w:pPr>
      <w:r w:rsidRPr="003D38CD">
        <w:rPr>
          <w:lang w:val="pt-BR"/>
        </w:rPr>
        <w:t xml:space="preserve">A questão da sustentabilidade tem se tornado um dos tópicos mais prementes de discussões políticas nas últimas décadas, impulsionada, principalmente, pelas mudanças climáticas e suas consequências. No meio corporativo, em particular, essa questão vem ganhando um renovado ímpeto desde a década de 2010, e principalmente após a pandemia da Covid-19 no começo da década de 2020. A adesão a esta </w:t>
      </w:r>
      <w:r w:rsidRPr="003D38CD">
        <w:rPr>
          <w:lang w:val="pt-BR"/>
        </w:rPr>
        <w:lastRenderedPageBreak/>
        <w:t xml:space="preserve">temática no meio corporativo costuma contemplar-se sob o “termo guarda-chuva” </w:t>
      </w:r>
      <w:r w:rsidRPr="003D38CD">
        <w:rPr>
          <w:i/>
          <w:iCs/>
          <w:lang w:val="pt-BR"/>
        </w:rPr>
        <w:t>ESG</w:t>
      </w:r>
      <w:r w:rsidRPr="003D38CD">
        <w:rPr>
          <w:lang w:val="pt-BR"/>
        </w:rPr>
        <w:t>, acrônimo para “</w:t>
      </w:r>
      <w:r w:rsidRPr="003D38CD">
        <w:rPr>
          <w:i/>
          <w:iCs/>
          <w:lang w:val="pt-BR"/>
        </w:rPr>
        <w:t>environmental, social, governance</w:t>
      </w:r>
      <w:r w:rsidRPr="003D38CD">
        <w:rPr>
          <w:lang w:val="pt-BR"/>
        </w:rPr>
        <w:t>”</w:t>
      </w:r>
      <w:r>
        <w:rPr>
          <w:rStyle w:val="FootnoteReference"/>
        </w:rPr>
        <w:footnoteReference w:id="1"/>
      </w:r>
      <w:r w:rsidRPr="003D38CD">
        <w:rPr>
          <w:lang w:val="pt-BR"/>
        </w:rPr>
        <w:t>.</w:t>
      </w:r>
    </w:p>
    <w:p w14:paraId="540A3349" w14:textId="77777777" w:rsidR="0038091B" w:rsidRPr="003D38CD" w:rsidRDefault="00000000">
      <w:pPr>
        <w:pStyle w:val="BodyText"/>
        <w:rPr>
          <w:lang w:val="pt-BR"/>
        </w:rPr>
      </w:pPr>
      <w:r w:rsidRPr="003D38CD">
        <w:rPr>
          <w:lang w:val="pt-BR"/>
        </w:rPr>
        <w:t>Contudo, as questões ESG não nasceram no vácuo, sendo um resultado de processos histórico-sociais; faz-se pertinente, portanto, analisar seus precedentes teóricos para compreendê-las enquanto produtos socio-históricos, invés de uma mera “mudança de coração” do meio corporativo.</w:t>
      </w:r>
    </w:p>
    <w:p w14:paraId="265E49DE" w14:textId="77777777" w:rsidR="0038091B" w:rsidRPr="003D38CD" w:rsidRDefault="00000000">
      <w:pPr>
        <w:pStyle w:val="BodyText"/>
        <w:rPr>
          <w:lang w:val="pt-BR"/>
        </w:rPr>
      </w:pPr>
      <w:r w:rsidRPr="003D38CD">
        <w:rPr>
          <w:lang w:val="pt-BR"/>
        </w:rPr>
        <w:t>O atual trabalho busca contextualizar a questão da “sustentabilidade” sob a ótica corporativa, a fim de mostrar a contradição intrínseca entre sua fachada sustentável e suas finalidades capitalistas, ou melhor, de como as empresas — o capital, em suma — não são capazes de levar a cabo suas pretensões de sustentabilidade senão incompletamente, ao risco de desviarem-se de seus propósitos definidores. Para isso, faz-se necessário apresentar quais são as finalidades que impelem o capital à ação, o que traz ao debate a teoria do valor-trabalho de Marx (2017) e as discussões sobre ética e “posição teleológica” em Lukács (2018). Ao final, serão analisadas situações concretas envolvendo ESG à luz da discussão sobre a “ética capitalista”.</w:t>
      </w:r>
    </w:p>
    <w:p w14:paraId="0A449508" w14:textId="77777777" w:rsidR="0038091B" w:rsidRPr="003D38CD" w:rsidRDefault="00000000">
      <w:pPr>
        <w:pStyle w:val="BodyText"/>
        <w:rPr>
          <w:lang w:val="pt-BR"/>
        </w:rPr>
      </w:pPr>
      <w:r w:rsidRPr="003D38CD">
        <w:rPr>
          <w:lang w:val="pt-BR"/>
        </w:rPr>
        <w:t>Primeiro, portanto, façamos uma introdução do objeto em estudo: a questão do papel social das empresas.</w:t>
      </w:r>
    </w:p>
    <w:p w14:paraId="0415FD0C" w14:textId="77777777" w:rsidR="0038091B" w:rsidRPr="00413CDB" w:rsidRDefault="00000000">
      <w:pPr>
        <w:pStyle w:val="Heading2"/>
        <w:rPr>
          <w:color w:val="000000" w:themeColor="text1"/>
          <w:lang w:val="pt-BR"/>
        </w:rPr>
      </w:pPr>
      <w:bookmarkStart w:id="1" w:name="X8a0c871bd2cff74e52c70e434679d654d66d1ca"/>
      <w:r w:rsidRPr="00413CDB">
        <w:rPr>
          <w:color w:val="000000" w:themeColor="text1"/>
          <w:lang w:val="pt-BR"/>
        </w:rPr>
        <w:t>A controvérsia das responsabilidades corporativas</w:t>
      </w:r>
    </w:p>
    <w:p w14:paraId="5A995E1E" w14:textId="77777777" w:rsidR="0038091B" w:rsidRPr="003D38CD" w:rsidRDefault="00000000">
      <w:pPr>
        <w:pStyle w:val="FirstParagraph"/>
        <w:rPr>
          <w:lang w:val="pt-BR"/>
        </w:rPr>
      </w:pPr>
      <w:r w:rsidRPr="003D38CD">
        <w:rPr>
          <w:lang w:val="pt-BR"/>
        </w:rPr>
        <w:t>A relação entre questões sociais e o meio corporativo tem um longo histórico de debates e controvérsias ao longo do século XX, tendo um de seus núcleos a “função social” de uma empresa: se, por um lado, ela poderia ser “um “instrumento da sociedade”, um “organismo econômico e social”, [...] um “órgão da sociedade” [...]” (Paço Cunha, 2025, p. 110); ou se, por outro, suas obrigações seriam exclusivamente para com seus acionistas, ou seja, que, como bem sintetizado por Friedman,</w:t>
      </w:r>
    </w:p>
    <w:p w14:paraId="48BC9DE8" w14:textId="77777777" w:rsidR="0038091B" w:rsidRPr="003D38CD" w:rsidRDefault="00000000">
      <w:pPr>
        <w:pStyle w:val="BlockText"/>
        <w:rPr>
          <w:lang w:val="pt-BR"/>
        </w:rPr>
      </w:pPr>
      <w:r w:rsidRPr="003D38CD">
        <w:rPr>
          <w:lang w:val="pt-BR"/>
        </w:rPr>
        <w:t>há uma e somente uma responsabilidade social dos negócios — usar os recursos destes [negócios] e engajar-se em atividades destinadas a aumentar seus lucros [dos negócios], desde que estejam dentro das regras do jogo, ou seja, engajar-se em competição aberta e livre, sem enganação ou fraude. (Friedman, 1970)</w:t>
      </w:r>
    </w:p>
    <w:p w14:paraId="0702B489" w14:textId="77777777" w:rsidR="0038091B" w:rsidRPr="003D38CD" w:rsidRDefault="00000000">
      <w:pPr>
        <w:pStyle w:val="FirstParagraph"/>
        <w:rPr>
          <w:lang w:val="pt-BR"/>
        </w:rPr>
      </w:pPr>
      <w:r w:rsidRPr="003D38CD">
        <w:rPr>
          <w:lang w:val="pt-BR"/>
        </w:rPr>
        <w:lastRenderedPageBreak/>
        <w:t xml:space="preserve">Esta última acepção das responsabilidades de uma empresa foram sintetizadas no que se chama de “teoria da maximização do valor ao acionista” (TVMA). Esta visão ganhou relevância no período da Guerra Fria — em particular após as crises da década de 1970 (Paço Cunha, 2025, pp. 112-3) —, coadunando-se ao clima político de exacerbação do capitalismo em oposição ao socialismo soviético, e, em particular, do </w:t>
      </w:r>
      <w:r w:rsidRPr="003D38CD">
        <w:rPr>
          <w:i/>
          <w:iCs/>
          <w:lang w:val="pt-BR"/>
        </w:rPr>
        <w:t>Red Scare</w:t>
      </w:r>
      <w:r>
        <w:rPr>
          <w:rStyle w:val="FootnoteReference"/>
        </w:rPr>
        <w:footnoteReference w:id="2"/>
      </w:r>
      <w:r w:rsidRPr="003D38CD">
        <w:rPr>
          <w:lang w:val="pt-BR"/>
        </w:rPr>
        <w:t>.</w:t>
      </w:r>
    </w:p>
    <w:p w14:paraId="0DD4AACA" w14:textId="77777777" w:rsidR="0038091B" w:rsidRPr="003D38CD" w:rsidRDefault="00000000">
      <w:pPr>
        <w:pStyle w:val="BodyText"/>
        <w:rPr>
          <w:lang w:val="pt-BR"/>
        </w:rPr>
      </w:pPr>
      <w:r w:rsidRPr="003D38CD">
        <w:rPr>
          <w:lang w:val="pt-BR"/>
        </w:rPr>
        <w:t>Um dos principais pontos desse debate trata sobre o “curtoprazismo” que impele a busca pela maximização do valor aos acionistas: críticos apontam-no como uma influência “[na] condução das grandes empresas na direção de consequências muito problemáticas para elas próprias e para o conjunto da sociedade”, enquanto defensores da TVMA argumentam que a busca pela criação de valor ao acionista não necessariamente tem de ser curtoprazista — caindo a “culpa” por aderir-se a tais comportamentos “antissociais” sobre as próprias empresas e agentes econômicos.</w:t>
      </w:r>
    </w:p>
    <w:p w14:paraId="32A8B1A5" w14:textId="77777777" w:rsidR="0038091B" w:rsidRPr="00413CDB" w:rsidRDefault="00000000">
      <w:pPr>
        <w:pStyle w:val="Heading2"/>
        <w:rPr>
          <w:color w:val="000000" w:themeColor="text1"/>
          <w:lang w:val="pt-BR"/>
        </w:rPr>
      </w:pPr>
      <w:bookmarkStart w:id="2" w:name="ambiental-social-governança"/>
      <w:bookmarkEnd w:id="1"/>
      <w:r w:rsidRPr="00413CDB">
        <w:rPr>
          <w:color w:val="000000" w:themeColor="text1"/>
          <w:lang w:val="pt-BR"/>
        </w:rPr>
        <w:t>Ambiental, social, governança</w:t>
      </w:r>
    </w:p>
    <w:p w14:paraId="0CB3CB81" w14:textId="77777777" w:rsidR="0038091B" w:rsidRPr="003D38CD" w:rsidRDefault="00000000">
      <w:pPr>
        <w:pStyle w:val="FirstParagraph"/>
        <w:rPr>
          <w:lang w:val="pt-BR"/>
        </w:rPr>
      </w:pPr>
      <w:r w:rsidRPr="003D38CD">
        <w:rPr>
          <w:lang w:val="pt-BR"/>
        </w:rPr>
        <w:t xml:space="preserve">O conceito de ESG é originalmente proposto no relatório </w:t>
      </w:r>
      <w:r w:rsidRPr="003D38CD">
        <w:rPr>
          <w:i/>
          <w:iCs/>
          <w:lang w:val="pt-BR"/>
        </w:rPr>
        <w:t>Who Cares Wins</w:t>
      </w:r>
      <w:r w:rsidRPr="003D38CD">
        <w:rPr>
          <w:lang w:val="pt-BR"/>
        </w:rPr>
        <w:t xml:space="preserve">, das Nações Unidas (2004), assumindo a tradição do debate da “responsabilidade corporativa” e propondo uma síntese entre as posições pró e contra a TVMA: advoga para que empresas engajem em mais investimentos a longo-prazo, sem perder de vista a necessidade de retorno aos seus </w:t>
      </w:r>
      <w:r w:rsidRPr="003D38CD">
        <w:rPr>
          <w:i/>
          <w:iCs/>
          <w:lang w:val="pt-BR"/>
        </w:rPr>
        <w:t>stakeholders</w:t>
      </w:r>
      <w:r>
        <w:rPr>
          <w:rStyle w:val="FootnoteReference"/>
        </w:rPr>
        <w:footnoteReference w:id="3"/>
      </w:r>
      <w:r w:rsidRPr="003D38CD">
        <w:rPr>
          <w:lang w:val="pt-BR"/>
        </w:rPr>
        <w:t>. A forma como o ESG destaca-se da controvérsia da TVMA, porém, é justamente sua escolha explícita em rejeitar termos como “sustentabilidade”, “responsabilidade corporativa” etc., “a fim de evitar confusões [</w:t>
      </w:r>
      <w:r w:rsidRPr="003D38CD">
        <w:rPr>
          <w:i/>
          <w:iCs/>
          <w:lang w:val="pt-BR"/>
        </w:rPr>
        <w:t>misunderstandings</w:t>
      </w:r>
      <w:r w:rsidRPr="003D38CD">
        <w:rPr>
          <w:lang w:val="pt-BR"/>
        </w:rPr>
        <w:t>] derivadas de diferentes interpretações destes termos”, preferindo abordar os “problemas ambientais, sociais e de governança que são o tópico deste relatório” (United Nations Global Compact, 2004, p. 1–2). Ou seja, a noção de ESG é cunhada justamente para se desvencilhar das terminologias vigentes à época, já carregadas de outros valores normativos subjacentes.</w:t>
      </w:r>
    </w:p>
    <w:p w14:paraId="6892CF0E" w14:textId="77777777" w:rsidR="0038091B" w:rsidRPr="003D38CD" w:rsidRDefault="00000000">
      <w:pPr>
        <w:pStyle w:val="BodyText"/>
        <w:rPr>
          <w:lang w:val="pt-BR"/>
        </w:rPr>
      </w:pPr>
      <w:r w:rsidRPr="003D38CD">
        <w:rPr>
          <w:lang w:val="pt-BR"/>
        </w:rPr>
        <w:lastRenderedPageBreak/>
        <w:t>O conceito de ESG, contudo, não é, a rigor, bem definido. Pollman sintetiza-o como “uma forma para referir-se a um conjunto de problemas que devem ser integrados à análise de investimentos [</w:t>
      </w:r>
      <w:r w:rsidRPr="003D38CD">
        <w:rPr>
          <w:i/>
          <w:iCs/>
          <w:lang w:val="pt-BR"/>
        </w:rPr>
        <w:t>investment analysis</w:t>
      </w:r>
      <w:r w:rsidRPr="003D38CD">
        <w:rPr>
          <w:lang w:val="pt-BR"/>
        </w:rPr>
        <w:t xml:space="preserve">]” (Pollman, 2022, p. 21). De fato, desde sua concepção no relatório </w:t>
      </w:r>
      <w:r w:rsidRPr="003D38CD">
        <w:rPr>
          <w:i/>
          <w:iCs/>
          <w:lang w:val="pt-BR"/>
        </w:rPr>
        <w:t>Who Cares Wins</w:t>
      </w:r>
      <w:r w:rsidRPr="003D38CD">
        <w:rPr>
          <w:lang w:val="pt-BR"/>
        </w:rPr>
        <w:t xml:space="preserve">, o conceito de ESG está sempre atrelado a decisões de investimento — e, em particular, decisões </w:t>
      </w:r>
      <w:r w:rsidRPr="003D38CD">
        <w:rPr>
          <w:i/>
          <w:iCs/>
          <w:lang w:val="pt-BR"/>
        </w:rPr>
        <w:t>financeiras</w:t>
      </w:r>
      <w:r w:rsidRPr="003D38CD">
        <w:rPr>
          <w:lang w:val="pt-BR"/>
        </w:rPr>
        <w:t>; mais que isso, está submetido às decisões e problemáticas que afligem empresas e agentes financeiros, e não o contrário.</w:t>
      </w:r>
    </w:p>
    <w:p w14:paraId="631E38F4" w14:textId="77777777" w:rsidR="0038091B" w:rsidRPr="003D38CD" w:rsidRDefault="00000000">
      <w:pPr>
        <w:pStyle w:val="BodyText"/>
        <w:rPr>
          <w:lang w:val="pt-BR"/>
        </w:rPr>
      </w:pPr>
      <w:r w:rsidRPr="003D38CD">
        <w:rPr>
          <w:lang w:val="pt-BR"/>
        </w:rPr>
        <w:t>Como indicado no relatório,</w:t>
      </w:r>
    </w:p>
    <w:p w14:paraId="197BE5EC" w14:textId="77777777" w:rsidR="0038091B" w:rsidRPr="003D38CD" w:rsidRDefault="00000000">
      <w:pPr>
        <w:pStyle w:val="BlockText"/>
        <w:rPr>
          <w:lang w:val="pt-BR"/>
        </w:rPr>
      </w:pPr>
      <w:r w:rsidRPr="003D38CD">
        <w:rPr>
          <w:lang w:val="pt-BR"/>
        </w:rPr>
        <w:t>Em última instância, o sucesso dos investimentos depende de uma economia dinâmica [</w:t>
      </w:r>
      <w:r w:rsidRPr="003D38CD">
        <w:rPr>
          <w:i/>
          <w:iCs/>
          <w:lang w:val="pt-BR"/>
        </w:rPr>
        <w:t>vibrant economy</w:t>
      </w:r>
      <w:r w:rsidRPr="003D38CD">
        <w:rPr>
          <w:lang w:val="pt-BR"/>
        </w:rPr>
        <w:t>], que, por sua vez, depende de uma sociedade civil saudável [</w:t>
      </w:r>
      <w:r w:rsidRPr="003D38CD">
        <w:rPr>
          <w:i/>
          <w:iCs/>
          <w:lang w:val="pt-BR"/>
        </w:rPr>
        <w:t>healthy civil society</w:t>
      </w:r>
      <w:r w:rsidRPr="003D38CD">
        <w:rPr>
          <w:lang w:val="pt-BR"/>
        </w:rPr>
        <w:t xml:space="preserve">], que, por fim, depende de um planeta sustentável. Portanto, a longo prazo, os mercados de investimento têm um claro auto-interesse em contribuir para uma melhor gestão dos impactos ambientais e sociais, de forma a impulsionar o desenvolvimento sustentável da sociedade global. Uma maior inclusão de fatores ambientais, sociais e de governança corporativa (ESG) </w:t>
      </w:r>
      <w:r w:rsidRPr="003D38CD">
        <w:rPr>
          <w:i/>
          <w:iCs/>
          <w:lang w:val="pt-BR"/>
        </w:rPr>
        <w:t>nas decisões de investimento</w:t>
      </w:r>
      <w:r w:rsidRPr="003D38CD">
        <w:rPr>
          <w:lang w:val="pt-BR"/>
        </w:rPr>
        <w:t xml:space="preserve"> contribuirá, em última instância, para mercados mais estáveis e previsíveis [</w:t>
      </w:r>
      <w:r w:rsidRPr="003D38CD">
        <w:rPr>
          <w:i/>
          <w:iCs/>
          <w:lang w:val="pt-BR"/>
        </w:rPr>
        <w:t>more stable and predictable markets</w:t>
      </w:r>
      <w:r w:rsidRPr="003D38CD">
        <w:rPr>
          <w:lang w:val="pt-BR"/>
        </w:rPr>
        <w:t>], o que é do interesse de todos os agentes do mercado. (United Nations Global Compact, 2004, p. 3, grifo meu)</w:t>
      </w:r>
    </w:p>
    <w:p w14:paraId="41305D2F" w14:textId="77777777" w:rsidR="0038091B" w:rsidRPr="003D38CD" w:rsidRDefault="00000000">
      <w:pPr>
        <w:pStyle w:val="FirstParagraph"/>
        <w:rPr>
          <w:lang w:val="pt-BR"/>
        </w:rPr>
      </w:pPr>
      <w:r w:rsidRPr="003D38CD">
        <w:rPr>
          <w:lang w:val="pt-BR"/>
        </w:rPr>
        <w:t>Porém, embora o relatório frequentemente invoque discursos sobre como tais fatores ESG podem trazer uma melhoria da sociedade civil etc., trata-se, em última instância, de remeter tais questões/problemáticas à esfera de investimentos. Vide Pollman,</w:t>
      </w:r>
    </w:p>
    <w:p w14:paraId="7773B4BB" w14:textId="77777777" w:rsidR="0038091B" w:rsidRPr="003D38CD" w:rsidRDefault="00000000">
      <w:pPr>
        <w:pStyle w:val="BlockText"/>
        <w:rPr>
          <w:lang w:val="pt-BR"/>
        </w:rPr>
      </w:pPr>
      <w:r w:rsidRPr="003D38CD">
        <w:rPr>
          <w:lang w:val="pt-BR"/>
        </w:rPr>
        <w:t>Embora o relatório ["Who Cares Wins"] por vezes se referisse a objetivos mais amplos, como ‘contribuir para o desenvolvimento sustentável da sociedade global’, invocando uma linguagem no espírito do Pacto Global da ONU, enfatizou fortemente a justificativa do ‘caso de negócios’ [‘</w:t>
      </w:r>
      <w:r w:rsidRPr="003D38CD">
        <w:rPr>
          <w:i/>
          <w:iCs/>
          <w:lang w:val="pt-BR"/>
        </w:rPr>
        <w:t>business case</w:t>
      </w:r>
      <w:r w:rsidRPr="003D38CD">
        <w:rPr>
          <w:lang w:val="pt-BR"/>
        </w:rPr>
        <w:t>’] e o alinhamento com o valor de longo prazo [</w:t>
      </w:r>
      <w:r w:rsidRPr="003D38CD">
        <w:rPr>
          <w:i/>
          <w:iCs/>
          <w:lang w:val="pt-BR"/>
        </w:rPr>
        <w:t>long-term value</w:t>
      </w:r>
      <w:r w:rsidRPr="003D38CD">
        <w:rPr>
          <w:lang w:val="pt-BR"/>
        </w:rPr>
        <w:t xml:space="preserve">] para os acionistas. No geral, o quadro que emerge do relatório é que </w:t>
      </w:r>
      <w:r w:rsidRPr="003D38CD">
        <w:rPr>
          <w:i/>
          <w:iCs/>
          <w:lang w:val="pt-BR"/>
        </w:rPr>
        <w:t>ESG se refere a ‘informações’, ‘questões’, ‘fatores’ ou ‘critérios’ que devem ser integrados à análise de investimento ‘normal’ e ‘convencional’</w:t>
      </w:r>
      <w:r w:rsidRPr="003D38CD">
        <w:rPr>
          <w:lang w:val="pt-BR"/>
        </w:rPr>
        <w:t>. (Pollman, 2022, p. 20–1, grifo meu)</w:t>
      </w:r>
    </w:p>
    <w:p w14:paraId="2CE94FEA" w14:textId="77777777" w:rsidR="0038091B" w:rsidRPr="003D38CD" w:rsidRDefault="00000000">
      <w:pPr>
        <w:pStyle w:val="FirstParagraph"/>
        <w:rPr>
          <w:lang w:val="pt-BR"/>
        </w:rPr>
      </w:pPr>
      <w:r w:rsidRPr="003D38CD">
        <w:rPr>
          <w:lang w:val="pt-BR"/>
        </w:rPr>
        <w:t>Na prática, questões ESG são pouco mais do que uma nova possibilidade de “aumentar o valor do acionista [</w:t>
      </w:r>
      <w:r w:rsidRPr="003D38CD">
        <w:rPr>
          <w:i/>
          <w:iCs/>
          <w:lang w:val="pt-BR"/>
        </w:rPr>
        <w:t>shareholder value</w:t>
      </w:r>
      <w:r w:rsidRPr="003D38CD">
        <w:rPr>
          <w:lang w:val="pt-BR"/>
        </w:rPr>
        <w:t>] ao gerenciar melhor riscos relacionados a questões ESG emergentes [</w:t>
      </w:r>
      <w:r w:rsidRPr="003D38CD">
        <w:rPr>
          <w:i/>
          <w:iCs/>
          <w:lang w:val="pt-BR"/>
        </w:rPr>
        <w:t>emerging ESG issues</w:t>
      </w:r>
      <w:r w:rsidRPr="003D38CD">
        <w:rPr>
          <w:lang w:val="pt-BR"/>
        </w:rPr>
        <w:t xml:space="preserve">]”, questões estas que são “uma parte cada vez mais importante do valor de uma </w:t>
      </w:r>
      <w:r w:rsidRPr="003D38CD">
        <w:rPr>
          <w:lang w:val="pt-BR"/>
        </w:rPr>
        <w:lastRenderedPageBreak/>
        <w:t xml:space="preserve">empresa” (United Nations Global Compact, 2004, p. 9). Como Pollman o coloca, as questões ESG — ou melhor, o </w:t>
      </w:r>
      <w:r w:rsidRPr="003D38CD">
        <w:rPr>
          <w:i/>
          <w:iCs/>
          <w:lang w:val="pt-BR"/>
        </w:rPr>
        <w:t>framework</w:t>
      </w:r>
      <w:r w:rsidRPr="003D38CD">
        <w:rPr>
          <w:lang w:val="pt-BR"/>
        </w:rPr>
        <w:t xml:space="preserve"> ESG — assumem (também) um caráter de “um conjunto de práticas para o gerenciamento proativo de riscos, seja ao nível da firma ou do portfólio” (Pollman, 2022, p. 24), o que quer dizer que “engajar com </w:t>
      </w:r>
      <w:r w:rsidRPr="003D38CD">
        <w:rPr>
          <w:i/>
          <w:iCs/>
          <w:lang w:val="pt-BR"/>
        </w:rPr>
        <w:t>stakeholders</w:t>
      </w:r>
      <w:r w:rsidRPr="003D38CD">
        <w:rPr>
          <w:lang w:val="pt-BR"/>
        </w:rPr>
        <w:t>, como consumidores e empregados, através de ‘práticas ESG’ pode prover informações úteis para lidar com relações-chave [</w:t>
      </w:r>
      <w:r w:rsidRPr="003D38CD">
        <w:rPr>
          <w:i/>
          <w:iCs/>
          <w:lang w:val="pt-BR"/>
        </w:rPr>
        <w:t>to manage key relationships</w:t>
      </w:r>
      <w:r w:rsidRPr="003D38CD">
        <w:rPr>
          <w:lang w:val="pt-BR"/>
        </w:rPr>
        <w:t>] e mitigar risco” (Pollman, 2022, p. 23).</w:t>
      </w:r>
    </w:p>
    <w:p w14:paraId="0DAB7FBB" w14:textId="77777777" w:rsidR="0038091B" w:rsidRPr="003D38CD" w:rsidRDefault="00000000">
      <w:pPr>
        <w:pStyle w:val="BodyText"/>
        <w:rPr>
          <w:lang w:val="pt-BR"/>
        </w:rPr>
      </w:pPr>
      <w:r w:rsidRPr="003D38CD">
        <w:rPr>
          <w:lang w:val="pt-BR"/>
        </w:rPr>
        <w:t xml:space="preserve">Já fica claro aqui, porém, que o cumprimento de práticas ESG </w:t>
      </w:r>
      <w:r w:rsidRPr="003D38CD">
        <w:rPr>
          <w:i/>
          <w:iCs/>
          <w:lang w:val="pt-BR"/>
        </w:rPr>
        <w:t>pressupõe</w:t>
      </w:r>
      <w:r w:rsidRPr="003D38CD">
        <w:rPr>
          <w:lang w:val="pt-BR"/>
        </w:rPr>
        <w:t xml:space="preserve"> que hajam problemas — ou seja, riscos a certas empresas — que sejam </w:t>
      </w:r>
      <w:r w:rsidRPr="003D38CD">
        <w:rPr>
          <w:i/>
          <w:iCs/>
          <w:lang w:val="pt-BR"/>
        </w:rPr>
        <w:t>passíveis</w:t>
      </w:r>
      <w:r w:rsidRPr="003D38CD">
        <w:rPr>
          <w:lang w:val="pt-BR"/>
        </w:rPr>
        <w:t xml:space="preserve"> de serem evitados — ou seja, tais práticas não são “sustentáveis por princípios”, e sim “sustentáveis por antecipação”. Uma matéria da Bloomberg chamada “A miragem ESG” (</w:t>
      </w:r>
      <w:r w:rsidRPr="003D38CD">
        <w:rPr>
          <w:i/>
          <w:iCs/>
          <w:lang w:val="pt-BR"/>
        </w:rPr>
        <w:t>The ESG Mirage</w:t>
      </w:r>
      <w:r w:rsidRPr="003D38CD">
        <w:rPr>
          <w:lang w:val="pt-BR"/>
        </w:rPr>
        <w:t xml:space="preserve">) (Bloomberg Originals, 2021; Simpson; Rathi; Kishan, 2021) permite elucidar esta questão: um exemplo a se destacar nesta reportagem é o caso da empresa McDonald’s, que produziu “mais emissões de gases de efeito estufa em 2019 do que Portugal ou Hungria, devido à </w:t>
      </w:r>
      <w:r w:rsidRPr="003D38CD">
        <w:rPr>
          <w:i/>
          <w:iCs/>
          <w:lang w:val="pt-BR"/>
        </w:rPr>
        <w:t>supply chain</w:t>
      </w:r>
      <w:r w:rsidRPr="003D38CD">
        <w:rPr>
          <w:lang w:val="pt-BR"/>
        </w:rPr>
        <w:t xml:space="preserve"> da empresa”, mas que, no mesmo ano, teve um aumento no seu </w:t>
      </w:r>
      <w:r w:rsidRPr="003D38CD">
        <w:rPr>
          <w:i/>
          <w:iCs/>
          <w:lang w:val="pt-BR"/>
        </w:rPr>
        <w:t>rating</w:t>
      </w:r>
      <w:r w:rsidRPr="003D38CD">
        <w:rPr>
          <w:lang w:val="pt-BR"/>
        </w:rPr>
        <w:t xml:space="preserve"> ESG: o motivo foi que a empresa que ditava seu </w:t>
      </w:r>
      <w:r w:rsidRPr="003D38CD">
        <w:rPr>
          <w:i/>
          <w:iCs/>
          <w:lang w:val="pt-BR"/>
        </w:rPr>
        <w:t>rating</w:t>
      </w:r>
      <w:r>
        <w:rPr>
          <w:rStyle w:val="FootnoteReference"/>
        </w:rPr>
        <w:footnoteReference w:id="4"/>
      </w:r>
      <w:r w:rsidRPr="003D38CD">
        <w:rPr>
          <w:lang w:val="pt-BR"/>
        </w:rPr>
        <w:t xml:space="preserve"> (MSCI) desconsiderou o fator de emissões de carbono em seu cômputo, pois ele “não representa um risco nem oferece “oportunidades” ao </w:t>
      </w:r>
      <w:r w:rsidRPr="003D38CD">
        <w:rPr>
          <w:i/>
          <w:iCs/>
          <w:lang w:val="pt-BR"/>
        </w:rPr>
        <w:t>bottom line</w:t>
      </w:r>
      <w:r w:rsidRPr="003D38CD">
        <w:rPr>
          <w:lang w:val="pt-BR"/>
        </w:rPr>
        <w:t xml:space="preserve"> da empresa”, ao mesmo tempo em que aumentou seu </w:t>
      </w:r>
      <w:r w:rsidRPr="003D38CD">
        <w:rPr>
          <w:i/>
          <w:iCs/>
          <w:lang w:val="pt-BR"/>
        </w:rPr>
        <w:t>score</w:t>
      </w:r>
      <w:r w:rsidRPr="003D38CD">
        <w:rPr>
          <w:lang w:val="pt-BR"/>
        </w:rPr>
        <w:t xml:space="preserve"> ambiental</w:t>
      </w:r>
      <w:r>
        <w:rPr>
          <w:rStyle w:val="FootnoteReference"/>
        </w:rPr>
        <w:footnoteReference w:id="5"/>
      </w:r>
      <w:r w:rsidRPr="003D38CD">
        <w:rPr>
          <w:lang w:val="pt-BR"/>
        </w:rPr>
        <w:t xml:space="preserve"> devido aos seus esforços de mitigar “riscos associados com materiais de embalagens e resíduos [</w:t>
      </w:r>
      <w:r w:rsidRPr="003D38CD">
        <w:rPr>
          <w:i/>
          <w:iCs/>
          <w:lang w:val="pt-BR"/>
        </w:rPr>
        <w:t>packaging material and waste</w:t>
      </w:r>
      <w:r w:rsidRPr="003D38CD">
        <w:rPr>
          <w:lang w:val="pt-BR"/>
        </w:rPr>
        <w:t>] em comparação com seus pares”: a empresa havia adicionado latas de lixo reciclável em países que possuíam regulamentações relacionadas à reciclagem — portanto, evadiu possíveis custos associados ao seu não-cumprimento, i.e. cumpriu uma prática ESG (Simpson; Rathi; Kishan, 2021).</w:t>
      </w:r>
    </w:p>
    <w:p w14:paraId="074FD37F" w14:textId="77777777" w:rsidR="0038091B" w:rsidRPr="00413CDB" w:rsidRDefault="00000000">
      <w:pPr>
        <w:pStyle w:val="Heading1"/>
        <w:rPr>
          <w:color w:val="000000" w:themeColor="text1"/>
          <w:lang w:val="pt-BR"/>
        </w:rPr>
      </w:pPr>
      <w:bookmarkStart w:id="3" w:name="a-ética-capitalista"/>
      <w:bookmarkEnd w:id="0"/>
      <w:bookmarkEnd w:id="2"/>
      <w:r w:rsidRPr="00413CDB">
        <w:rPr>
          <w:color w:val="000000" w:themeColor="text1"/>
          <w:lang w:val="pt-BR"/>
        </w:rPr>
        <w:t>A ética capitalista</w:t>
      </w:r>
    </w:p>
    <w:p w14:paraId="1C716935" w14:textId="77777777" w:rsidR="0038091B" w:rsidRPr="003D38CD" w:rsidRDefault="00000000">
      <w:pPr>
        <w:pStyle w:val="FirstParagraph"/>
        <w:rPr>
          <w:lang w:val="pt-BR"/>
        </w:rPr>
      </w:pPr>
      <w:r w:rsidRPr="003D38CD">
        <w:rPr>
          <w:lang w:val="pt-BR"/>
        </w:rPr>
        <w:t xml:space="preserve">Uma discussão materialista sobre o comportamento dos agentes econômicos requer uma análise que abarque para além de seus meros comportamentos e ações individuais; ou seja, requer que se evite </w:t>
      </w:r>
      <w:r w:rsidRPr="003D38CD">
        <w:rPr>
          <w:lang w:val="pt-BR"/>
        </w:rPr>
        <w:lastRenderedPageBreak/>
        <w:t>considerar a sociedade como um “simples somatório de elementos últimos e indivisíveis” (i.e. pessoas individuais), visão esta que Medeiros chama de “atomismo social” (Medeiros, 2013, p. 56). Uma discussão sobre como as questões de sustentabilidade, vistas sob a ótica corporativa, não são suficientes para realmente lidar com os problemas atuais que afligem a sociedade — crise climática, fascistização de governos ao redor do mundo, transição energética etc. — requer que se vá para além da superfície das propostas do capitalismo verde, ou seja, requer que se compreenda seu conteúdo essencial, a substância que norteia as ações dos agentes econômicos.</w:t>
      </w:r>
      <w:r>
        <w:rPr>
          <w:rStyle w:val="FootnoteReference"/>
        </w:rPr>
        <w:footnoteReference w:id="6"/>
      </w:r>
      <w:r w:rsidRPr="003D38CD">
        <w:rPr>
          <w:lang w:val="pt-BR"/>
        </w:rPr>
        <w:t xml:space="preserve"> Para isso, precisamos discutir sobre os fundamentos da sociedade em que vivemos — a sociedade capitalista —, na qual predominam as relações de troca entre os produtos do trabalho. Precisamos, portanto, discutir sobre </w:t>
      </w:r>
      <w:r w:rsidRPr="003D38CD">
        <w:rPr>
          <w:i/>
          <w:iCs/>
          <w:lang w:val="pt-BR"/>
        </w:rPr>
        <w:t>o que é</w:t>
      </w:r>
      <w:r w:rsidRPr="003D38CD">
        <w:rPr>
          <w:lang w:val="pt-BR"/>
        </w:rPr>
        <w:t xml:space="preserve"> o “trabalho”, e sobre como ele determina a estrutura que norteia nossas vidas.</w:t>
      </w:r>
    </w:p>
    <w:p w14:paraId="45DDE754" w14:textId="77777777" w:rsidR="0038091B" w:rsidRPr="003D38CD" w:rsidRDefault="00000000">
      <w:pPr>
        <w:pStyle w:val="BodyText"/>
        <w:rPr>
          <w:lang w:val="pt-BR"/>
        </w:rPr>
      </w:pPr>
      <w:r w:rsidRPr="003D38CD">
        <w:rPr>
          <w:lang w:val="pt-BR"/>
        </w:rPr>
        <w:t xml:space="preserve">Lukács, em sua obra </w:t>
      </w:r>
      <w:r w:rsidRPr="003D38CD">
        <w:rPr>
          <w:i/>
          <w:iCs/>
          <w:lang w:val="pt-BR"/>
        </w:rPr>
        <w:t>Para a Ontologia do Ser Social</w:t>
      </w:r>
      <w:r w:rsidRPr="003D38CD">
        <w:rPr>
          <w:lang w:val="pt-BR"/>
        </w:rPr>
        <w:t>, elabora que é peculiar do ser humano, em meio ao reino animal, a capacidade de que suas ações não se deem (meramente) por reflexos e instintos, mas, e principalmente, guiadas por finalidades ideais que norteiam os meios pelos quais ele as efetiva. Tal “colocação” de objetividades no mundo, guiada por fins ideais previamente concebidos, é o que Lukács chama de “posição teleológica”</w:t>
      </w:r>
      <w:r>
        <w:rPr>
          <w:rStyle w:val="FootnoteReference"/>
        </w:rPr>
        <w:footnoteReference w:id="7"/>
      </w:r>
      <w:r w:rsidRPr="003D38CD">
        <w:rPr>
          <w:lang w:val="pt-BR"/>
        </w:rPr>
        <w:t xml:space="preserve"> (Lukács, 2018). Neste ínterim, Lukács chama de </w:t>
      </w:r>
      <w:r w:rsidRPr="003D38CD">
        <w:rPr>
          <w:i/>
          <w:iCs/>
          <w:lang w:val="pt-BR"/>
        </w:rPr>
        <w:t>trabalho</w:t>
      </w:r>
      <w:r w:rsidRPr="003D38CD">
        <w:rPr>
          <w:lang w:val="pt-BR"/>
        </w:rPr>
        <w:t xml:space="preserve"> a “contínua realização de posições teleológicas” (Lukács, 2018, p. 17), ou seja, trata-se de atividades guiadas por certos fins e concatenadas entre si de acordo com tais fins. O produto destes processos de trabalho têm a finalidade de satisfazer necessidades humanas, denominando-se </w:t>
      </w:r>
      <w:r w:rsidRPr="003D38CD">
        <w:rPr>
          <w:i/>
          <w:iCs/>
          <w:lang w:val="pt-BR"/>
        </w:rPr>
        <w:t>valores de uso</w:t>
      </w:r>
      <w:r w:rsidRPr="003D38CD">
        <w:rPr>
          <w:lang w:val="pt-BR"/>
        </w:rPr>
        <w:t xml:space="preserve"> (Marx, 2017).</w:t>
      </w:r>
    </w:p>
    <w:p w14:paraId="6D004985" w14:textId="77777777" w:rsidR="0038091B" w:rsidRPr="003D38CD" w:rsidRDefault="00000000">
      <w:pPr>
        <w:pStyle w:val="BodyText"/>
        <w:rPr>
          <w:lang w:val="pt-BR"/>
        </w:rPr>
      </w:pPr>
      <w:r w:rsidRPr="003D38CD">
        <w:rPr>
          <w:lang w:val="pt-BR"/>
        </w:rPr>
        <w:t xml:space="preserve">Para levar a cabo suas finalidades, os seres humanos precisam empregar não só seus próprios músculos e astúcia, mas, e talvez principalmente, as forças naturais do mundo; precisam tornar tais legalidades </w:t>
      </w:r>
      <w:r w:rsidRPr="003D38CD">
        <w:rPr>
          <w:lang w:val="pt-BR"/>
        </w:rPr>
        <w:lastRenderedPageBreak/>
        <w:t xml:space="preserve">naturais em legalidades </w:t>
      </w:r>
      <w:r w:rsidRPr="003D38CD">
        <w:rPr>
          <w:i/>
          <w:iCs/>
          <w:lang w:val="pt-BR"/>
        </w:rPr>
        <w:t>postas</w:t>
      </w:r>
      <w:r w:rsidRPr="003D38CD">
        <w:rPr>
          <w:lang w:val="pt-BR"/>
        </w:rPr>
        <w:t xml:space="preserve">, ou seja, torná-las </w:t>
      </w:r>
      <w:r w:rsidRPr="003D38CD">
        <w:rPr>
          <w:i/>
          <w:iCs/>
          <w:lang w:val="pt-BR"/>
        </w:rPr>
        <w:t>utilizáveis</w:t>
      </w:r>
      <w:r w:rsidRPr="003D38CD">
        <w:rPr>
          <w:lang w:val="pt-BR"/>
        </w:rPr>
        <w:t xml:space="preserve"> como meios para a efetivação de seus fins. E aqui, como bem coloca Duayer,</w:t>
      </w:r>
      <w:r>
        <w:rPr>
          <w:rStyle w:val="FootnoteReference"/>
        </w:rPr>
        <w:footnoteReference w:id="8"/>
      </w:r>
    </w:p>
    <w:p w14:paraId="3F116283" w14:textId="77777777" w:rsidR="0038091B" w:rsidRPr="003D38CD" w:rsidRDefault="00000000">
      <w:pPr>
        <w:pStyle w:val="BlockText"/>
        <w:rPr>
          <w:lang w:val="pt-BR"/>
        </w:rPr>
      </w:pPr>
      <w:r w:rsidRPr="003D38CD">
        <w:rPr>
          <w:lang w:val="pt-BR"/>
        </w:rPr>
        <w:t xml:space="preserve">Ao contrário do antropomorfismo próprio da possessão espiritual da realidade[,] condicionada pela finalidade planejada, aqui [na conversão de legalidades naturais em legalidades postas] há de prevalecer o máximo de desantropomorfização, </w:t>
      </w:r>
      <w:r w:rsidRPr="003D38CD">
        <w:rPr>
          <w:i/>
          <w:iCs/>
          <w:lang w:val="pt-BR"/>
        </w:rPr>
        <w:t>pois a consecução do fim não seria possível sem o conhecimento das propriedades dos objetos e processos envolvidos na transferência das causalidades naturais em causalidades postas</w:t>
      </w:r>
      <w:r w:rsidRPr="003D38CD">
        <w:rPr>
          <w:lang w:val="pt-BR"/>
        </w:rPr>
        <w:t xml:space="preserve"> (Duayer, 2023, p. 127, grifo meu)</w:t>
      </w:r>
    </w:p>
    <w:p w14:paraId="18FD0459" w14:textId="77777777" w:rsidR="0038091B" w:rsidRPr="003D38CD" w:rsidRDefault="00000000">
      <w:pPr>
        <w:pStyle w:val="FirstParagraph"/>
        <w:rPr>
          <w:lang w:val="pt-BR"/>
        </w:rPr>
      </w:pPr>
      <w:r w:rsidRPr="003D38CD">
        <w:rPr>
          <w:lang w:val="pt-BR"/>
        </w:rPr>
        <w:t xml:space="preserve">As atividades humanas, porquanto têm seu molde primeiro naquilo que Lukács chama de trabalho, sempre são atividades guiadas por um fim, não só no tocante à sua motivação — i.e. seu ponto de partida ideal —, como também em sua efetivação “adequada” dentre várias formas </w:t>
      </w:r>
      <w:r w:rsidRPr="003D38CD">
        <w:rPr>
          <w:i/>
          <w:iCs/>
          <w:lang w:val="pt-BR"/>
        </w:rPr>
        <w:t>alternativas</w:t>
      </w:r>
      <w:r w:rsidRPr="003D38CD">
        <w:rPr>
          <w:lang w:val="pt-BR"/>
        </w:rPr>
        <w:t xml:space="preserve"> de execução — i.e. os meios que emprega para tal fim. Ou seja, para qualquer atividade humana que busque alguma dada finalidade, emerge da experiência desta atividade — i.e. de sua execução por indivíduos ao longo do tempo — um “dever-ser” que norteia a consecução de tal atividade </w:t>
      </w:r>
      <w:r w:rsidRPr="003D38CD">
        <w:rPr>
          <w:i/>
          <w:iCs/>
          <w:lang w:val="pt-BR"/>
        </w:rPr>
        <w:t>em geral</w:t>
      </w:r>
      <w:r w:rsidRPr="003D38CD">
        <w:rPr>
          <w:lang w:val="pt-BR"/>
        </w:rPr>
        <w:t xml:space="preserve">, o qual age como uma “régua” pela qual mede-se quão “adequadas” ou “inadequadas” serão as atividades </w:t>
      </w:r>
      <w:r w:rsidRPr="003D38CD">
        <w:rPr>
          <w:i/>
          <w:iCs/>
          <w:lang w:val="pt-BR"/>
        </w:rPr>
        <w:t>singulares</w:t>
      </w:r>
      <w:r w:rsidRPr="003D38CD">
        <w:rPr>
          <w:lang w:val="pt-BR"/>
        </w:rPr>
        <w:t xml:space="preserve"> executadas.</w:t>
      </w:r>
    </w:p>
    <w:p w14:paraId="3D9C8C1F" w14:textId="77777777" w:rsidR="0038091B" w:rsidRPr="003D38CD" w:rsidRDefault="00000000">
      <w:pPr>
        <w:pStyle w:val="BodyText"/>
        <w:rPr>
          <w:lang w:val="pt-BR"/>
        </w:rPr>
      </w:pPr>
      <w:r w:rsidRPr="003D38CD">
        <w:rPr>
          <w:lang w:val="pt-BR"/>
        </w:rPr>
        <w:t xml:space="preserve">Tendo tudo isto em vista, analisemos os fundamentos, em particular, de uma sociedade capitalista. Ela tem, dentre seus pressupostos 1) a predominância da propriedade privada dos produtos do trabalho e 2) uma suficientemente complexa divisão do trabalho em que 3) os trabalhos — que, por consequência, se tornam cada vez mais atomizados e especializados — têm como objetivo produzir </w:t>
      </w:r>
      <w:r w:rsidRPr="003D38CD">
        <w:rPr>
          <w:i/>
          <w:iCs/>
          <w:lang w:val="pt-BR"/>
        </w:rPr>
        <w:t>para outrem</w:t>
      </w:r>
      <w:r w:rsidRPr="003D38CD">
        <w:rPr>
          <w:lang w:val="pt-BR"/>
        </w:rPr>
        <w:t xml:space="preserve">. Como consequência, embora aprofunde-se o caráter privado dos processos de trabalho, aprofunda-se também a dependência individual pelos produtos </w:t>
      </w:r>
      <w:r w:rsidRPr="003D38CD">
        <w:rPr>
          <w:i/>
          <w:iCs/>
          <w:lang w:val="pt-BR"/>
        </w:rPr>
        <w:t>de outrem</w:t>
      </w:r>
      <w:r w:rsidRPr="003D38CD">
        <w:rPr>
          <w:lang w:val="pt-BR"/>
        </w:rPr>
        <w:t xml:space="preserve">. Assim, a troca com produtos do trabalho de outrem torna-se </w:t>
      </w:r>
      <w:r w:rsidRPr="003D38CD">
        <w:rPr>
          <w:i/>
          <w:iCs/>
          <w:lang w:val="pt-BR"/>
        </w:rPr>
        <w:t>sine qua non</w:t>
      </w:r>
      <w:r w:rsidRPr="003D38CD">
        <w:rPr>
          <w:lang w:val="pt-BR"/>
        </w:rPr>
        <w:t xml:space="preserve"> para a satisfação das próprias necessidades (Medeiros; Sá Barreto, 2013, pp. 328-330).</w:t>
      </w:r>
    </w:p>
    <w:p w14:paraId="39B8472C" w14:textId="77777777" w:rsidR="0038091B" w:rsidRPr="003D38CD" w:rsidRDefault="00000000">
      <w:pPr>
        <w:pStyle w:val="BodyText"/>
        <w:rPr>
          <w:lang w:val="pt-BR"/>
        </w:rPr>
      </w:pPr>
      <w:r w:rsidRPr="003D38CD">
        <w:rPr>
          <w:lang w:val="pt-BR"/>
        </w:rPr>
        <w:lastRenderedPageBreak/>
        <w:t xml:space="preserve">A universalização da forma-mercadoria dos produtos do trabalho — ou seja, que tais produtos sejam não só valores de uso, mas também </w:t>
      </w:r>
      <w:r w:rsidRPr="003D38CD">
        <w:rPr>
          <w:i/>
          <w:iCs/>
          <w:lang w:val="pt-BR"/>
        </w:rPr>
        <w:t>valores</w:t>
      </w:r>
      <w:r w:rsidRPr="003D38CD">
        <w:rPr>
          <w:lang w:val="pt-BR"/>
        </w:rPr>
        <w:t xml:space="preserve">, i.e. que sejam passíveis de troca pelas demais mercadorias (em dadas proporções) — elucida que há um conteúdo em comum nestes produtos. Como bem elaborou Marx (2017), tal conteúdo é o que ele chama de </w:t>
      </w:r>
      <w:r w:rsidRPr="003D38CD">
        <w:rPr>
          <w:i/>
          <w:iCs/>
          <w:lang w:val="pt-BR"/>
        </w:rPr>
        <w:t>trabalho abstrato</w:t>
      </w:r>
      <w:r w:rsidRPr="003D38CD">
        <w:rPr>
          <w:lang w:val="pt-BR"/>
        </w:rPr>
        <w:t>, e tal comparabilidade é bem resumida em uma famosa passagem d’O Capital:</w:t>
      </w:r>
    </w:p>
    <w:p w14:paraId="6D8F2884" w14:textId="77777777" w:rsidR="0038091B" w:rsidRPr="003D38CD" w:rsidRDefault="00000000">
      <w:pPr>
        <w:pStyle w:val="BlockText"/>
        <w:rPr>
          <w:lang w:val="pt-BR"/>
        </w:rPr>
      </w:pPr>
      <w:r w:rsidRPr="003D38CD">
        <w:rPr>
          <w:lang w:val="pt-BR"/>
        </w:rPr>
        <w:t>Os homens não relacionam entre si seus produtos do trabalho como valores por considerarem essas coisas meros invólucros materiais de trabalho humano de mesmo tipo. Ao contrário. Porque equiparam entre si seus produtos de diferentes tipos na troca (como valores), eles equiparam entre si seus diferentes trabalhos como trabalho humano [abstrato]. Eles não sabem disso, mas o fazem. (Marx, 2017, p. 149)</w:t>
      </w:r>
    </w:p>
    <w:p w14:paraId="28123F60" w14:textId="77777777" w:rsidR="0038091B" w:rsidRPr="003D38CD" w:rsidRDefault="00000000">
      <w:pPr>
        <w:pStyle w:val="FirstParagraph"/>
        <w:rPr>
          <w:lang w:val="pt-BR"/>
        </w:rPr>
      </w:pPr>
      <w:r w:rsidRPr="003D38CD">
        <w:rPr>
          <w:lang w:val="pt-BR"/>
        </w:rPr>
        <w:t>Como todo indivíduo depende da produção alheia para satisfazer suas próprias necessidades, e como o fruto de seu trabalho, “[s]eu poder social, assim como seu nexo com a sociedade, [o indivíduo] traz consigo no bolso” (Marx, 2011, p. 105), torna-se vantajoso que ele busque aumentar sua riqueza, ou seja, que ele busque mais dinheiro, mais valor, maior potência de usufruto da riqueza social.</w:t>
      </w:r>
      <w:r>
        <w:rPr>
          <w:rStyle w:val="FootnoteReference"/>
        </w:rPr>
        <w:footnoteReference w:id="9"/>
      </w:r>
      <w:r w:rsidRPr="003D38CD">
        <w:rPr>
          <w:lang w:val="pt-BR"/>
        </w:rPr>
        <w:t xml:space="preserve"> Uma forma de enunciá-lo é através do conceito de “estratégias dominantes/dominadas” da Teoria dos Jogos, em Matemática: torna-se uma “estratégia dominante” que indivíduos </w:t>
      </w:r>
      <w:r w:rsidRPr="003D38CD">
        <w:rPr>
          <w:i/>
          <w:iCs/>
          <w:lang w:val="pt-BR"/>
        </w:rPr>
        <w:t>aumentem</w:t>
      </w:r>
      <w:r w:rsidRPr="003D38CD">
        <w:rPr>
          <w:lang w:val="pt-BR"/>
        </w:rPr>
        <w:t xml:space="preserve"> seu “poder social” — sua riqueza em forma-dinheiro, sua potência de reivindicar certa parcela da riqueza social —, pois fazem-no </w:t>
      </w:r>
      <w:r w:rsidRPr="003D38CD">
        <w:rPr>
          <w:i/>
          <w:iCs/>
          <w:lang w:val="pt-BR"/>
        </w:rPr>
        <w:t>em detrimento dos que não o fazem</w:t>
      </w:r>
      <w:r w:rsidRPr="003D38CD">
        <w:rPr>
          <w:lang w:val="pt-BR"/>
        </w:rPr>
        <w:t xml:space="preserve"> (e dos que fazem-no em menor intensidade). Em suma: “quanto mais se produz, mais se pode vender e, por consequência, maior a amplitude do acesso à riqueza material” (Sá Barreto, 2022, p. 43).</w:t>
      </w:r>
    </w:p>
    <w:p w14:paraId="5F15FD3F" w14:textId="77777777" w:rsidR="0038091B" w:rsidRPr="003D38CD" w:rsidRDefault="00000000">
      <w:pPr>
        <w:pStyle w:val="BodyText"/>
        <w:rPr>
          <w:lang w:val="pt-BR"/>
        </w:rPr>
      </w:pPr>
      <w:r w:rsidRPr="003D38CD">
        <w:rPr>
          <w:lang w:val="pt-BR"/>
        </w:rPr>
        <w:t xml:space="preserve">Portanto, embora em um alto nível de abstração, pode-se dizer que o trabalho, que é, a princípio, um </w:t>
      </w:r>
      <w:r w:rsidRPr="003D38CD">
        <w:rPr>
          <w:i/>
          <w:iCs/>
          <w:lang w:val="pt-BR"/>
        </w:rPr>
        <w:t>meio</w:t>
      </w:r>
      <w:r w:rsidRPr="003D38CD">
        <w:rPr>
          <w:lang w:val="pt-BR"/>
        </w:rPr>
        <w:t xml:space="preserve"> pelo qual efetiva-se um fim, torna-se um </w:t>
      </w:r>
      <w:r w:rsidRPr="003D38CD">
        <w:rPr>
          <w:i/>
          <w:iCs/>
          <w:lang w:val="pt-BR"/>
        </w:rPr>
        <w:t>fim</w:t>
      </w:r>
      <w:r w:rsidRPr="003D38CD">
        <w:rPr>
          <w:lang w:val="pt-BR"/>
        </w:rPr>
        <w:t xml:space="preserve"> ao qual os indivíduos buscam meios para sua </w:t>
      </w:r>
      <w:r w:rsidRPr="003D38CD">
        <w:rPr>
          <w:lang w:val="pt-BR"/>
        </w:rPr>
        <w:lastRenderedPageBreak/>
        <w:t>efetivação</w:t>
      </w:r>
      <w:r>
        <w:rPr>
          <w:rStyle w:val="FootnoteReference"/>
        </w:rPr>
        <w:footnoteReference w:id="10"/>
      </w:r>
      <w:r w:rsidRPr="003D38CD">
        <w:rPr>
          <w:lang w:val="pt-BR"/>
        </w:rPr>
        <w:t xml:space="preserve">; no primeiro caso, trata-se de um trabalho </w:t>
      </w:r>
      <w:r w:rsidRPr="003D38CD">
        <w:rPr>
          <w:i/>
          <w:iCs/>
          <w:lang w:val="pt-BR"/>
        </w:rPr>
        <w:t>concreto</w:t>
      </w:r>
      <w:r w:rsidRPr="003D38CD">
        <w:rPr>
          <w:lang w:val="pt-BR"/>
        </w:rPr>
        <w:t xml:space="preserve">, determinado e adequado a certa finalidade dada; no segundo caso, trata-se do trabalho </w:t>
      </w:r>
      <w:r w:rsidRPr="003D38CD">
        <w:rPr>
          <w:i/>
          <w:iCs/>
          <w:lang w:val="pt-BR"/>
        </w:rPr>
        <w:t>abstrato</w:t>
      </w:r>
      <w:r w:rsidRPr="003D38CD">
        <w:rPr>
          <w:lang w:val="pt-BR"/>
        </w:rPr>
        <w:t>, manifesto em dinheiro e intercambiável por todas as mercadorias, o qual é visado através dos meios que se tenha ao alcance</w:t>
      </w:r>
      <w:r>
        <w:rPr>
          <w:rStyle w:val="FootnoteReference"/>
        </w:rPr>
        <w:footnoteReference w:id="11"/>
      </w:r>
      <w:r w:rsidRPr="003D38CD">
        <w:rPr>
          <w:lang w:val="pt-BR"/>
        </w:rPr>
        <w:t>.</w:t>
      </w:r>
    </w:p>
    <w:p w14:paraId="69A13CA4" w14:textId="77777777" w:rsidR="0038091B" w:rsidRPr="003D38CD" w:rsidRDefault="00000000">
      <w:pPr>
        <w:pStyle w:val="BodyText"/>
        <w:rPr>
          <w:lang w:val="pt-BR"/>
        </w:rPr>
      </w:pPr>
      <w:r w:rsidRPr="003D38CD">
        <w:rPr>
          <w:lang w:val="pt-BR"/>
        </w:rPr>
        <w:t xml:space="preserve">Ou seja, um </w:t>
      </w:r>
      <w:r w:rsidRPr="003D38CD">
        <w:rPr>
          <w:i/>
          <w:iCs/>
          <w:lang w:val="pt-BR"/>
        </w:rPr>
        <w:t>télos</w:t>
      </w:r>
      <w:r w:rsidRPr="003D38CD">
        <w:rPr>
          <w:lang w:val="pt-BR"/>
        </w:rPr>
        <w:t xml:space="preserve"> alheio aos indivíduos estabelece-se, como que impondo-se-lhes enquanto </w:t>
      </w:r>
      <w:r w:rsidRPr="003D38CD">
        <w:rPr>
          <w:i/>
          <w:iCs/>
          <w:lang w:val="pt-BR"/>
        </w:rPr>
        <w:t>necessidade</w:t>
      </w:r>
      <w:r w:rsidRPr="003D38CD">
        <w:rPr>
          <w:lang w:val="pt-BR"/>
        </w:rPr>
        <w:t>: a busca por uma maior produção, por produzir mais valor. A aparência que este fenômeno assume é que esta finalidade — de produção crescente de trabalho abstrato — concentra-se para fora dos indivíduos, os quais são empregados para sua consecução</w:t>
      </w:r>
      <w:r>
        <w:rPr>
          <w:rStyle w:val="FootnoteReference"/>
        </w:rPr>
        <w:footnoteReference w:id="12"/>
      </w:r>
      <w:r w:rsidRPr="003D38CD">
        <w:rPr>
          <w:lang w:val="pt-BR"/>
        </w:rPr>
        <w:t xml:space="preserve">; aparece, portanto, que a finalidade desta sociedade concentra-se na figura do </w:t>
      </w:r>
      <w:r w:rsidRPr="003D38CD">
        <w:rPr>
          <w:i/>
          <w:iCs/>
          <w:lang w:val="pt-BR"/>
        </w:rPr>
        <w:t>capital</w:t>
      </w:r>
      <w:r w:rsidRPr="003D38CD">
        <w:rPr>
          <w:lang w:val="pt-BR"/>
        </w:rPr>
        <w:t>, e que os seres humanos tornam-se-lhe meios pelos quais ele efetiva seus fins. Estabelece-se, portanto, “uma formação social em que o processo de produção domina os homens, e não os homens o processo de produção” (Marx, 2017, p. 156).</w:t>
      </w:r>
    </w:p>
    <w:p w14:paraId="69A048DA" w14:textId="77777777" w:rsidR="0038091B" w:rsidRPr="003D38CD" w:rsidRDefault="00000000">
      <w:pPr>
        <w:pStyle w:val="BodyText"/>
        <w:rPr>
          <w:lang w:val="pt-BR"/>
        </w:rPr>
      </w:pPr>
      <w:r w:rsidRPr="003D38CD">
        <w:rPr>
          <w:lang w:val="pt-BR"/>
        </w:rPr>
        <w:t>A questão do fetichismo é crucial aqui, como bem colocado por Carcanholo:</w:t>
      </w:r>
    </w:p>
    <w:p w14:paraId="4517B4E7" w14:textId="77777777" w:rsidR="0038091B" w:rsidRPr="003D38CD" w:rsidRDefault="00000000">
      <w:pPr>
        <w:pStyle w:val="BlockText"/>
        <w:rPr>
          <w:lang w:val="pt-BR"/>
        </w:rPr>
      </w:pPr>
      <w:r w:rsidRPr="003D38CD">
        <w:rPr>
          <w:lang w:val="pt-BR"/>
        </w:rPr>
        <w:t>...ainda que o sujeito histórico seja sempre o ser humano, ele se encontra, no capitalismo, estranhado/alienado pelo fetiche das mercadorias. Isto significa, dentre outras coisas, que a inserção social desse ser humano passa a depender do que sua mercadoria obtiver na instância de sua venda/compra, isto é, da efetivação, ou não, da propriedade de a mercadoria ser valor. Assim, o sujeito histórico no capitalismo é invertido, passando a ser o valor das mercadorias, enquanto o objeto (determinado, e não determinante) é o ser humano. (Carcanholo, 2021, p. 119)</w:t>
      </w:r>
    </w:p>
    <w:p w14:paraId="3983D65D" w14:textId="77777777" w:rsidR="0038091B" w:rsidRPr="003D38CD" w:rsidRDefault="00000000">
      <w:pPr>
        <w:pStyle w:val="FirstParagraph"/>
        <w:rPr>
          <w:lang w:val="pt-BR"/>
        </w:rPr>
      </w:pPr>
      <w:r w:rsidRPr="003D38CD">
        <w:rPr>
          <w:lang w:val="pt-BR"/>
        </w:rPr>
        <w:t xml:space="preserve">O sujeito histórico em uma sociedade capitalista é o valor; mais do que isso, é o valor que busca valorizar-se — este sujeito é, portanto, o </w:t>
      </w:r>
      <w:r w:rsidRPr="003D38CD">
        <w:rPr>
          <w:i/>
          <w:iCs/>
          <w:lang w:val="pt-BR"/>
        </w:rPr>
        <w:t>capital</w:t>
      </w:r>
      <w:r w:rsidRPr="003D38CD">
        <w:rPr>
          <w:lang w:val="pt-BR"/>
        </w:rPr>
        <w:t xml:space="preserve">. De fato, esta sociedade denomina-se “sociedade </w:t>
      </w:r>
      <w:r w:rsidRPr="003D38CD">
        <w:rPr>
          <w:i/>
          <w:iCs/>
          <w:lang w:val="pt-BR"/>
        </w:rPr>
        <w:lastRenderedPageBreak/>
        <w:t>capitalista</w:t>
      </w:r>
      <w:r w:rsidRPr="003D38CD">
        <w:rPr>
          <w:lang w:val="pt-BR"/>
        </w:rPr>
        <w:t xml:space="preserve">” justamente porque é nela que o </w:t>
      </w:r>
      <w:r w:rsidRPr="003D38CD">
        <w:rPr>
          <w:i/>
          <w:iCs/>
          <w:lang w:val="pt-BR"/>
        </w:rPr>
        <w:t>télos</w:t>
      </w:r>
      <w:r w:rsidRPr="003D38CD">
        <w:rPr>
          <w:lang w:val="pt-BR"/>
        </w:rPr>
        <w:t xml:space="preserve"> do capital — i.e. a valorização do valor — passa a condicionar mais e mais esferas da vida humana.</w:t>
      </w:r>
    </w:p>
    <w:p w14:paraId="11C37C77" w14:textId="77777777" w:rsidR="0038091B" w:rsidRPr="003D38CD" w:rsidRDefault="00000000">
      <w:pPr>
        <w:pStyle w:val="BodyText"/>
        <w:rPr>
          <w:lang w:val="pt-BR"/>
        </w:rPr>
      </w:pPr>
      <w:r w:rsidRPr="003D38CD">
        <w:rPr>
          <w:lang w:val="pt-BR"/>
        </w:rPr>
        <w:t>Por fim, assim como toda finalidade prevê atividades mais ou menos adequadas à sua efetivação, também esta “dinâmica autocentrada do trabalho [abstrato]”, que passa a guiar as ações da sociedade, precisa que se garanta que os pressupostos das práticas humanas “estejam em conformidade com sua reprodução (a reprodução da dinâmica)” (Medeiros; Sá Barreto, 2013, p. 329).</w:t>
      </w:r>
    </w:p>
    <w:p w14:paraId="138A8A12" w14:textId="77777777" w:rsidR="0038091B" w:rsidRPr="003D38CD" w:rsidRDefault="00000000">
      <w:pPr>
        <w:pStyle w:val="BodyText"/>
        <w:rPr>
          <w:lang w:val="pt-BR"/>
        </w:rPr>
      </w:pPr>
      <w:r w:rsidRPr="003D38CD">
        <w:rPr>
          <w:lang w:val="pt-BR"/>
        </w:rPr>
        <w:t>Feita esta discussão em um nível mais abstrato, voltemos ao problema do ESG em um nível mais concreto, e vejamos como podemos apreendê-lo de forma mais clara.</w:t>
      </w:r>
    </w:p>
    <w:p w14:paraId="44DF87CA" w14:textId="77777777" w:rsidR="0038091B" w:rsidRPr="00413CDB" w:rsidRDefault="00000000">
      <w:pPr>
        <w:pStyle w:val="Heading1"/>
        <w:rPr>
          <w:color w:val="000000" w:themeColor="text1"/>
          <w:lang w:val="pt-BR"/>
        </w:rPr>
      </w:pPr>
      <w:bookmarkStart w:id="4" w:name="esg-na-prática"/>
      <w:bookmarkEnd w:id="3"/>
      <w:r w:rsidRPr="00413CDB">
        <w:rPr>
          <w:color w:val="000000" w:themeColor="text1"/>
          <w:lang w:val="pt-BR"/>
        </w:rPr>
        <w:t>ESG, na prática</w:t>
      </w:r>
    </w:p>
    <w:p w14:paraId="4E693383" w14:textId="77777777" w:rsidR="0038091B" w:rsidRPr="003D38CD" w:rsidRDefault="00000000">
      <w:pPr>
        <w:pStyle w:val="FirstParagraph"/>
        <w:rPr>
          <w:lang w:val="pt-BR"/>
        </w:rPr>
      </w:pPr>
      <w:r w:rsidRPr="003D38CD">
        <w:rPr>
          <w:lang w:val="pt-BR"/>
        </w:rPr>
        <w:t>Voltando ao tema ESG, a discussão sobre “ética capitalista” pode ser bem ilustrada pelo seguinte acontecimento.</w:t>
      </w:r>
      <w:r>
        <w:rPr>
          <w:rStyle w:val="FootnoteReference"/>
        </w:rPr>
        <w:footnoteReference w:id="13"/>
      </w:r>
    </w:p>
    <w:p w14:paraId="34EA0E58" w14:textId="77777777" w:rsidR="0038091B" w:rsidRPr="003D38CD" w:rsidRDefault="00000000">
      <w:pPr>
        <w:pStyle w:val="BodyText"/>
        <w:rPr>
          <w:lang w:val="pt-BR"/>
        </w:rPr>
      </w:pPr>
      <w:r w:rsidRPr="003D38CD">
        <w:rPr>
          <w:lang w:val="pt-BR"/>
        </w:rPr>
        <w:t>Em 19 de maio de 2022, o então líder global de investimentos responsáveis</w:t>
      </w:r>
      <w:r>
        <w:rPr>
          <w:rStyle w:val="FootnoteReference"/>
        </w:rPr>
        <w:footnoteReference w:id="14"/>
      </w:r>
      <w:r w:rsidRPr="003D38CD">
        <w:rPr>
          <w:lang w:val="pt-BR"/>
        </w:rPr>
        <w:t xml:space="preserve"> pela HSBC Asset Management, Stuart Kirk, deu uma palestra entitulada “Por que investidores não precisam temer riscos climáticos” (</w:t>
      </w:r>
      <w:r w:rsidRPr="003D38CD">
        <w:rPr>
          <w:i/>
          <w:iCs/>
          <w:lang w:val="pt-BR"/>
        </w:rPr>
        <w:t>Why Investors Shouldn’t Fear Climate Risk</w:t>
      </w:r>
      <w:r w:rsidRPr="003D38CD">
        <w:rPr>
          <w:lang w:val="pt-BR"/>
        </w:rPr>
        <w:t>) (Kirk, 2022), em um evento do Financial Times chamado “</w:t>
      </w:r>
      <w:r w:rsidRPr="003D38CD">
        <w:rPr>
          <w:i/>
          <w:iCs/>
          <w:lang w:val="pt-BR"/>
        </w:rPr>
        <w:t>FT Moral Money Summit</w:t>
      </w:r>
      <w:r w:rsidRPr="003D38CD">
        <w:rPr>
          <w:lang w:val="pt-BR"/>
        </w:rPr>
        <w:t>”, sobre investimentos sustentáveis e, em particular, riscos climáticos. Já se infere pelo título que seu propósito era de suscitar uma discussão, para dizer o mínimo.</w:t>
      </w:r>
    </w:p>
    <w:p w14:paraId="12351313" w14:textId="77777777" w:rsidR="0038091B" w:rsidRPr="003D38CD" w:rsidRDefault="00000000">
      <w:pPr>
        <w:pStyle w:val="BodyText"/>
        <w:rPr>
          <w:lang w:val="pt-BR"/>
        </w:rPr>
      </w:pPr>
      <w:r w:rsidRPr="003D38CD">
        <w:rPr>
          <w:lang w:val="pt-BR"/>
        </w:rPr>
        <w:t>E fica claro, logo no início de sua apresentação, que seu objetivo era de polemizar sobre o tema de ESG, em particular no âmbito de precificações financeiras. Nessa palestra, Kirk argumenta sobre os “exageros” com que a crise climática tem sido abordada no meio financeiro à época</w:t>
      </w:r>
      <w:r>
        <w:rPr>
          <w:rStyle w:val="FootnoteReference"/>
        </w:rPr>
        <w:footnoteReference w:id="15"/>
      </w:r>
      <w:r w:rsidRPr="003D38CD">
        <w:rPr>
          <w:lang w:val="pt-BR"/>
        </w:rPr>
        <w:t xml:space="preserve">, destacando que as demandas </w:t>
      </w:r>
      <w:r w:rsidRPr="003D38CD">
        <w:rPr>
          <w:i/>
          <w:iCs/>
          <w:lang w:val="pt-BR"/>
        </w:rPr>
        <w:t>top-down</w:t>
      </w:r>
      <w:r>
        <w:rPr>
          <w:rStyle w:val="FootnoteReference"/>
        </w:rPr>
        <w:footnoteReference w:id="16"/>
      </w:r>
      <w:r w:rsidRPr="003D38CD">
        <w:rPr>
          <w:lang w:val="pt-BR"/>
        </w:rPr>
        <w:t xml:space="preserve"> de “precificação de riscos climáticos” não possuem tanto impacto em </w:t>
      </w:r>
      <w:r w:rsidRPr="003D38CD">
        <w:rPr>
          <w:i/>
          <w:iCs/>
          <w:lang w:val="pt-BR"/>
        </w:rPr>
        <w:lastRenderedPageBreak/>
        <w:t>valuations</w:t>
      </w:r>
      <w:r w:rsidRPr="003D38CD">
        <w:rPr>
          <w:lang w:val="pt-BR"/>
        </w:rPr>
        <w:t xml:space="preserve"> de produtos financeiros, posto que tratam-se de riscos a longo prazo (na ordem de décadas). Seu argumento é lógico, e uma forma heurística de pensá-lo, pelo ponto de vista da teoria microeconômica, é através de descontos exponenciais ou hiperbólicos: supondo, como exemplo, uma periodicidade anual de recebíveis financeiros, os valores recebíveis daqui a um ou dois anos têm muito mais impacto no valor descontado ao presente do que recebíveis a décadas no futuro. É neste sentido que Kirk argumenta que tais demandas de “precificar riscos climáticos”, que virão em décadas após a precificação, são inócuas, ou seja, não gerarão efeitos visíveis sobre o preço final destes produtos financeiros.</w:t>
      </w:r>
      <w:r>
        <w:rPr>
          <w:rStyle w:val="FootnoteReference"/>
        </w:rPr>
        <w:footnoteReference w:id="17"/>
      </w:r>
    </w:p>
    <w:p w14:paraId="19296FDC" w14:textId="77777777" w:rsidR="0038091B" w:rsidRPr="003D38CD" w:rsidRDefault="00000000">
      <w:pPr>
        <w:pStyle w:val="BodyText"/>
        <w:rPr>
          <w:lang w:val="pt-BR"/>
        </w:rPr>
      </w:pPr>
      <w:r w:rsidRPr="003D38CD">
        <w:rPr>
          <w:lang w:val="pt-BR"/>
        </w:rPr>
        <w:t>Dentre suas falas ácidas e diretas, porém, a que mais ganhou atenção das manchetes de notícias foi quando ele fala que</w:t>
      </w:r>
    </w:p>
    <w:p w14:paraId="65B507FD" w14:textId="77777777" w:rsidR="0038091B" w:rsidRDefault="00000000">
      <w:pPr>
        <w:pStyle w:val="BlockText"/>
      </w:pPr>
      <w:r w:rsidRPr="003D38CD">
        <w:rPr>
          <w:lang w:val="pt-BR"/>
        </w:rPr>
        <w:t xml:space="preserve">Quem liga se Miami ficará seis metros abaixo d’água em 100 anos? Amsterdã tem estado debaixo de 6 metros d’água por eras e é um bom lugar. </w:t>
      </w:r>
      <w:r>
        <w:t>Nós lidaremos com isso. [</w:t>
      </w:r>
      <w:r>
        <w:rPr>
          <w:i/>
          <w:iCs/>
        </w:rPr>
        <w:t>We will cope with it.</w:t>
      </w:r>
      <w:r>
        <w:t>] (Kirk, 2022)</w:t>
      </w:r>
    </w:p>
    <w:p w14:paraId="6D00502C" w14:textId="77777777" w:rsidR="0038091B" w:rsidRPr="003D38CD" w:rsidRDefault="00000000">
      <w:pPr>
        <w:pStyle w:val="FirstParagraph"/>
        <w:rPr>
          <w:lang w:val="pt-BR"/>
        </w:rPr>
      </w:pPr>
      <w:r w:rsidRPr="003D38CD">
        <w:rPr>
          <w:lang w:val="pt-BR"/>
        </w:rPr>
        <w:t xml:space="preserve">Dias depois de sua palestra, o CEO do grupo HSBC expressou em seu Linkedin que “não concorda — em absoluto — com os comentários feitos no </w:t>
      </w:r>
      <w:r w:rsidRPr="003D38CD">
        <w:rPr>
          <w:i/>
          <w:iCs/>
          <w:lang w:val="pt-BR"/>
        </w:rPr>
        <w:t>FT Moral Money Summit</w:t>
      </w:r>
      <w:r w:rsidRPr="003D38CD">
        <w:rPr>
          <w:lang w:val="pt-BR"/>
        </w:rPr>
        <w:t xml:space="preserve"> da semana passada” e reiterou os compromissos do HSBC com “um futuro </w:t>
      </w:r>
      <w:r w:rsidRPr="003D38CD">
        <w:rPr>
          <w:i/>
          <w:iCs/>
          <w:lang w:val="pt-BR"/>
        </w:rPr>
        <w:t>net-zero</w:t>
      </w:r>
      <w:r>
        <w:rPr>
          <w:rStyle w:val="FootnoteReference"/>
        </w:rPr>
        <w:footnoteReference w:id="18"/>
      </w:r>
      <w:r w:rsidRPr="003D38CD">
        <w:rPr>
          <w:lang w:val="pt-BR"/>
        </w:rPr>
        <w:t xml:space="preserve">” e sua ambição em “ser o banco a liderar o apoio da economia global na transição ao </w:t>
      </w:r>
      <w:r w:rsidRPr="003D38CD">
        <w:rPr>
          <w:i/>
          <w:iCs/>
          <w:lang w:val="pt-BR"/>
        </w:rPr>
        <w:t>net-zero</w:t>
      </w:r>
      <w:r w:rsidRPr="003D38CD">
        <w:rPr>
          <w:lang w:val="pt-BR"/>
        </w:rPr>
        <w:t xml:space="preserve">” (Quinn, 2025). No dia seguinte, Kirk é afastado de seu cargo (Makortoff, 2022), pedindo demissão meses depois (Reuters, 2022). O irônico de tudo é que o próprio Financial Times — que foi o anfitrião do evento em que Kirk palestrou — afirmou que “o tema e o conteúdo [dessa palestra] já haviam sido definidos internamente antes do pronunciamento de Kirk na quinta-feira, de acordo com pessoas com conhecimento do planejamento do evento”, e que “o título da apresentação […] havia sido definido dois meses antes e divulgado no site em preparação para </w:t>
      </w:r>
      <w:r w:rsidRPr="003D38CD">
        <w:rPr>
          <w:lang w:val="pt-BR"/>
        </w:rPr>
        <w:lastRenderedPageBreak/>
        <w:t xml:space="preserve">o evento” (Walker, 2022). Porém, e talvez o principal de toda essa história, é que, quatro meses depois de sua demissão, ele é contratado </w:t>
      </w:r>
      <w:r w:rsidRPr="003D38CD">
        <w:rPr>
          <w:i/>
          <w:iCs/>
          <w:lang w:val="pt-BR"/>
        </w:rPr>
        <w:t>pelo próprio Financial Times</w:t>
      </w:r>
      <w:r w:rsidRPr="003D38CD">
        <w:rPr>
          <w:lang w:val="pt-BR"/>
        </w:rPr>
        <w:t xml:space="preserve"> (Financial Times, 2022).</w:t>
      </w:r>
    </w:p>
    <w:p w14:paraId="40108AF7" w14:textId="77777777" w:rsidR="0038091B" w:rsidRPr="003D38CD" w:rsidRDefault="00000000">
      <w:pPr>
        <w:pStyle w:val="BodyText"/>
        <w:rPr>
          <w:lang w:val="pt-BR"/>
        </w:rPr>
      </w:pPr>
      <w:r w:rsidRPr="003D38CD">
        <w:rPr>
          <w:lang w:val="pt-BR"/>
        </w:rPr>
        <w:t xml:space="preserve">O motivo de apontar toda essa cronologia é de argumentar que as falas de Kirk não foram meramente “negacionismo climático” ou “ganância corporativa”, como alardeado pela mídia (BBC, 2022; Gross, 2022; Makortoff, 2022), em verdade apontando para algo mais profundo, evidenciado pelo fato de o Financial Times — um jornal respeitado no meio financeiro, que se esperaria que incorreria em danos reputacionais por ter “hospedado” a palestra de Kirk — tê-lo contratado como colunista mesmo depois de toda essa </w:t>
      </w:r>
      <w:r w:rsidRPr="003D38CD">
        <w:rPr>
          <w:i/>
          <w:iCs/>
          <w:lang w:val="pt-BR"/>
        </w:rPr>
        <w:t>débâcle</w:t>
      </w:r>
      <w:r w:rsidRPr="003D38CD">
        <w:rPr>
          <w:lang w:val="pt-BR"/>
        </w:rPr>
        <w:t>.</w:t>
      </w:r>
    </w:p>
    <w:p w14:paraId="55AFFD9F" w14:textId="77777777" w:rsidR="0038091B" w:rsidRPr="003D38CD" w:rsidRDefault="00000000">
      <w:pPr>
        <w:pStyle w:val="BodyText"/>
        <w:rPr>
          <w:lang w:val="pt-BR"/>
        </w:rPr>
      </w:pPr>
      <w:r w:rsidRPr="003D38CD">
        <w:rPr>
          <w:lang w:val="pt-BR"/>
        </w:rPr>
        <w:t>Um outro personagem relevante à discussão sobre ESG e investimentos sustentáveis é Tariq Fancy, ex-</w:t>
      </w:r>
      <w:r w:rsidRPr="003D38CD">
        <w:rPr>
          <w:i/>
          <w:iCs/>
          <w:lang w:val="pt-BR"/>
        </w:rPr>
        <w:t>Chief Investment Officer</w:t>
      </w:r>
      <w:r w:rsidRPr="003D38CD">
        <w:rPr>
          <w:lang w:val="pt-BR"/>
        </w:rPr>
        <w:t xml:space="preserve"> em investimento sustentável da Blackrock, maior empresa de gestão de ativos do mundo</w:t>
      </w:r>
      <w:r>
        <w:rPr>
          <w:rStyle w:val="FootnoteReference"/>
        </w:rPr>
        <w:footnoteReference w:id="19"/>
      </w:r>
      <w:r w:rsidRPr="003D38CD">
        <w:rPr>
          <w:lang w:val="pt-BR"/>
        </w:rPr>
        <w:t>. Fancy ganhou notoriedade após a publicação de uma série de textos intitulada “Diário secreto de um investidor sustentável” (Fancy, 2021), em que ele relata sobre vários casos em que presenciou contradições (e mesmo hipocrisias em muitos casos) entre os discursos e as práticas no meio corporativo, em particular no que tange às questões de sustentabilidade e o papel que este meio possui e/ou alega possuir.</w:t>
      </w:r>
    </w:p>
    <w:p w14:paraId="5BA19912" w14:textId="77777777" w:rsidR="0038091B" w:rsidRPr="003D38CD" w:rsidRDefault="00000000">
      <w:pPr>
        <w:pStyle w:val="BodyText"/>
        <w:rPr>
          <w:lang w:val="pt-BR"/>
        </w:rPr>
      </w:pPr>
      <w:r w:rsidRPr="003D38CD">
        <w:rPr>
          <w:lang w:val="pt-BR"/>
        </w:rPr>
        <w:t>Dentre várias passagens ilustrativas em sua série de textos, uma que expõe o fundamento da lógica de Kirk é a seguinte:</w:t>
      </w:r>
    </w:p>
    <w:p w14:paraId="617A3F59" w14:textId="77777777" w:rsidR="0038091B" w:rsidRPr="003D38CD" w:rsidRDefault="00000000">
      <w:pPr>
        <w:pStyle w:val="BlockText"/>
        <w:rPr>
          <w:lang w:val="pt-BR"/>
        </w:rPr>
      </w:pPr>
      <w:r w:rsidRPr="003D38CD">
        <w:rPr>
          <w:lang w:val="pt-BR"/>
        </w:rPr>
        <w:t>...a realidade é que grande parte do que importa para a sociedade simplesmente não afeta o retorno de uma estratégia de investimento particular. Muitas vezes, isso se deve ao horizonte temporal do investimento subjacente: muitas estratégias têm um prazo muito curto, o que significa que as questões ESG de longo prazo não são particularmente relevantes. Às vezes, existem estratégias de dívida que possuem vários seguros e proteções [</w:t>
      </w:r>
      <w:r w:rsidRPr="003D38CD">
        <w:rPr>
          <w:i/>
          <w:iCs/>
          <w:lang w:val="pt-BR"/>
        </w:rPr>
        <w:t>insurance and protections</w:t>
      </w:r>
      <w:r w:rsidRPr="003D38CD">
        <w:rPr>
          <w:lang w:val="pt-BR"/>
        </w:rPr>
        <w:t>] e que, de qualquer forma, não se preocupam com um período posterior à data de vencimento da dívida. Na maioria das vezes, investimentos caros e de longo prazo relacionados à sustentabilidade são incertos e demoram para gerar potencial de lucro, se é que existe algum. (Fancy, 2021, p. 15)</w:t>
      </w:r>
    </w:p>
    <w:p w14:paraId="29DD242E" w14:textId="77777777" w:rsidR="0038091B" w:rsidRPr="003D38CD" w:rsidRDefault="00000000">
      <w:pPr>
        <w:pStyle w:val="FirstParagraph"/>
        <w:rPr>
          <w:lang w:val="pt-BR"/>
        </w:rPr>
      </w:pPr>
      <w:r w:rsidRPr="003D38CD">
        <w:rPr>
          <w:lang w:val="pt-BR"/>
        </w:rPr>
        <w:lastRenderedPageBreak/>
        <w:t xml:space="preserve">Uma fala interessante que Kirk faz em sua palestra é que o “Nosso prazo médio de empréstimo [da HSBC] é de 6 anos. O que acontece com o planeta no 7º ano é irrelevante para nossa carteira de crédito” (Kirk, 2022). Ele não diz que “o que acontece com o planeta” seja irrelevante, e sim que é irrelevante “para a carteira”; ou seja, seu discurso não se trata da crise climática </w:t>
      </w:r>
      <w:r w:rsidRPr="003D38CD">
        <w:rPr>
          <w:i/>
          <w:iCs/>
          <w:lang w:val="pt-BR"/>
        </w:rPr>
        <w:t>per se</w:t>
      </w:r>
      <w:r w:rsidRPr="003D38CD">
        <w:rPr>
          <w:lang w:val="pt-BR"/>
        </w:rPr>
        <w:t xml:space="preserve">, e sim sobre como ela influencia o </w:t>
      </w:r>
      <w:r w:rsidRPr="003D38CD">
        <w:rPr>
          <w:i/>
          <w:iCs/>
          <w:lang w:val="pt-BR"/>
        </w:rPr>
        <w:t>métier</w:t>
      </w:r>
      <w:r w:rsidRPr="003D38CD">
        <w:rPr>
          <w:lang w:val="pt-BR"/>
        </w:rPr>
        <w:t xml:space="preserve"> financeiro.</w:t>
      </w:r>
    </w:p>
    <w:p w14:paraId="23C1D34D" w14:textId="77777777" w:rsidR="0038091B" w:rsidRPr="003D38CD" w:rsidRDefault="00000000">
      <w:pPr>
        <w:pStyle w:val="BodyText"/>
        <w:rPr>
          <w:lang w:val="pt-BR"/>
        </w:rPr>
      </w:pPr>
      <w:r w:rsidRPr="003D38CD">
        <w:rPr>
          <w:lang w:val="pt-BR"/>
        </w:rPr>
        <w:t>No que tange à “ética capitalista” acima exposta, pode-se dizer que a exposição de Kirk, embora apareça como “</w:t>
      </w:r>
      <w:r w:rsidRPr="003D38CD">
        <w:rPr>
          <w:i/>
          <w:iCs/>
          <w:lang w:val="pt-BR"/>
        </w:rPr>
        <w:t>socialmente</w:t>
      </w:r>
      <w:r w:rsidRPr="003D38CD">
        <w:rPr>
          <w:lang w:val="pt-BR"/>
        </w:rPr>
        <w:t xml:space="preserve"> imoral” — , é “</w:t>
      </w:r>
      <w:r w:rsidRPr="003D38CD">
        <w:rPr>
          <w:i/>
          <w:iCs/>
          <w:lang w:val="pt-BR"/>
        </w:rPr>
        <w:t>capitalisticamente</w:t>
      </w:r>
      <w:r w:rsidRPr="003D38CD">
        <w:rPr>
          <w:lang w:val="pt-BR"/>
        </w:rPr>
        <w:t xml:space="preserve"> moral” — ou, melhor dizendo, é “mais moral capitalisticamente” do que o fazer corporativo submetido às “demandas superficiais” do ESG. E isso porque a atividade exposta por sua fala é mais aderente às finalidades da sociedade capitalista do que o discurso ESG dá a entender: se o objetivo último do capital é o de “valorizar-se”, de produzir mais e mais valor, então a sustentabilidade que se opõe a este objetivo lhe é detrimental; ou seja, ceder a tais restrições opostas à finalidade do capital é, no que lhe diz respeito, “imoral”, é uma atividade que não é aderente com seu </w:t>
      </w:r>
      <w:r w:rsidRPr="003D38CD">
        <w:rPr>
          <w:i/>
          <w:iCs/>
          <w:lang w:val="pt-BR"/>
        </w:rPr>
        <w:t>télos</w:t>
      </w:r>
      <w:r w:rsidRPr="003D38CD">
        <w:rPr>
          <w:lang w:val="pt-BR"/>
        </w:rPr>
        <w:t xml:space="preserve"> — é, portanto, uma atividade, no que lhe diz respeito, “inútil”.</w:t>
      </w:r>
    </w:p>
    <w:p w14:paraId="5DD3FB9A" w14:textId="77777777" w:rsidR="0038091B" w:rsidRPr="003D38CD" w:rsidRDefault="00000000">
      <w:pPr>
        <w:pStyle w:val="BodyText"/>
        <w:rPr>
          <w:lang w:val="pt-BR"/>
        </w:rPr>
      </w:pPr>
      <w:r w:rsidRPr="003D38CD">
        <w:rPr>
          <w:lang w:val="pt-BR"/>
        </w:rPr>
        <w:t xml:space="preserve">A consideração que o mercado financeiro concede aos problemas abarcados pelo ESG não tem como ser senão passiva: tudo que foge do alcance imediato de suas ações torna-se-lhe mera pré-condição de seus </w:t>
      </w:r>
      <w:r w:rsidRPr="003D38CD">
        <w:rPr>
          <w:i/>
          <w:iCs/>
          <w:lang w:val="pt-BR"/>
        </w:rPr>
        <w:t>valuations</w:t>
      </w:r>
      <w:r w:rsidRPr="003D38CD">
        <w:rPr>
          <w:lang w:val="pt-BR"/>
        </w:rPr>
        <w:t xml:space="preserve">, e tudo que foge do horizonte de maturidade de seus ativos não lhes diz respeito em absoluto — </w:t>
      </w:r>
      <w:r w:rsidRPr="003D38CD">
        <w:rPr>
          <w:i/>
          <w:iCs/>
          <w:lang w:val="pt-BR"/>
        </w:rPr>
        <w:t>après moi, le déluge</w:t>
      </w:r>
      <w:r w:rsidRPr="003D38CD">
        <w:rPr>
          <w:lang w:val="pt-BR"/>
        </w:rPr>
        <w:t>!</w:t>
      </w:r>
      <w:r>
        <w:rPr>
          <w:rStyle w:val="FootnoteReference"/>
        </w:rPr>
        <w:footnoteReference w:id="20"/>
      </w:r>
      <w:r w:rsidRPr="003D38CD">
        <w:rPr>
          <w:lang w:val="pt-BR"/>
        </w:rPr>
        <w:t xml:space="preserve"> Tais questões são vistas como se estivessem detrás de uma vitrine de loja: distante ao toque, mas não da carteira.</w:t>
      </w:r>
    </w:p>
    <w:p w14:paraId="2868197D" w14:textId="77777777" w:rsidR="0038091B" w:rsidRPr="003D38CD" w:rsidRDefault="00000000">
      <w:pPr>
        <w:pStyle w:val="BodyText"/>
        <w:rPr>
          <w:lang w:val="pt-BR"/>
        </w:rPr>
      </w:pPr>
      <w:r w:rsidRPr="003D38CD">
        <w:rPr>
          <w:lang w:val="pt-BR"/>
        </w:rPr>
        <w:t xml:space="preserve">Um exemplo fora do mercado financeiro que atesta as contradições do ESG pode ser encontrado no trabalho antropológico de Luisa Reis-Castro, que fez um trabalho de campo em Juazeiro (Bahia) relacionado à indústria que produz mosquitos geneticamente modificados, empregados como estratégia de erradicação do </w:t>
      </w:r>
      <w:r w:rsidRPr="003D38CD">
        <w:rPr>
          <w:i/>
          <w:iCs/>
          <w:lang w:val="pt-BR"/>
        </w:rPr>
        <w:t>Aedes aegypti</w:t>
      </w:r>
      <w:r w:rsidRPr="003D38CD">
        <w:rPr>
          <w:lang w:val="pt-BR"/>
        </w:rPr>
        <w:t>. Essa causa “nobre”, que facilmente pode ser vista como “cumprindo princípios ESG”, é mais complexa do que parece:</w:t>
      </w:r>
    </w:p>
    <w:p w14:paraId="3CA6A262" w14:textId="77777777" w:rsidR="0038091B" w:rsidRPr="003D38CD" w:rsidRDefault="00000000">
      <w:pPr>
        <w:pStyle w:val="BlockText"/>
        <w:rPr>
          <w:lang w:val="pt-BR"/>
        </w:rPr>
      </w:pPr>
      <w:r w:rsidRPr="003D38CD">
        <w:rPr>
          <w:lang w:val="pt-BR"/>
        </w:rPr>
        <w:t xml:space="preserve">...embora se promova como uma estratégia muito inovadora, a técnica de insetos transgênicos RIDL [sigla para “Liberação de Insetos Portadores de um gene letal Dominante”] segue uma lógica profundamente enraizada que se concentra no mosquito, em vez de analisar e melhorar as condições sociais, saúde e atendimentos médicos. Isso fica evidente no caso brasileiro. A </w:t>
      </w:r>
      <w:r w:rsidRPr="003D38CD">
        <w:rPr>
          <w:lang w:val="pt-BR"/>
        </w:rPr>
        <w:lastRenderedPageBreak/>
        <w:t xml:space="preserve">cidade de Juazeiro, no estado da Bahia — local escolhido para experimentar essa tecnologia de ponta — </w:t>
      </w:r>
      <w:r w:rsidRPr="003D38CD">
        <w:rPr>
          <w:i/>
          <w:iCs/>
          <w:lang w:val="pt-BR"/>
        </w:rPr>
        <w:t>não possui abastecimento de água encanada</w:t>
      </w:r>
      <w:r w:rsidRPr="003D38CD">
        <w:rPr>
          <w:lang w:val="pt-BR"/>
        </w:rPr>
        <w:t>. (Reis-Castro; Hendrickx, 2013, p. 124; grifo meu)</w:t>
      </w:r>
    </w:p>
    <w:p w14:paraId="5FB05880" w14:textId="77777777" w:rsidR="0038091B" w:rsidRPr="003D38CD" w:rsidRDefault="00000000">
      <w:pPr>
        <w:pStyle w:val="FirstParagraph"/>
        <w:rPr>
          <w:lang w:val="pt-BR"/>
        </w:rPr>
      </w:pPr>
      <w:r w:rsidRPr="003D38CD">
        <w:rPr>
          <w:lang w:val="pt-BR"/>
        </w:rPr>
        <w:t xml:space="preserve">Perceba-se que estes mosquitos são </w:t>
      </w:r>
      <w:r w:rsidRPr="003D38CD">
        <w:rPr>
          <w:i/>
          <w:iCs/>
          <w:lang w:val="pt-BR"/>
        </w:rPr>
        <w:t>produzidos</w:t>
      </w:r>
      <w:r w:rsidRPr="003D38CD">
        <w:rPr>
          <w:lang w:val="pt-BR"/>
        </w:rPr>
        <w:t xml:space="preserve"> por uma empresa, com o propósito de </w:t>
      </w:r>
      <w:r w:rsidRPr="003D38CD">
        <w:rPr>
          <w:i/>
          <w:iCs/>
          <w:lang w:val="pt-BR"/>
        </w:rPr>
        <w:t>serem comercializados</w:t>
      </w:r>
      <w:r w:rsidRPr="003D38CD">
        <w:rPr>
          <w:lang w:val="pt-BR"/>
        </w:rPr>
        <w:t xml:space="preserve"> — são mercadorias, portanto. Os mosquitos a que Reis-Castro se refere são </w:t>
      </w:r>
      <w:r w:rsidRPr="003D38CD">
        <w:rPr>
          <w:i/>
          <w:iCs/>
          <w:lang w:val="pt-BR"/>
        </w:rPr>
        <w:t>testados</w:t>
      </w:r>
      <w:r w:rsidRPr="003D38CD">
        <w:rPr>
          <w:lang w:val="pt-BR"/>
        </w:rPr>
        <w:t xml:space="preserve"> no Brasil, embora sua “receita” tenha origem britânica (Oxitec, um braço comercial da Universidade de Oxford). O Brasil serve neste caso, portanto, como mero laboratório, e o racismo ambiental dificilmente consegue ocultar-se quando esses experimentos, que se tratam de insetos </w:t>
      </w:r>
      <w:r w:rsidRPr="003D38CD">
        <w:rPr>
          <w:i/>
          <w:iCs/>
          <w:lang w:val="pt-BR"/>
        </w:rPr>
        <w:t>que proliferam na água</w:t>
      </w:r>
      <w:r w:rsidRPr="003D38CD">
        <w:rPr>
          <w:lang w:val="pt-BR"/>
        </w:rPr>
        <w:t>, são feitos numa região historicamente assolada por secas e econômica/politicamente marginalizada.</w:t>
      </w:r>
      <w:r>
        <w:rPr>
          <w:rStyle w:val="FootnoteReference"/>
        </w:rPr>
        <w:footnoteReference w:id="21"/>
      </w:r>
    </w:p>
    <w:p w14:paraId="0B400A9C" w14:textId="77777777" w:rsidR="0038091B" w:rsidRPr="003D38CD" w:rsidRDefault="00000000">
      <w:pPr>
        <w:pStyle w:val="BodyText"/>
        <w:rPr>
          <w:lang w:val="pt-BR"/>
        </w:rPr>
      </w:pPr>
      <w:r w:rsidRPr="003D38CD">
        <w:rPr>
          <w:lang w:val="pt-BR"/>
        </w:rPr>
        <w:t>Dentre os maiores pecados capitais na catequese do capitalista está o desperdício de capital, independente de seu funcionamento causar disrupções socioambientais. Por sua própria definição, capital consiste em meios pelos quais a produção futura de riquezas será maior que sua produção vigente no presente</w:t>
      </w:r>
      <w:r>
        <w:rPr>
          <w:rStyle w:val="FootnoteReference"/>
        </w:rPr>
        <w:footnoteReference w:id="22"/>
      </w:r>
      <w:r w:rsidRPr="003D38CD">
        <w:rPr>
          <w:lang w:val="pt-BR"/>
        </w:rPr>
        <w:t>; dessa forma, a destruição de capital não só deixa de efetivar essa produção futura, quanto destrói “riqueza” presente — é, portanto, “um desperdício”.</w:t>
      </w:r>
    </w:p>
    <w:p w14:paraId="32E3A990" w14:textId="77777777" w:rsidR="0038091B" w:rsidRPr="00413CDB" w:rsidRDefault="00000000">
      <w:pPr>
        <w:pStyle w:val="Heading1"/>
        <w:rPr>
          <w:color w:val="000000" w:themeColor="text1"/>
          <w:lang w:val="pt-BR"/>
        </w:rPr>
      </w:pPr>
      <w:bookmarkStart w:id="5" w:name="considerações-finais"/>
      <w:bookmarkEnd w:id="4"/>
      <w:r w:rsidRPr="00413CDB">
        <w:rPr>
          <w:color w:val="000000" w:themeColor="text1"/>
          <w:lang w:val="pt-BR"/>
        </w:rPr>
        <w:t>Considerações finais</w:t>
      </w:r>
    </w:p>
    <w:p w14:paraId="62ECB734" w14:textId="77777777" w:rsidR="0038091B" w:rsidRPr="003D38CD" w:rsidRDefault="00000000">
      <w:pPr>
        <w:pStyle w:val="FirstParagraph"/>
        <w:rPr>
          <w:lang w:val="pt-BR"/>
        </w:rPr>
      </w:pPr>
      <w:r w:rsidRPr="003D38CD">
        <w:rPr>
          <w:lang w:val="pt-BR"/>
        </w:rPr>
        <w:t xml:space="preserve">Pela discussão acima, fica mais claro que o conjunto de práticas ESG não pode ser senão algo </w:t>
      </w:r>
      <w:r w:rsidRPr="003D38CD">
        <w:rPr>
          <w:i/>
          <w:iCs/>
          <w:lang w:val="pt-BR"/>
        </w:rPr>
        <w:t>contemplativo</w:t>
      </w:r>
      <w:r w:rsidRPr="003D38CD">
        <w:rPr>
          <w:lang w:val="pt-BR"/>
        </w:rPr>
        <w:t xml:space="preserve"> com relação ao estado vigente de coisas: tais práticas são </w:t>
      </w:r>
      <w:r w:rsidRPr="003D38CD">
        <w:rPr>
          <w:i/>
          <w:iCs/>
          <w:lang w:val="pt-BR"/>
        </w:rPr>
        <w:t>reativas</w:t>
      </w:r>
      <w:r w:rsidRPr="003D38CD">
        <w:rPr>
          <w:lang w:val="pt-BR"/>
        </w:rPr>
        <w:t>, consistem em mitigar riscos que já existem, invés de sanar suas possíveis causas.</w:t>
      </w:r>
    </w:p>
    <w:p w14:paraId="2E3D2114" w14:textId="77777777" w:rsidR="0038091B" w:rsidRPr="003D38CD" w:rsidRDefault="00000000">
      <w:pPr>
        <w:pStyle w:val="BodyText"/>
        <w:rPr>
          <w:lang w:val="pt-BR"/>
        </w:rPr>
      </w:pPr>
      <w:r w:rsidRPr="003D38CD">
        <w:rPr>
          <w:lang w:val="pt-BR"/>
        </w:rPr>
        <w:lastRenderedPageBreak/>
        <w:t>Mesmo nos debates do século XX em torno da TVMA, como destacado por Paço Cunha, ainda assumia-se, implicitamente, o estabelecimento de “um modo de condução da grande empresa que seja auxiliar a um novo ciclo de espiral positiva da acumulação de capital” (Paço Cunha, 2025, p. 118). Ou seja, tais debates mantiveram-se sempre dentro do âmbito da sociedade capitalista, evitando adentrar em controvérsias que comprometeriam sua continuada reprodução.</w:t>
      </w:r>
    </w:p>
    <w:p w14:paraId="7A2AD846" w14:textId="77777777" w:rsidR="0038091B" w:rsidRPr="003D38CD" w:rsidRDefault="00000000">
      <w:pPr>
        <w:pStyle w:val="BodyText"/>
        <w:rPr>
          <w:lang w:val="pt-BR"/>
        </w:rPr>
      </w:pPr>
      <w:r w:rsidRPr="003D38CD">
        <w:rPr>
          <w:lang w:val="pt-BR"/>
        </w:rPr>
        <w:t xml:space="preserve">Tal prioridade absoluta que o </w:t>
      </w:r>
      <w:r w:rsidRPr="003D38CD">
        <w:rPr>
          <w:i/>
          <w:iCs/>
          <w:lang w:val="pt-BR"/>
        </w:rPr>
        <w:t>business as usual</w:t>
      </w:r>
      <w:r w:rsidRPr="003D38CD">
        <w:rPr>
          <w:lang w:val="pt-BR"/>
        </w:rPr>
        <w:t xml:space="preserve"> possui com relação à posição “politicamente correta” do meio corporativo compareceu com todas suas cores quando da reeleição de Donald Trump em 2025: a Blackrock, que é a maior empresa de gestão de ativos do mundo (com cerca de US$ 14 trilhões de dólares em </w:t>
      </w:r>
      <w:r w:rsidRPr="003D38CD">
        <w:rPr>
          <w:i/>
          <w:iCs/>
          <w:lang w:val="pt-BR"/>
        </w:rPr>
        <w:t>assets under management</w:t>
      </w:r>
      <w:r w:rsidRPr="003D38CD">
        <w:rPr>
          <w:lang w:val="pt-BR"/>
        </w:rPr>
        <w:t>) — cujo CEO, Larry Fink, tornou-se o mais poderoso porta-voz do ESG através de suas famosas cartas a CEOs, nas quais os convocava a repensar seus objetivos de investimentos (Fink, 2020, 2021, 2022) —, rapidamente recuou em seus compromissos climáticos (Brush; Kishan; Marsh, 2025; Mirza, 2025) e em seus objetivos de diversidade e inclusão (Johnson, 2025), em meio às ameaças de boicote dos governos estaduais e federal dos EUA quanto a quaisquer coisas consideradas “</w:t>
      </w:r>
      <w:r w:rsidRPr="003D38CD">
        <w:rPr>
          <w:i/>
          <w:iCs/>
          <w:lang w:val="pt-BR"/>
        </w:rPr>
        <w:t>woke</w:t>
      </w:r>
      <w:r w:rsidRPr="003D38CD">
        <w:rPr>
          <w:lang w:val="pt-BR"/>
        </w:rPr>
        <w:t>”, em particular expressa na ação presidencial da Casa Branca entitulada “Acabar com programas/preferências radicais e onerosos de DEI</w:t>
      </w:r>
      <w:r>
        <w:rPr>
          <w:rStyle w:val="FootnoteReference"/>
        </w:rPr>
        <w:footnoteReference w:id="23"/>
      </w:r>
      <w:r w:rsidRPr="003D38CD">
        <w:rPr>
          <w:lang w:val="pt-BR"/>
        </w:rPr>
        <w:t xml:space="preserve"> [</w:t>
      </w:r>
      <w:r w:rsidRPr="003D38CD">
        <w:rPr>
          <w:i/>
          <w:iCs/>
          <w:lang w:val="pt-BR"/>
        </w:rPr>
        <w:t>Ending Radical And Wasteful Government DEI Programs And Preferencing</w:t>
      </w:r>
      <w:r w:rsidRPr="003D38CD">
        <w:rPr>
          <w:lang w:val="pt-BR"/>
        </w:rPr>
        <w:t>]” (White House, 2025).</w:t>
      </w:r>
    </w:p>
    <w:p w14:paraId="58B7F7BB" w14:textId="77777777" w:rsidR="0038091B" w:rsidRPr="003D38CD" w:rsidRDefault="00000000">
      <w:pPr>
        <w:pStyle w:val="BodyText"/>
        <w:rPr>
          <w:lang w:val="pt-BR"/>
        </w:rPr>
      </w:pPr>
      <w:r w:rsidRPr="003D38CD">
        <w:rPr>
          <w:lang w:val="pt-BR"/>
        </w:rPr>
        <w:t>A ironia disso tudo é que o antagonismo de Trump quanto ao posicionamento “</w:t>
      </w:r>
      <w:r w:rsidRPr="003D38CD">
        <w:rPr>
          <w:i/>
          <w:iCs/>
          <w:lang w:val="pt-BR"/>
        </w:rPr>
        <w:t>woke</w:t>
      </w:r>
      <w:r w:rsidRPr="003D38CD">
        <w:rPr>
          <w:lang w:val="pt-BR"/>
        </w:rPr>
        <w:t>” das empresas induz com que elas, naturalmente, recuem nestes posicionamentos; portanto, este ato de recuar torna-se-lhes, paradoxalmente, “uma prática ESG”, porquanto é uma forma de “lidar com relações-chave e mitigar riscos” (Pollman, 2022, p. 23)!</w:t>
      </w:r>
      <w:r>
        <w:rPr>
          <w:rStyle w:val="FootnoteReference"/>
        </w:rPr>
        <w:footnoteReference w:id="24"/>
      </w:r>
      <w:r w:rsidRPr="003D38CD">
        <w:rPr>
          <w:lang w:val="pt-BR"/>
        </w:rPr>
        <w:t xml:space="preserve"> Fica claro que a prioridade de tais empresas, assim como a finalidade do capital, é a de </w:t>
      </w:r>
      <w:r w:rsidRPr="003D38CD">
        <w:rPr>
          <w:i/>
          <w:iCs/>
          <w:lang w:val="pt-BR"/>
        </w:rPr>
        <w:t>valorizar-se</w:t>
      </w:r>
      <w:r w:rsidRPr="003D38CD">
        <w:rPr>
          <w:lang w:val="pt-BR"/>
        </w:rPr>
        <w:t xml:space="preserve">; quando tal propósito objetivo encontra algum obstáculo facilmente eliminável — como é, na prática, a quebra de promessas futuras de compromissos </w:t>
      </w:r>
      <w:r w:rsidRPr="003D38CD">
        <w:rPr>
          <w:i/>
          <w:iCs/>
          <w:lang w:val="pt-BR"/>
        </w:rPr>
        <w:t>net-zero</w:t>
      </w:r>
      <w:r w:rsidRPr="003D38CD">
        <w:rPr>
          <w:lang w:val="pt-BR"/>
        </w:rPr>
        <w:t xml:space="preserve"> etc. —, não hesita-se em deitá-lo ao chão, nem que se tenha de buscar justificativas subjetivas </w:t>
      </w:r>
      <w:r w:rsidRPr="003D38CD">
        <w:rPr>
          <w:i/>
          <w:iCs/>
          <w:lang w:val="pt-BR"/>
        </w:rPr>
        <w:t>a posteriori</w:t>
      </w:r>
      <w:r w:rsidRPr="003D38CD">
        <w:rPr>
          <w:lang w:val="pt-BR"/>
        </w:rPr>
        <w:t>.</w:t>
      </w:r>
    </w:p>
    <w:p w14:paraId="24A795FB" w14:textId="77777777" w:rsidR="0038091B" w:rsidRPr="003D38CD" w:rsidRDefault="00000000">
      <w:pPr>
        <w:pStyle w:val="BodyText"/>
        <w:rPr>
          <w:lang w:val="pt-BR"/>
        </w:rPr>
      </w:pPr>
      <w:r w:rsidRPr="003D38CD">
        <w:rPr>
          <w:lang w:val="pt-BR"/>
        </w:rPr>
        <w:t xml:space="preserve">Quando o capital — falando pela voz de algum de seus apóstolos capitalistas — fala sobre “ser sustentável”, sobre “refrear o consumismo exagerado”, “descarbonizar o planeta”/“emissões </w:t>
      </w:r>
      <w:r w:rsidRPr="003D38CD">
        <w:rPr>
          <w:i/>
          <w:iCs/>
          <w:lang w:val="pt-BR"/>
        </w:rPr>
        <w:t>net-zero</w:t>
      </w:r>
      <w:r w:rsidRPr="003D38CD">
        <w:rPr>
          <w:lang w:val="pt-BR"/>
        </w:rPr>
        <w:t xml:space="preserve">”, </w:t>
      </w:r>
      <w:r w:rsidRPr="003D38CD">
        <w:rPr>
          <w:lang w:val="pt-BR"/>
        </w:rPr>
        <w:lastRenderedPageBreak/>
        <w:t xml:space="preserve">“transição energética” etc., ele fala como que em duas frequências superpostas: transmite uma mensagem de “sustentabilidade” à sociedade civil, e também assegura o </w:t>
      </w:r>
      <w:r w:rsidRPr="003D38CD">
        <w:rPr>
          <w:i/>
          <w:iCs/>
          <w:lang w:val="pt-BR"/>
        </w:rPr>
        <w:t>business as usual</w:t>
      </w:r>
      <w:r w:rsidRPr="003D38CD">
        <w:rPr>
          <w:lang w:val="pt-BR"/>
        </w:rPr>
        <w:t xml:space="preserve"> àqueles que falam sua língua corporativa e conhecem seus meandros semânticos. Sabem que a finitude do planeta os enclausura, mas não podem dar-se ao luxo de realmente honrar suas promessas de sustentabilidade, devido à inexorável maré da concorrência que os impele adiante.</w:t>
      </w:r>
      <w:r>
        <w:rPr>
          <w:rStyle w:val="FootnoteReference"/>
        </w:rPr>
        <w:footnoteReference w:id="25"/>
      </w:r>
      <w:r w:rsidRPr="003D38CD">
        <w:rPr>
          <w:lang w:val="pt-BR"/>
        </w:rPr>
        <w:t xml:space="preserve"> Sabem, mais ou menos conscientemente, que a genuína sustentabilidade lhes é fundamentalmente oposta: porque ela limita o caráter desmedido do capital — e de seus negócios, por tabela —; porque ela constrange sua expansividade; porque ela refreia sua aceleração. Mas o capital tem ojeriza à finitude, à restrição; vê obstáculos não como limites que o impedem, e sim como fronteiras que instigam sua travessia.</w:t>
      </w:r>
    </w:p>
    <w:p w14:paraId="4C3177E1" w14:textId="77777777" w:rsidR="0038091B" w:rsidRPr="003D38CD" w:rsidRDefault="00000000">
      <w:pPr>
        <w:pStyle w:val="BodyText"/>
        <w:rPr>
          <w:lang w:val="pt-BR"/>
        </w:rPr>
      </w:pPr>
      <w:r w:rsidRPr="003D38CD">
        <w:rPr>
          <w:lang w:val="pt-BR"/>
        </w:rPr>
        <w:t xml:space="preserve">De certa forma, o capital, assim como Frank Underwood, “reza </w:t>
      </w:r>
      <w:r w:rsidRPr="003D38CD">
        <w:rPr>
          <w:i/>
          <w:iCs/>
          <w:lang w:val="pt-BR"/>
        </w:rPr>
        <w:t>para</w:t>
      </w:r>
      <w:r w:rsidRPr="003D38CD">
        <w:rPr>
          <w:lang w:val="pt-BR"/>
        </w:rPr>
        <w:t xml:space="preserve"> si mesmo, </w:t>
      </w:r>
      <w:r w:rsidRPr="003D38CD">
        <w:rPr>
          <w:i/>
          <w:iCs/>
          <w:lang w:val="pt-BR"/>
        </w:rPr>
        <w:t>por</w:t>
      </w:r>
      <w:r w:rsidRPr="003D38CD">
        <w:rPr>
          <w:lang w:val="pt-BR"/>
        </w:rPr>
        <w:t xml:space="preserve"> si mesmo”</w:t>
      </w:r>
      <w:r>
        <w:rPr>
          <w:rStyle w:val="FootnoteReference"/>
        </w:rPr>
        <w:footnoteReference w:id="26"/>
      </w:r>
      <w:r w:rsidRPr="003D38CD">
        <w:rPr>
          <w:lang w:val="pt-BR"/>
        </w:rPr>
        <w:t xml:space="preserve">. O fato de que o mundo “é menos pobre hoje do que jamais foi”, ou que reivindique-se que, vide Smith outrora, “as acomodações de [um plebeu industrioso e frugal] exceda a [riqueza] de muitos reis africanos, mestres absolutos das vidas e liberdades de dez mil selvagens nus” (Smith, 1904, p. 41) etc. não exclui o fato de que o ímpeto imanente do capital é o de autovalorizar-se — </w:t>
      </w:r>
      <w:r w:rsidRPr="003D38CD">
        <w:rPr>
          <w:i/>
          <w:iCs/>
          <w:lang w:val="pt-BR"/>
        </w:rPr>
        <w:t>este</w:t>
      </w:r>
      <w:r w:rsidRPr="003D38CD">
        <w:rPr>
          <w:lang w:val="pt-BR"/>
        </w:rPr>
        <w:t xml:space="preserve"> é seu </w:t>
      </w:r>
      <w:r w:rsidRPr="003D38CD">
        <w:rPr>
          <w:i/>
          <w:iCs/>
          <w:lang w:val="pt-BR"/>
        </w:rPr>
        <w:t>télos</w:t>
      </w:r>
      <w:r w:rsidRPr="003D38CD">
        <w:rPr>
          <w:lang w:val="pt-BR"/>
        </w:rPr>
        <w:t xml:space="preserve">. Só porque, em sua efetivação, ele trouxe genuínas comodidades à vida moderna não quer dizer que sua finalidade foi, desde o início, o “bem-estar social”, assim como não quer dizer que ele produziu tais mercadorias </w:t>
      </w:r>
      <w:r w:rsidRPr="003D38CD">
        <w:rPr>
          <w:i/>
          <w:iCs/>
          <w:lang w:val="pt-BR"/>
        </w:rPr>
        <w:t>porque</w:t>
      </w:r>
      <w:r w:rsidRPr="003D38CD">
        <w:rPr>
          <w:lang w:val="pt-BR"/>
        </w:rPr>
        <w:t xml:space="preserve"> elas são cômodas: ele as produziu não por bondade, e sim por </w:t>
      </w:r>
      <w:r w:rsidRPr="003D38CD">
        <w:rPr>
          <w:i/>
          <w:iCs/>
          <w:lang w:val="pt-BR"/>
        </w:rPr>
        <w:t>ganho</w:t>
      </w:r>
      <w:r w:rsidRPr="003D38CD">
        <w:rPr>
          <w:lang w:val="pt-BR"/>
        </w:rPr>
        <w:t>; produziu-as porque tinha quem as comprasse.</w:t>
      </w:r>
      <w:r>
        <w:rPr>
          <w:rStyle w:val="FootnoteReference"/>
        </w:rPr>
        <w:footnoteReference w:id="27"/>
      </w:r>
      <w:r w:rsidRPr="003D38CD">
        <w:rPr>
          <w:lang w:val="pt-BR"/>
        </w:rPr>
        <w:t xml:space="preserve"> Isso, a princípio, não tem problema nenhum; o problema é colocar a </w:t>
      </w:r>
      <w:r w:rsidRPr="003D38CD">
        <w:rPr>
          <w:lang w:val="pt-BR"/>
        </w:rPr>
        <w:lastRenderedPageBreak/>
        <w:t xml:space="preserve">motivação </w:t>
      </w:r>
      <w:r w:rsidRPr="003D38CD">
        <w:rPr>
          <w:i/>
          <w:iCs/>
          <w:lang w:val="pt-BR"/>
        </w:rPr>
        <w:t>intrínseca</w:t>
      </w:r>
      <w:r w:rsidRPr="003D38CD">
        <w:rPr>
          <w:lang w:val="pt-BR"/>
        </w:rPr>
        <w:t xml:space="preserve"> do capital como sendo “a produção de riqueza”, em cujo caso perpetra-se uma mistificação da verdadeira finalidade do capital: produz riqueza, porém somente porquanto ela seja detentora de riqueza </w:t>
      </w:r>
      <w:r w:rsidRPr="003D38CD">
        <w:rPr>
          <w:i/>
          <w:iCs/>
          <w:lang w:val="pt-BR"/>
        </w:rPr>
        <w:t>abstrata</w:t>
      </w:r>
      <w:r w:rsidRPr="003D38CD">
        <w:rPr>
          <w:lang w:val="pt-BR"/>
        </w:rPr>
        <w:t>, de valor.</w:t>
      </w:r>
    </w:p>
    <w:p w14:paraId="3F19FF07" w14:textId="4E4232B1" w:rsidR="003D38CD" w:rsidRPr="003D38CD" w:rsidRDefault="00000000">
      <w:pPr>
        <w:pStyle w:val="BodyText"/>
        <w:rPr>
          <w:lang w:val="pt-BR"/>
        </w:rPr>
      </w:pPr>
      <w:r w:rsidRPr="003D38CD">
        <w:rPr>
          <w:lang w:val="pt-BR"/>
        </w:rPr>
        <w:t>A sociedade capitalista, cujo processo de produção “solapa os mananciais de toda riqueza: a terra e o trabalhador” (Marx, 2017, p. 573), é fundamentalmente incompatível com uma sociedade genuinamente sustentável. Quando promete mudanças radicais, posterga-as ao futuro longínquo</w:t>
      </w:r>
      <w:r>
        <w:rPr>
          <w:rStyle w:val="FootnoteReference"/>
        </w:rPr>
        <w:footnoteReference w:id="28"/>
      </w:r>
      <w:r w:rsidRPr="003D38CD">
        <w:rPr>
          <w:lang w:val="pt-BR"/>
        </w:rPr>
        <w:t xml:space="preserve">; quando voluntariamente assume práticas sustentáveis, elas são, via de regra, superficiais, buscando compensar no reino da aparência aquilo que não podem deixar de ser em sua essência. Não é à toa que o discurso de </w:t>
      </w:r>
      <w:r w:rsidRPr="003D38CD">
        <w:rPr>
          <w:i/>
          <w:iCs/>
          <w:lang w:val="pt-BR"/>
        </w:rPr>
        <w:t>adaptabilidade</w:t>
      </w:r>
      <w:r w:rsidRPr="003D38CD">
        <w:rPr>
          <w:lang w:val="pt-BR"/>
        </w:rPr>
        <w:t xml:space="preserve"> — e sinônimos próximos, como robustez e resiliência — tem tanta prevalência no vocabulário capitalista: porque os crescentes problemas que afligem a humanidade significam mais e mais necessidades humanas que necessitam de satisfação, e, portanto, são mais oportunidades de negócios. O capitalista, eterno otimista que é, enxerga novas empreitadas de acumulação no horizonte: onde há riscos, enxerga oportunidades, porquanto a necessidade é a mãe da invenção e, por sorte, também é a mãe dos lucros.</w:t>
      </w:r>
    </w:p>
    <w:p w14:paraId="4541DF4E" w14:textId="1A535853" w:rsidR="003D38CD" w:rsidRPr="00413CDB" w:rsidRDefault="003D38CD" w:rsidP="00413CDB">
      <w:pPr>
        <w:pStyle w:val="Heading2"/>
        <w:rPr>
          <w:color w:val="000000" w:themeColor="text1"/>
        </w:rPr>
      </w:pPr>
      <w:r w:rsidRPr="00413CDB">
        <w:rPr>
          <w:color w:val="000000" w:themeColor="text1"/>
        </w:rPr>
        <w:t>Referências</w:t>
      </w:r>
    </w:p>
    <w:p w14:paraId="047BE47F" w14:textId="77777777" w:rsidR="0038091B" w:rsidRPr="003D38CD" w:rsidRDefault="00000000">
      <w:pPr>
        <w:pStyle w:val="Bibliography"/>
        <w:rPr>
          <w:lang w:val="pt-BR"/>
        </w:rPr>
      </w:pPr>
      <w:bookmarkStart w:id="6" w:name="ref-BBC2022"/>
      <w:bookmarkStart w:id="7" w:name="refs"/>
      <w:r>
        <w:t xml:space="preserve">BBC. </w:t>
      </w:r>
      <w:r>
        <w:rPr>
          <w:b/>
          <w:bCs/>
        </w:rPr>
        <w:t>HSBC Banker Quits after ’nut Job’ Climate Speech</w:t>
      </w:r>
      <w:r>
        <w:t xml:space="preserve">., jul. 2022. </w:t>
      </w:r>
      <w:r w:rsidRPr="003D38CD">
        <w:rPr>
          <w:lang w:val="pt-BR"/>
        </w:rPr>
        <w:t>Disponível em: &lt;</w:t>
      </w:r>
      <w:hyperlink r:id="rId7">
        <w:r w:rsidR="0038091B" w:rsidRPr="003D38CD">
          <w:rPr>
            <w:rStyle w:val="Hyperlink"/>
            <w:lang w:val="pt-BR"/>
          </w:rPr>
          <w:t>https://www.bbc.com/news/business-62085294</w:t>
        </w:r>
      </w:hyperlink>
      <w:r w:rsidRPr="003D38CD">
        <w:rPr>
          <w:lang w:val="pt-BR"/>
        </w:rPr>
        <w:t>&gt;. Acesso em: 2 mar. 2026</w:t>
      </w:r>
    </w:p>
    <w:p w14:paraId="1FF97CBC" w14:textId="77777777" w:rsidR="0038091B" w:rsidRDefault="00000000">
      <w:pPr>
        <w:pStyle w:val="Bibliography"/>
      </w:pPr>
      <w:bookmarkStart w:id="8" w:name="ref-BloombergOriginals2021"/>
      <w:bookmarkEnd w:id="6"/>
      <w:r>
        <w:t xml:space="preserve">BLOOMBERG ORIGINALS. </w:t>
      </w:r>
      <w:r>
        <w:rPr>
          <w:b/>
          <w:bCs/>
        </w:rPr>
        <w:t>ESG Ratings Are Not What They Seem</w:t>
      </w:r>
      <w:r>
        <w:t xml:space="preserve">., dez. 2021. </w:t>
      </w:r>
      <w:r w:rsidRPr="003D38CD">
        <w:rPr>
          <w:lang w:val="pt-BR"/>
        </w:rPr>
        <w:t>Disponível em: &lt;</w:t>
      </w:r>
      <w:hyperlink r:id="rId8">
        <w:r w:rsidR="0038091B" w:rsidRPr="003D38CD">
          <w:rPr>
            <w:rStyle w:val="Hyperlink"/>
            <w:lang w:val="pt-BR"/>
          </w:rPr>
          <w:t>https://youtube.com/watch?v=f_rrS-_giP8</w:t>
        </w:r>
      </w:hyperlink>
      <w:r w:rsidRPr="003D38CD">
        <w:rPr>
          <w:lang w:val="pt-BR"/>
        </w:rPr>
        <w:t xml:space="preserve">&gt;. </w:t>
      </w:r>
      <w:r>
        <w:t>Acesso em: 25 fev. 2026</w:t>
      </w:r>
    </w:p>
    <w:p w14:paraId="4132EC4C" w14:textId="77777777" w:rsidR="0038091B" w:rsidRPr="003D38CD" w:rsidRDefault="00000000">
      <w:pPr>
        <w:pStyle w:val="Bibliography"/>
        <w:rPr>
          <w:lang w:val="pt-BR"/>
        </w:rPr>
      </w:pPr>
      <w:bookmarkStart w:id="9" w:name="ref-Brush2025"/>
      <w:bookmarkEnd w:id="8"/>
      <w:r>
        <w:t xml:space="preserve">BRUSH, Silla; KISHAN, Saijel; MARSH, Alastair. </w:t>
      </w:r>
      <w:r>
        <w:rPr>
          <w:b/>
          <w:bCs/>
        </w:rPr>
        <w:t>BlackRock Leaves Major Climate Group Amid Wall Street Exodus</w:t>
      </w:r>
      <w:r>
        <w:t xml:space="preserve">. </w:t>
      </w:r>
      <w:r w:rsidRPr="003D38CD">
        <w:rPr>
          <w:b/>
          <w:bCs/>
          <w:lang w:val="pt-BR"/>
        </w:rPr>
        <w:t>Bloomberg</w:t>
      </w:r>
      <w:r w:rsidRPr="003D38CD">
        <w:rPr>
          <w:lang w:val="pt-BR"/>
        </w:rPr>
        <w:t>, jan. 2025. Disponível em: &lt;</w:t>
      </w:r>
      <w:hyperlink r:id="rId9">
        <w:r w:rsidR="0038091B" w:rsidRPr="003D38CD">
          <w:rPr>
            <w:rStyle w:val="Hyperlink"/>
            <w:lang w:val="pt-BR"/>
          </w:rPr>
          <w:t>https://www.bloomberg.com/news/articles/2025-01-09/blackrock-leaves-major-climate-group-amid-wall-street-exodus</w:t>
        </w:r>
      </w:hyperlink>
      <w:r w:rsidRPr="003D38CD">
        <w:rPr>
          <w:lang w:val="pt-BR"/>
        </w:rPr>
        <w:t>&gt;. Acesso em: 22 mar. 2026</w:t>
      </w:r>
    </w:p>
    <w:p w14:paraId="599FFBB2" w14:textId="77777777" w:rsidR="0038091B" w:rsidRPr="003D38CD" w:rsidRDefault="00000000">
      <w:pPr>
        <w:pStyle w:val="Bibliography"/>
        <w:rPr>
          <w:lang w:val="pt-BR"/>
        </w:rPr>
      </w:pPr>
      <w:bookmarkStart w:id="10" w:name="ref-Carcanholo2021"/>
      <w:bookmarkEnd w:id="9"/>
      <w:r w:rsidRPr="003D38CD">
        <w:rPr>
          <w:lang w:val="pt-BR"/>
        </w:rPr>
        <w:t xml:space="preserve">CARCANHOLO, Marcelo Dias. Valor e preço na teoria de Marx: o significado da lei do valor. </w:t>
      </w:r>
      <w:r w:rsidRPr="003D38CD">
        <w:rPr>
          <w:i/>
          <w:iCs/>
          <w:lang w:val="pt-BR"/>
        </w:rPr>
        <w:t>In</w:t>
      </w:r>
      <w:r w:rsidRPr="003D38CD">
        <w:rPr>
          <w:lang w:val="pt-BR"/>
        </w:rPr>
        <w:t xml:space="preserve">: MEDEIROS, João Leonardo; SÁ BARRETO, Eduardo (Orgs.). </w:t>
      </w:r>
      <w:r w:rsidRPr="003D38CD">
        <w:rPr>
          <w:b/>
          <w:bCs/>
          <w:lang w:val="pt-BR"/>
        </w:rPr>
        <w:t>Para que leiam O capital: interpretações sobre o Livro I</w:t>
      </w:r>
      <w:r w:rsidRPr="003D38CD">
        <w:rPr>
          <w:lang w:val="pt-BR"/>
        </w:rPr>
        <w:t>. São Paulo: Usina Editorial, 2021.</w:t>
      </w:r>
    </w:p>
    <w:p w14:paraId="6987BE91" w14:textId="77777777" w:rsidR="0038091B" w:rsidRDefault="00000000">
      <w:pPr>
        <w:pStyle w:val="Bibliography"/>
      </w:pPr>
      <w:bookmarkStart w:id="11" w:name="ref-HouseOfCards"/>
      <w:bookmarkEnd w:id="10"/>
      <w:r>
        <w:lastRenderedPageBreak/>
        <w:t xml:space="preserve">COULTER, Allen. </w:t>
      </w:r>
      <w:r>
        <w:rPr>
          <w:b/>
          <w:bCs/>
        </w:rPr>
        <w:t>Chapter 12</w:t>
      </w:r>
      <w:r>
        <w:t xml:space="preserve">. </w:t>
      </w:r>
      <w:r>
        <w:rPr>
          <w:b/>
          <w:bCs/>
        </w:rPr>
        <w:t>House of Cards</w:t>
      </w:r>
      <w:r>
        <w:t xml:space="preserve">Netflix, </w:t>
      </w:r>
      <w:r>
        <w:rPr>
          <w:i/>
          <w:iCs/>
        </w:rPr>
        <w:t>[S.d.]</w:t>
      </w:r>
      <w:r>
        <w:t>.</w:t>
      </w:r>
    </w:p>
    <w:p w14:paraId="17A6B7E4" w14:textId="77777777" w:rsidR="0038091B" w:rsidRPr="003D38CD" w:rsidRDefault="00000000">
      <w:pPr>
        <w:pStyle w:val="Bibliography"/>
        <w:rPr>
          <w:lang w:val="pt-BR"/>
        </w:rPr>
      </w:pPr>
      <w:bookmarkStart w:id="12" w:name="ref-Duayer2023a"/>
      <w:bookmarkEnd w:id="11"/>
      <w:r w:rsidRPr="003D38CD">
        <w:rPr>
          <w:lang w:val="pt-BR"/>
        </w:rPr>
        <w:t xml:space="preserve">DUAYER, Mário. Jorge Luis Borges, filosofia da ciência e crítica ontológica: verdade e transformação social. </w:t>
      </w:r>
      <w:r w:rsidRPr="003D38CD">
        <w:rPr>
          <w:i/>
          <w:iCs/>
          <w:lang w:val="pt-BR"/>
        </w:rPr>
        <w:t>In</w:t>
      </w:r>
      <w:r w:rsidRPr="003D38CD">
        <w:rPr>
          <w:lang w:val="pt-BR"/>
        </w:rPr>
        <w:t xml:space="preserve">: </w:t>
      </w:r>
      <w:r w:rsidRPr="003D38CD">
        <w:rPr>
          <w:b/>
          <w:bCs/>
          <w:lang w:val="pt-BR"/>
        </w:rPr>
        <w:t>Teoria social, verdade e transformação: Ensaios de crítica ontológica</w:t>
      </w:r>
      <w:r w:rsidRPr="003D38CD">
        <w:rPr>
          <w:lang w:val="pt-BR"/>
        </w:rPr>
        <w:t>. São Paulo: Boitempo, 2023.</w:t>
      </w:r>
    </w:p>
    <w:p w14:paraId="71E958ED" w14:textId="77777777" w:rsidR="0038091B" w:rsidRDefault="00000000">
      <w:pPr>
        <w:pStyle w:val="Bibliography"/>
      </w:pPr>
      <w:bookmarkStart w:id="13" w:name="ref-Fancy2021"/>
      <w:bookmarkEnd w:id="12"/>
      <w:r w:rsidRPr="00663B00">
        <w:rPr>
          <w:lang w:val="pt-BR"/>
        </w:rPr>
        <w:t xml:space="preserve">FANCY, Tariq. </w:t>
      </w:r>
      <w:r w:rsidRPr="00663B00">
        <w:rPr>
          <w:b/>
          <w:bCs/>
          <w:lang w:val="pt-BR"/>
        </w:rPr>
        <w:t>The Secret Diary of a Sustainable Investor - Tariq Fancy.pdf</w:t>
      </w:r>
      <w:r w:rsidRPr="00663B00">
        <w:rPr>
          <w:lang w:val="pt-BR"/>
        </w:rPr>
        <w:t xml:space="preserve">. </w:t>
      </w:r>
      <w:r w:rsidRPr="00663B00">
        <w:rPr>
          <w:b/>
          <w:bCs/>
          <w:lang w:val="pt-BR"/>
        </w:rPr>
        <w:t>Dropbox</w:t>
      </w:r>
      <w:r w:rsidRPr="00663B00">
        <w:rPr>
          <w:lang w:val="pt-BR"/>
        </w:rPr>
        <w:t xml:space="preserve">, 2021. </w:t>
      </w:r>
      <w:r w:rsidRPr="003D38CD">
        <w:rPr>
          <w:lang w:val="pt-BR"/>
        </w:rPr>
        <w:t>Disponível em: &lt;</w:t>
      </w:r>
      <w:hyperlink r:id="rId10">
        <w:r w:rsidR="0038091B" w:rsidRPr="003D38CD">
          <w:rPr>
            <w:rStyle w:val="Hyperlink"/>
            <w:lang w:val="pt-BR"/>
          </w:rPr>
          <w:t>https://www.dropbox.com/scl/fi/q1p0l13m8p3clq8f21ah2/The-Secret-Diary-of-a-Sustainable-Investor-Tariq-Fancy.pdf?dl=0&amp;e=1&amp;rlkey=2w1kfxxyudmmvs2c3kcoip6rl</w:t>
        </w:r>
      </w:hyperlink>
      <w:r w:rsidRPr="003D38CD">
        <w:rPr>
          <w:lang w:val="pt-BR"/>
        </w:rPr>
        <w:t xml:space="preserve">&gt;. </w:t>
      </w:r>
      <w:r>
        <w:t>Acesso em: 4 fev. 2026</w:t>
      </w:r>
    </w:p>
    <w:p w14:paraId="200577A8" w14:textId="77777777" w:rsidR="0038091B" w:rsidRDefault="00000000">
      <w:pPr>
        <w:pStyle w:val="Bibliography"/>
      </w:pPr>
      <w:bookmarkStart w:id="14" w:name="ref-FinancialTimes2022"/>
      <w:bookmarkEnd w:id="13"/>
      <w:r>
        <w:t xml:space="preserve">FINANCIAL TIMES. </w:t>
      </w:r>
      <w:r>
        <w:rPr>
          <w:b/>
          <w:bCs/>
        </w:rPr>
        <w:t>Financial Times Appoints Stuart Kirk as Investment Columnist, Expands Personal Finance Coverage</w:t>
      </w:r>
      <w:r>
        <w:t xml:space="preserve">., nov. 2022. </w:t>
      </w:r>
      <w:r w:rsidRPr="003D38CD">
        <w:rPr>
          <w:lang w:val="pt-BR"/>
        </w:rPr>
        <w:t>Disponível em: &lt;</w:t>
      </w:r>
      <w:hyperlink r:id="rId11">
        <w:r w:rsidR="0038091B" w:rsidRPr="003D38CD">
          <w:rPr>
            <w:rStyle w:val="Hyperlink"/>
            <w:lang w:val="pt-BR"/>
          </w:rPr>
          <w:t>https://aboutus.ft.com/press_release/stuart-kirk-personal-finance</w:t>
        </w:r>
      </w:hyperlink>
      <w:r w:rsidRPr="003D38CD">
        <w:rPr>
          <w:lang w:val="pt-BR"/>
        </w:rPr>
        <w:t xml:space="preserve">&gt;. </w:t>
      </w:r>
      <w:r>
        <w:t>Acesso em: 31 jan. 2026</w:t>
      </w:r>
    </w:p>
    <w:p w14:paraId="0CCC2FBE" w14:textId="77777777" w:rsidR="0038091B" w:rsidRDefault="00000000">
      <w:pPr>
        <w:pStyle w:val="Bibliography"/>
      </w:pPr>
      <w:bookmarkStart w:id="15" w:name="ref-Fink2020"/>
      <w:bookmarkEnd w:id="14"/>
      <w:r>
        <w:t xml:space="preserve">FINK, Larry. </w:t>
      </w:r>
      <w:r>
        <w:rPr>
          <w:b/>
          <w:bCs/>
        </w:rPr>
        <w:t>A Fundamental Reshaping of Finance</w:t>
      </w:r>
      <w:r>
        <w:t xml:space="preserve">. </w:t>
      </w:r>
      <w:r w:rsidRPr="003D38CD">
        <w:rPr>
          <w:b/>
          <w:bCs/>
          <w:lang w:val="pt-BR"/>
        </w:rPr>
        <w:t>BlackRock</w:t>
      </w:r>
      <w:r w:rsidRPr="003D38CD">
        <w:rPr>
          <w:lang w:val="pt-BR"/>
        </w:rPr>
        <w:t>, 2020. Disponível em: &lt;</w:t>
      </w:r>
      <w:hyperlink r:id="rId12">
        <w:r w:rsidR="0038091B" w:rsidRPr="003D38CD">
          <w:rPr>
            <w:rStyle w:val="Hyperlink"/>
            <w:lang w:val="pt-BR"/>
          </w:rPr>
          <w:t>https://www.blackrock.com/corporate/investor-relations/2020-larry-fink-ceo-letter</w:t>
        </w:r>
      </w:hyperlink>
      <w:r w:rsidRPr="003D38CD">
        <w:rPr>
          <w:lang w:val="pt-BR"/>
        </w:rPr>
        <w:t xml:space="preserve">&gt;. </w:t>
      </w:r>
      <w:r>
        <w:t>Acesso em: 22 mar. 2026</w:t>
      </w:r>
    </w:p>
    <w:p w14:paraId="105038FC" w14:textId="77777777" w:rsidR="0038091B" w:rsidRDefault="00000000">
      <w:pPr>
        <w:pStyle w:val="Bibliography"/>
      </w:pPr>
      <w:bookmarkStart w:id="16" w:name="ref-Fink2021"/>
      <w:bookmarkEnd w:id="15"/>
      <w:r>
        <w:t xml:space="preserve">FINK, Larry. </w:t>
      </w:r>
      <w:r>
        <w:rPr>
          <w:b/>
          <w:bCs/>
        </w:rPr>
        <w:t>Larry Fink’s 2021 Letter to CEOs</w:t>
      </w:r>
      <w:r>
        <w:t xml:space="preserve">. </w:t>
      </w:r>
      <w:r w:rsidRPr="00663B00">
        <w:rPr>
          <w:b/>
          <w:bCs/>
        </w:rPr>
        <w:t>BlackRock</w:t>
      </w:r>
      <w:r w:rsidRPr="00663B00">
        <w:t xml:space="preserve">, 2021. </w:t>
      </w:r>
      <w:r w:rsidRPr="003D38CD">
        <w:rPr>
          <w:lang w:val="pt-BR"/>
        </w:rPr>
        <w:t>Disponível em: &lt;</w:t>
      </w:r>
      <w:hyperlink r:id="rId13">
        <w:r w:rsidR="0038091B" w:rsidRPr="003D38CD">
          <w:rPr>
            <w:rStyle w:val="Hyperlink"/>
            <w:lang w:val="pt-BR"/>
          </w:rPr>
          <w:t>https://www.blackrock.com/corporate/investor-relations/2021-larry-fink-ceo-letter</w:t>
        </w:r>
      </w:hyperlink>
      <w:r w:rsidRPr="003D38CD">
        <w:rPr>
          <w:lang w:val="pt-BR"/>
        </w:rPr>
        <w:t xml:space="preserve">&gt;. </w:t>
      </w:r>
      <w:r>
        <w:t>Acesso em: 22 mar. 2026</w:t>
      </w:r>
    </w:p>
    <w:p w14:paraId="70A6CE6C" w14:textId="77777777" w:rsidR="0038091B" w:rsidRDefault="00000000">
      <w:pPr>
        <w:pStyle w:val="Bibliography"/>
      </w:pPr>
      <w:bookmarkStart w:id="17" w:name="ref-Fink2022"/>
      <w:bookmarkEnd w:id="16"/>
      <w:r>
        <w:t xml:space="preserve">FINK, Larry. </w:t>
      </w:r>
      <w:r>
        <w:rPr>
          <w:b/>
          <w:bCs/>
        </w:rPr>
        <w:t>The Power of Capitalism</w:t>
      </w:r>
      <w:r>
        <w:t xml:space="preserve">. </w:t>
      </w:r>
      <w:r w:rsidRPr="00663B00">
        <w:rPr>
          <w:b/>
          <w:bCs/>
        </w:rPr>
        <w:t>BlackRock</w:t>
      </w:r>
      <w:r w:rsidRPr="00663B00">
        <w:t xml:space="preserve">, 2022. </w:t>
      </w:r>
      <w:r w:rsidRPr="003D38CD">
        <w:rPr>
          <w:lang w:val="pt-BR"/>
        </w:rPr>
        <w:t>Disponível em: &lt;</w:t>
      </w:r>
      <w:hyperlink r:id="rId14">
        <w:r w:rsidR="0038091B" w:rsidRPr="003D38CD">
          <w:rPr>
            <w:rStyle w:val="Hyperlink"/>
            <w:lang w:val="pt-BR"/>
          </w:rPr>
          <w:t>https://www.blackrock.com/corporate/investor-relations/2022-larry-fink-ceo-letter</w:t>
        </w:r>
      </w:hyperlink>
      <w:r w:rsidRPr="003D38CD">
        <w:rPr>
          <w:lang w:val="pt-BR"/>
        </w:rPr>
        <w:t xml:space="preserve">&gt;. </w:t>
      </w:r>
      <w:r>
        <w:t>Acesso em: 22 mar. 2026</w:t>
      </w:r>
    </w:p>
    <w:p w14:paraId="4A49EBE3" w14:textId="77777777" w:rsidR="0038091B" w:rsidRDefault="00000000">
      <w:pPr>
        <w:pStyle w:val="Bibliography"/>
      </w:pPr>
      <w:bookmarkStart w:id="18" w:name="ref-Friedman1970"/>
      <w:bookmarkEnd w:id="17"/>
      <w:r>
        <w:t xml:space="preserve">FRIEDMAN, Milton. </w:t>
      </w:r>
      <w:r>
        <w:rPr>
          <w:b/>
          <w:bCs/>
        </w:rPr>
        <w:t>A Friedman Doctrine– The Social Responsibility of Business Is to Increase Its Profits</w:t>
      </w:r>
      <w:r>
        <w:t xml:space="preserve">. </w:t>
      </w:r>
      <w:r>
        <w:rPr>
          <w:b/>
          <w:bCs/>
        </w:rPr>
        <w:t>The New York Times</w:t>
      </w:r>
      <w:r>
        <w:t>, set. 1970. Disponível em: &lt;</w:t>
      </w:r>
      <w:hyperlink r:id="rId15">
        <w:r w:rsidR="0038091B">
          <w:rPr>
            <w:rStyle w:val="Hyperlink"/>
          </w:rPr>
          <w:t>https://www.nytimes.com/1970/09/13/archives/a-friedman-doctrine-the-social-responsibility-of-business-is-to.html</w:t>
        </w:r>
      </w:hyperlink>
      <w:r>
        <w:t>&gt;. Acesso em: 30 jan. 2026</w:t>
      </w:r>
    </w:p>
    <w:p w14:paraId="10EB379D" w14:textId="77777777" w:rsidR="0038091B" w:rsidRDefault="00000000">
      <w:pPr>
        <w:pStyle w:val="Bibliography"/>
      </w:pPr>
      <w:bookmarkStart w:id="19" w:name="ref-Gross2022"/>
      <w:bookmarkEnd w:id="18"/>
      <w:r>
        <w:t xml:space="preserve">GROSS, Jenny. </w:t>
      </w:r>
      <w:hyperlink r:id="rId16">
        <w:r w:rsidR="0038091B">
          <w:rPr>
            <w:rStyle w:val="Hyperlink"/>
          </w:rPr>
          <w:t>HSBC Distances Itself from Comments by an Executive Downplaying Climate Risks.</w:t>
        </w:r>
      </w:hyperlink>
      <w:r>
        <w:t xml:space="preserve"> </w:t>
      </w:r>
      <w:r>
        <w:rPr>
          <w:b/>
          <w:bCs/>
        </w:rPr>
        <w:t>The New York Times</w:t>
      </w:r>
      <w:r>
        <w:t>, 2022.</w:t>
      </w:r>
    </w:p>
    <w:p w14:paraId="2AC134D7" w14:textId="77777777" w:rsidR="0038091B" w:rsidRDefault="00000000">
      <w:pPr>
        <w:pStyle w:val="Bibliography"/>
      </w:pPr>
      <w:bookmarkStart w:id="20" w:name="ref-Johnson2025a"/>
      <w:bookmarkEnd w:id="19"/>
      <w:r>
        <w:lastRenderedPageBreak/>
        <w:t xml:space="preserve">JOHNSON, Lamar. </w:t>
      </w:r>
      <w:r>
        <w:rPr>
          <w:b/>
          <w:bCs/>
        </w:rPr>
        <w:t>BlackRock Ends Diversity Goals, Merges DEI Team into “Talent and Culture”</w:t>
      </w:r>
      <w:r>
        <w:t xml:space="preserve">. </w:t>
      </w:r>
      <w:r w:rsidRPr="003D38CD">
        <w:rPr>
          <w:b/>
          <w:bCs/>
          <w:lang w:val="pt-BR"/>
        </w:rPr>
        <w:t>ESG Dive</w:t>
      </w:r>
      <w:r w:rsidRPr="003D38CD">
        <w:rPr>
          <w:lang w:val="pt-BR"/>
        </w:rPr>
        <w:t>, mar. 2025. Disponível em: &lt;</w:t>
      </w:r>
      <w:hyperlink r:id="rId17">
        <w:r w:rsidR="0038091B" w:rsidRPr="003D38CD">
          <w:rPr>
            <w:rStyle w:val="Hyperlink"/>
            <w:lang w:val="pt-BR"/>
          </w:rPr>
          <w:t>https://www.esgdive.com/news/blackrock-ends-diversity-goals-merges-dei-team-into-talent-and-culture/741391/</w:t>
        </w:r>
      </w:hyperlink>
      <w:r w:rsidRPr="003D38CD">
        <w:rPr>
          <w:lang w:val="pt-BR"/>
        </w:rPr>
        <w:t xml:space="preserve">&gt;. </w:t>
      </w:r>
      <w:r>
        <w:t>Acesso em: 11 fev. 2026</w:t>
      </w:r>
    </w:p>
    <w:p w14:paraId="5114D56D" w14:textId="77777777" w:rsidR="0038091B" w:rsidRPr="003D38CD" w:rsidRDefault="00000000">
      <w:pPr>
        <w:pStyle w:val="Bibliography"/>
        <w:rPr>
          <w:lang w:val="pt-BR"/>
        </w:rPr>
      </w:pPr>
      <w:bookmarkStart w:id="21" w:name="ref-Kirk2022"/>
      <w:bookmarkEnd w:id="20"/>
      <w:r>
        <w:t xml:space="preserve">KIRK, Stuart. </w:t>
      </w:r>
      <w:r>
        <w:rPr>
          <w:b/>
          <w:bCs/>
        </w:rPr>
        <w:t>HSBC’s Stuart Kirk: Why Investors Shouldn’t Fear Climate Risk  FT Moral Money Summit Europe</w:t>
      </w:r>
      <w:r>
        <w:t xml:space="preserve">. </w:t>
      </w:r>
      <w:r w:rsidRPr="003D38CD">
        <w:rPr>
          <w:b/>
          <w:bCs/>
          <w:lang w:val="pt-BR"/>
        </w:rPr>
        <w:t>YouTube</w:t>
      </w:r>
      <w:r w:rsidRPr="003D38CD">
        <w:rPr>
          <w:lang w:val="pt-BR"/>
        </w:rPr>
        <w:t>, 2022. Disponível em: &lt;</w:t>
      </w:r>
      <w:hyperlink r:id="rId18">
        <w:r w:rsidR="0038091B" w:rsidRPr="003D38CD">
          <w:rPr>
            <w:rStyle w:val="Hyperlink"/>
            <w:lang w:val="pt-BR"/>
          </w:rPr>
          <w:t>https://www.youtube.com/watch?v=bfNamRmje-s</w:t>
        </w:r>
      </w:hyperlink>
      <w:r w:rsidRPr="003D38CD">
        <w:rPr>
          <w:lang w:val="pt-BR"/>
        </w:rPr>
        <w:t>&gt;. Acesso em: 30 jan. 2026</w:t>
      </w:r>
    </w:p>
    <w:p w14:paraId="274C8EB7" w14:textId="77777777" w:rsidR="0038091B" w:rsidRPr="003D38CD" w:rsidRDefault="00000000">
      <w:pPr>
        <w:pStyle w:val="Bibliography"/>
        <w:rPr>
          <w:lang w:val="pt-BR"/>
        </w:rPr>
      </w:pPr>
      <w:bookmarkStart w:id="22" w:name="ref-Lukacs2013"/>
      <w:bookmarkEnd w:id="21"/>
      <w:r w:rsidRPr="003D38CD">
        <w:rPr>
          <w:lang w:val="pt-BR"/>
        </w:rPr>
        <w:t xml:space="preserve">LUKÁCS, György. </w:t>
      </w:r>
      <w:r w:rsidRPr="003D38CD">
        <w:rPr>
          <w:b/>
          <w:bCs/>
          <w:lang w:val="pt-BR"/>
        </w:rPr>
        <w:t>Para Uma Ontologia Do Ser Social, II</w:t>
      </w:r>
      <w:r w:rsidRPr="003D38CD">
        <w:rPr>
          <w:lang w:val="pt-BR"/>
        </w:rPr>
        <w:t>. 1. ed. São Paulo: Boitempo, 2013.</w:t>
      </w:r>
    </w:p>
    <w:p w14:paraId="3F0BCD56" w14:textId="77777777" w:rsidR="0038091B" w:rsidRPr="003D38CD" w:rsidRDefault="00000000">
      <w:pPr>
        <w:pStyle w:val="Bibliography"/>
        <w:rPr>
          <w:lang w:val="pt-BR"/>
        </w:rPr>
      </w:pPr>
      <w:bookmarkStart w:id="23" w:name="ref-Lukacs2018"/>
      <w:bookmarkEnd w:id="22"/>
      <w:r w:rsidRPr="003D38CD">
        <w:rPr>
          <w:lang w:val="pt-BR"/>
        </w:rPr>
        <w:t xml:space="preserve">LUKÁCS, György. </w:t>
      </w:r>
      <w:r w:rsidRPr="003D38CD">
        <w:rPr>
          <w:b/>
          <w:bCs/>
          <w:lang w:val="pt-BR"/>
        </w:rPr>
        <w:t>Para Uma Ontologia Do Ser Social</w:t>
      </w:r>
      <w:r w:rsidRPr="003D38CD">
        <w:rPr>
          <w:lang w:val="pt-BR"/>
        </w:rPr>
        <w:t>. 1. ed. Maceió: Coletivo Veredas, 2018.</w:t>
      </w:r>
    </w:p>
    <w:p w14:paraId="42D12154" w14:textId="77777777" w:rsidR="0038091B" w:rsidRPr="003D38CD" w:rsidRDefault="00000000">
      <w:pPr>
        <w:pStyle w:val="Bibliography"/>
        <w:rPr>
          <w:lang w:val="pt-BR"/>
        </w:rPr>
      </w:pPr>
      <w:bookmarkStart w:id="24" w:name="ref-Makortoff2022"/>
      <w:bookmarkEnd w:id="23"/>
      <w:r w:rsidRPr="00663B00">
        <w:rPr>
          <w:lang w:val="pt-BR"/>
        </w:rPr>
        <w:t xml:space="preserve">MAKORTOFF, Kalyeena. </w:t>
      </w:r>
      <w:r>
        <w:rPr>
          <w:b/>
          <w:bCs/>
        </w:rPr>
        <w:t>HSBC Suspends Head of Responsible Investing Who Called Climate Warnings “Shrill”</w:t>
      </w:r>
      <w:r>
        <w:t xml:space="preserve">. </w:t>
      </w:r>
      <w:r w:rsidRPr="003D38CD">
        <w:rPr>
          <w:b/>
          <w:bCs/>
          <w:lang w:val="pt-BR"/>
        </w:rPr>
        <w:t>The Guardian</w:t>
      </w:r>
      <w:r w:rsidRPr="003D38CD">
        <w:rPr>
          <w:lang w:val="pt-BR"/>
        </w:rPr>
        <w:t>, 2022. Disponível em: &lt;</w:t>
      </w:r>
      <w:hyperlink r:id="rId19">
        <w:r w:rsidR="0038091B" w:rsidRPr="003D38CD">
          <w:rPr>
            <w:rStyle w:val="Hyperlink"/>
            <w:lang w:val="pt-BR"/>
          </w:rPr>
          <w:t>https://www.theguardian.com/business/2022/may/22/hsbc-suspends-head-of-responsible-investing-who-called-climate-warnings-shrill</w:t>
        </w:r>
      </w:hyperlink>
      <w:r w:rsidRPr="003D38CD">
        <w:rPr>
          <w:lang w:val="pt-BR"/>
        </w:rPr>
        <w:t>&gt;. Acesso em: 31 jan. 2026</w:t>
      </w:r>
    </w:p>
    <w:p w14:paraId="6BF8591F" w14:textId="77777777" w:rsidR="0038091B" w:rsidRPr="003D38CD" w:rsidRDefault="00000000">
      <w:pPr>
        <w:pStyle w:val="Bibliography"/>
        <w:rPr>
          <w:lang w:val="pt-BR"/>
        </w:rPr>
      </w:pPr>
      <w:bookmarkStart w:id="25" w:name="ref-Marx2011"/>
      <w:bookmarkEnd w:id="24"/>
      <w:r w:rsidRPr="003D38CD">
        <w:rPr>
          <w:lang w:val="pt-BR"/>
        </w:rPr>
        <w:t xml:space="preserve">MARX, Karl. </w:t>
      </w:r>
      <w:r w:rsidRPr="003D38CD">
        <w:rPr>
          <w:b/>
          <w:bCs/>
          <w:lang w:val="pt-BR"/>
        </w:rPr>
        <w:t>Grundrisse: Manuscritos e econômicos de 1857 - 1858 : Esboços da crítica da economia política</w:t>
      </w:r>
      <w:r w:rsidRPr="003D38CD">
        <w:rPr>
          <w:lang w:val="pt-BR"/>
        </w:rPr>
        <w:t>. São Paulo: Boitempo, 2011.</w:t>
      </w:r>
    </w:p>
    <w:p w14:paraId="317FF0A6" w14:textId="77777777" w:rsidR="0038091B" w:rsidRPr="003D38CD" w:rsidRDefault="00000000">
      <w:pPr>
        <w:pStyle w:val="Bibliography"/>
        <w:rPr>
          <w:lang w:val="pt-BR"/>
        </w:rPr>
      </w:pPr>
      <w:bookmarkStart w:id="26" w:name="ref-Marx2017"/>
      <w:bookmarkEnd w:id="25"/>
      <w:r w:rsidRPr="003D38CD">
        <w:rPr>
          <w:lang w:val="pt-BR"/>
        </w:rPr>
        <w:t xml:space="preserve">MARX, Karl. </w:t>
      </w:r>
      <w:r w:rsidRPr="003D38CD">
        <w:rPr>
          <w:b/>
          <w:bCs/>
          <w:lang w:val="pt-BR"/>
        </w:rPr>
        <w:t>O Capital: crítica da economia política - Livro I: o processo de produção do capital</w:t>
      </w:r>
      <w:r w:rsidRPr="003D38CD">
        <w:rPr>
          <w:lang w:val="pt-BR"/>
        </w:rPr>
        <w:t>. 2. ed. São Paulo: Boitempo, 2017.</w:t>
      </w:r>
    </w:p>
    <w:p w14:paraId="143FE9D9" w14:textId="77777777" w:rsidR="0038091B" w:rsidRPr="003D38CD" w:rsidRDefault="00000000">
      <w:pPr>
        <w:pStyle w:val="Bibliography"/>
        <w:rPr>
          <w:lang w:val="pt-BR"/>
        </w:rPr>
      </w:pPr>
      <w:bookmarkStart w:id="27" w:name="ref-Medeiros2013"/>
      <w:bookmarkEnd w:id="26"/>
      <w:r w:rsidRPr="003D38CD">
        <w:rPr>
          <w:lang w:val="pt-BR"/>
        </w:rPr>
        <w:t xml:space="preserve">MEDEIROS, João Leonardo. </w:t>
      </w:r>
      <w:r w:rsidRPr="003D38CD">
        <w:rPr>
          <w:b/>
          <w:bCs/>
          <w:lang w:val="pt-BR"/>
        </w:rPr>
        <w:t>A Economia Diante Do Horror Econômico: Uma Crítica Ontológica Dos Surtos de Altruísmo Da Ciência Econômica</w:t>
      </w:r>
      <w:r w:rsidRPr="003D38CD">
        <w:rPr>
          <w:lang w:val="pt-BR"/>
        </w:rPr>
        <w:t>. Niterói: Editora da UFF, 2013.</w:t>
      </w:r>
    </w:p>
    <w:p w14:paraId="72FADFA1" w14:textId="77777777" w:rsidR="0038091B" w:rsidRDefault="00000000">
      <w:pPr>
        <w:pStyle w:val="Bibliography"/>
      </w:pPr>
      <w:bookmarkStart w:id="28" w:name="ref-Medeiros2013a"/>
      <w:bookmarkEnd w:id="27"/>
      <w:r w:rsidRPr="003D38CD">
        <w:rPr>
          <w:lang w:val="pt-BR"/>
        </w:rPr>
        <w:t xml:space="preserve">MEDEIROS, João Leonardo; SÁ BARRETO, Eduardo. </w:t>
      </w:r>
      <w:hyperlink r:id="rId20">
        <w:r w:rsidR="0038091B" w:rsidRPr="003D38CD">
          <w:rPr>
            <w:rStyle w:val="Hyperlink"/>
            <w:lang w:val="pt-BR"/>
          </w:rPr>
          <w:t>Lukács e Marx Contra o "Ecologismo Acrítico": Por Uma Ética Ambiental Materialista</w:t>
        </w:r>
      </w:hyperlink>
      <w:r w:rsidRPr="003D38CD">
        <w:rPr>
          <w:lang w:val="pt-BR"/>
        </w:rPr>
        <w:t xml:space="preserve">. </w:t>
      </w:r>
      <w:r>
        <w:rPr>
          <w:b/>
          <w:bCs/>
        </w:rPr>
        <w:t>Economia e Sociedade</w:t>
      </w:r>
      <w:r>
        <w:t>, v. 22, p. 317–333, 2013.</w:t>
      </w:r>
    </w:p>
    <w:p w14:paraId="1D620D5D" w14:textId="77777777" w:rsidR="0038091B" w:rsidRDefault="00000000">
      <w:pPr>
        <w:pStyle w:val="Bibliography"/>
      </w:pPr>
      <w:bookmarkStart w:id="29" w:name="ref-Mill1909"/>
      <w:bookmarkEnd w:id="28"/>
      <w:r>
        <w:t xml:space="preserve">MILL, John Stuart. </w:t>
      </w:r>
      <w:hyperlink r:id="rId21">
        <w:r w:rsidR="0038091B">
          <w:rPr>
            <w:rStyle w:val="Hyperlink"/>
            <w:b/>
            <w:bCs/>
          </w:rPr>
          <w:t>Principles of Political Economy with Some of Their Applications to Social Philosophy</w:t>
        </w:r>
      </w:hyperlink>
      <w:r>
        <w:t>. 7. ed. London: Longmans, Green and Co., 1909.</w:t>
      </w:r>
    </w:p>
    <w:p w14:paraId="55A77596" w14:textId="77777777" w:rsidR="0038091B" w:rsidRDefault="00000000">
      <w:pPr>
        <w:pStyle w:val="Bibliography"/>
      </w:pPr>
      <w:bookmarkStart w:id="30" w:name="ref-Mirza2025"/>
      <w:bookmarkEnd w:id="29"/>
      <w:r>
        <w:t xml:space="preserve">MIRZA, Zoya. </w:t>
      </w:r>
      <w:r>
        <w:rPr>
          <w:b/>
          <w:bCs/>
        </w:rPr>
        <w:t>Why Climate Alliance Memberships Are No Longer “En Vogue” for Wall Street  ESG Dive</w:t>
      </w:r>
      <w:r>
        <w:t xml:space="preserve">. </w:t>
      </w:r>
      <w:r w:rsidRPr="003D38CD">
        <w:rPr>
          <w:b/>
          <w:bCs/>
          <w:lang w:val="pt-BR"/>
        </w:rPr>
        <w:t>ESG Dive</w:t>
      </w:r>
      <w:r w:rsidRPr="003D38CD">
        <w:rPr>
          <w:lang w:val="pt-BR"/>
        </w:rPr>
        <w:t>, jan. 2025. Disponível em: &lt;</w:t>
      </w:r>
      <w:hyperlink r:id="rId22">
        <w:r w:rsidR="0038091B" w:rsidRPr="003D38CD">
          <w:rPr>
            <w:rStyle w:val="Hyperlink"/>
            <w:lang w:val="pt-BR"/>
          </w:rPr>
          <w:t>https://www.esgdive.com/news/why-climate-alliance-memberships-are-no-longer-en-vogue-for-wall-street-banks/738838/</w:t>
        </w:r>
      </w:hyperlink>
      <w:r w:rsidRPr="003D38CD">
        <w:rPr>
          <w:lang w:val="pt-BR"/>
        </w:rPr>
        <w:t xml:space="preserve">&gt;. </w:t>
      </w:r>
      <w:r>
        <w:t>Acesso em: 1 fev. 2026</w:t>
      </w:r>
    </w:p>
    <w:p w14:paraId="1456DC4D" w14:textId="77777777" w:rsidR="0038091B" w:rsidRPr="003D38CD" w:rsidRDefault="00000000">
      <w:pPr>
        <w:pStyle w:val="Bibliography"/>
        <w:rPr>
          <w:lang w:val="pt-BR"/>
        </w:rPr>
      </w:pPr>
      <w:bookmarkStart w:id="31" w:name="ref-OBrien2025"/>
      <w:bookmarkEnd w:id="30"/>
      <w:r>
        <w:t xml:space="preserve">O’BRIEN, Frederick; GUTIÉRREZ, Pablo; KIRK, Ashley. </w:t>
      </w:r>
      <w:r>
        <w:rPr>
          <w:b/>
          <w:bCs/>
        </w:rPr>
        <w:t>How Climate Breakdown Is Putting the World’s Food in Peril – in Maps and Charts</w:t>
      </w:r>
      <w:r>
        <w:t xml:space="preserve">. </w:t>
      </w:r>
      <w:r w:rsidRPr="003D38CD">
        <w:rPr>
          <w:b/>
          <w:bCs/>
          <w:lang w:val="pt-BR"/>
        </w:rPr>
        <w:t>The Guardian</w:t>
      </w:r>
      <w:r w:rsidRPr="003D38CD">
        <w:rPr>
          <w:lang w:val="pt-BR"/>
        </w:rPr>
        <w:t xml:space="preserve">, dez. 2025. Disponível em: </w:t>
      </w:r>
      <w:r w:rsidRPr="003D38CD">
        <w:rPr>
          <w:lang w:val="pt-BR"/>
        </w:rPr>
        <w:lastRenderedPageBreak/>
        <w:t>&lt;</w:t>
      </w:r>
      <w:hyperlink r:id="rId23">
        <w:r w:rsidR="0038091B" w:rsidRPr="003D38CD">
          <w:rPr>
            <w:rStyle w:val="Hyperlink"/>
            <w:lang w:val="pt-BR"/>
          </w:rPr>
          <w:t>https://www.theguardian.com/environment/ng-interactive/2025/dec/18/how-climate-breakdown-is-putting-the-worlds-food-in-peril-in-maps-and-charts</w:t>
        </w:r>
      </w:hyperlink>
      <w:r w:rsidRPr="003D38CD">
        <w:rPr>
          <w:lang w:val="pt-BR"/>
        </w:rPr>
        <w:t>&gt;. Acesso em: 21 mar. 2026</w:t>
      </w:r>
    </w:p>
    <w:p w14:paraId="634E4386" w14:textId="77777777" w:rsidR="0038091B" w:rsidRPr="003D38CD" w:rsidRDefault="00000000">
      <w:pPr>
        <w:pStyle w:val="Bibliography"/>
        <w:rPr>
          <w:lang w:val="pt-BR"/>
        </w:rPr>
      </w:pPr>
      <w:bookmarkStart w:id="32" w:name="ref-PacoCunha2025"/>
      <w:bookmarkEnd w:id="31"/>
      <w:r w:rsidRPr="003D38CD">
        <w:rPr>
          <w:lang w:val="pt-BR"/>
        </w:rPr>
        <w:t xml:space="preserve">PAÇO CUNHA, Elcemir. </w:t>
      </w:r>
      <w:hyperlink r:id="rId24">
        <w:r w:rsidR="0038091B" w:rsidRPr="003D38CD">
          <w:rPr>
            <w:rStyle w:val="Hyperlink"/>
            <w:lang w:val="pt-BR"/>
          </w:rPr>
          <w:t>As Condições Históricas Fundamentais e Contingentes Da Teoria Da Maximização Do Valor Ao Acionista</w:t>
        </w:r>
      </w:hyperlink>
      <w:r w:rsidRPr="003D38CD">
        <w:rPr>
          <w:lang w:val="pt-BR"/>
        </w:rPr>
        <w:t xml:space="preserve">. </w:t>
      </w:r>
      <w:r w:rsidRPr="003D38CD">
        <w:rPr>
          <w:b/>
          <w:bCs/>
          <w:lang w:val="pt-BR"/>
        </w:rPr>
        <w:t>Revista Marx e o Marxismo–Revista do NIEP-Marx</w:t>
      </w:r>
      <w:r w:rsidRPr="003D38CD">
        <w:rPr>
          <w:lang w:val="pt-BR"/>
        </w:rPr>
        <w:t>, v. 13, n. 25, p. 103–123, 2025.</w:t>
      </w:r>
    </w:p>
    <w:p w14:paraId="4C814571" w14:textId="77777777" w:rsidR="0038091B" w:rsidRDefault="00000000">
      <w:pPr>
        <w:pStyle w:val="Bibliography"/>
      </w:pPr>
      <w:bookmarkStart w:id="33" w:name="ref-Pollman2022"/>
      <w:bookmarkEnd w:id="32"/>
      <w:r>
        <w:t xml:space="preserve">POLLMAN, Elizabeth. </w:t>
      </w:r>
      <w:hyperlink r:id="rId25">
        <w:r w:rsidR="0038091B">
          <w:rPr>
            <w:rStyle w:val="Hyperlink"/>
          </w:rPr>
          <w:t>The Origins and Consequences of the ESG Moniker</w:t>
        </w:r>
      </w:hyperlink>
      <w:r>
        <w:t xml:space="preserve">. </w:t>
      </w:r>
      <w:r>
        <w:rPr>
          <w:b/>
          <w:bCs/>
        </w:rPr>
        <w:t>Institute of Law and Economics Research Paper</w:t>
      </w:r>
      <w:r>
        <w:t>, n. 22-23, 2022.</w:t>
      </w:r>
    </w:p>
    <w:p w14:paraId="1651F11F" w14:textId="77777777" w:rsidR="0038091B" w:rsidRDefault="00000000">
      <w:pPr>
        <w:pStyle w:val="Bibliography"/>
      </w:pPr>
      <w:bookmarkStart w:id="34" w:name="ref-25PublicacaoLinkedIn"/>
      <w:bookmarkEnd w:id="33"/>
      <w:r w:rsidRPr="00663B00">
        <w:t xml:space="preserve">QUINN, Noel. </w:t>
      </w:r>
      <w:r w:rsidRPr="003D38CD">
        <w:rPr>
          <w:b/>
          <w:bCs/>
          <w:lang w:val="pt-BR"/>
        </w:rPr>
        <w:t>Publicação  LinkedIn</w:t>
      </w:r>
      <w:r w:rsidRPr="003D38CD">
        <w:rPr>
          <w:lang w:val="pt-BR"/>
        </w:rPr>
        <w:t xml:space="preserve">. </w:t>
      </w:r>
      <w:r w:rsidRPr="003D38CD">
        <w:rPr>
          <w:b/>
          <w:bCs/>
          <w:lang w:val="pt-BR"/>
        </w:rPr>
        <w:t>Linkedin</w:t>
      </w:r>
      <w:r w:rsidRPr="003D38CD">
        <w:rPr>
          <w:lang w:val="pt-BR"/>
        </w:rPr>
        <w:t>, 2025. Disponível em: &lt;</w:t>
      </w:r>
      <w:hyperlink r:id="rId26">
        <w:r w:rsidR="0038091B" w:rsidRPr="003D38CD">
          <w:rPr>
            <w:rStyle w:val="Hyperlink"/>
            <w:lang w:val="pt-BR"/>
          </w:rPr>
          <w:t>https://www.linkedin.com/posts/noel-quinn-hsbc_i-do-not-agree-at-all-with-the-remarks-activity-6933729465193668608-14ho/?utm_source=social_share_send&amp;utm_medium=member_desktop_web&amp;rcm=ACoAADGDblYBTpg3cdnCuk-ijUGghBmcJcxAlLc</w:t>
        </w:r>
      </w:hyperlink>
      <w:r w:rsidRPr="003D38CD">
        <w:rPr>
          <w:lang w:val="pt-BR"/>
        </w:rPr>
        <w:t xml:space="preserve">&gt;. </w:t>
      </w:r>
      <w:r>
        <w:t>Acesso em: 2 mar. 2026</w:t>
      </w:r>
    </w:p>
    <w:p w14:paraId="609BE968" w14:textId="77777777" w:rsidR="0038091B" w:rsidRPr="003D38CD" w:rsidRDefault="00000000">
      <w:pPr>
        <w:pStyle w:val="Bibliography"/>
        <w:rPr>
          <w:lang w:val="pt-BR"/>
        </w:rPr>
      </w:pPr>
      <w:bookmarkStart w:id="35" w:name="ref-Reis-Castro2021"/>
      <w:bookmarkEnd w:id="34"/>
      <w:r>
        <w:t xml:space="preserve">REIS-CASTRO, Luísa. Becoming without: Making Transgenic Mosquitoes and Disease Control in Brazil. </w:t>
      </w:r>
      <w:r w:rsidRPr="003D38CD">
        <w:rPr>
          <w:b/>
          <w:bCs/>
          <w:lang w:val="pt-BR"/>
        </w:rPr>
        <w:t>Environmental Humanities</w:t>
      </w:r>
      <w:r w:rsidRPr="003D38CD">
        <w:rPr>
          <w:lang w:val="pt-BR"/>
        </w:rPr>
        <w:t>, v. 13, n. 2, p. 323–347, 2021.</w:t>
      </w:r>
    </w:p>
    <w:p w14:paraId="58562EFE" w14:textId="77777777" w:rsidR="0038091B" w:rsidRDefault="00000000">
      <w:pPr>
        <w:pStyle w:val="Bibliography"/>
      </w:pPr>
      <w:bookmarkStart w:id="36" w:name="ref-Reis-Castro2013"/>
      <w:bookmarkEnd w:id="35"/>
      <w:r w:rsidRPr="003D38CD">
        <w:rPr>
          <w:lang w:val="pt-BR"/>
        </w:rPr>
        <w:t xml:space="preserve">REIS-CASTRO, Luísa; HENDRICKX, Kim. </w:t>
      </w:r>
      <w:r>
        <w:t xml:space="preserve">Winged Promises: Exploring the Discourse on Transgenic Mosquitoes in Brazil. </w:t>
      </w:r>
      <w:r>
        <w:rPr>
          <w:b/>
          <w:bCs/>
        </w:rPr>
        <w:t>Technology in society</w:t>
      </w:r>
      <w:r>
        <w:t>, v. 35, n. 2, p. 118–128, 2013.</w:t>
      </w:r>
    </w:p>
    <w:p w14:paraId="7D55BBE8" w14:textId="77777777" w:rsidR="0038091B" w:rsidRPr="003D38CD" w:rsidRDefault="00000000">
      <w:pPr>
        <w:pStyle w:val="Bibliography"/>
        <w:rPr>
          <w:lang w:val="pt-BR"/>
        </w:rPr>
      </w:pPr>
      <w:bookmarkStart w:id="37" w:name="ref-Reuters2022"/>
      <w:bookmarkEnd w:id="36"/>
      <w:r>
        <w:t xml:space="preserve">REUTERS. </w:t>
      </w:r>
      <w:r>
        <w:rPr>
          <w:b/>
          <w:bCs/>
        </w:rPr>
        <w:t>HSBC’s Head of Responsible Investing Quits after Climate Speech Controversy</w:t>
      </w:r>
      <w:r>
        <w:t xml:space="preserve">. </w:t>
      </w:r>
      <w:r w:rsidRPr="003D38CD">
        <w:rPr>
          <w:b/>
          <w:bCs/>
          <w:lang w:val="pt-BR"/>
        </w:rPr>
        <w:t>Reuters</w:t>
      </w:r>
      <w:r w:rsidRPr="003D38CD">
        <w:rPr>
          <w:lang w:val="pt-BR"/>
        </w:rPr>
        <w:t>, jul. 2022. Disponível em: &lt;</w:t>
      </w:r>
      <w:hyperlink r:id="rId27">
        <w:r w:rsidR="0038091B" w:rsidRPr="003D38CD">
          <w:rPr>
            <w:rStyle w:val="Hyperlink"/>
            <w:lang w:val="pt-BR"/>
          </w:rPr>
          <w:t>https://www.reuters.com/business/hsbcs-head-responsible-investing-quits-after-climate-speech-controversy-2022-07-07/</w:t>
        </w:r>
      </w:hyperlink>
      <w:r w:rsidRPr="003D38CD">
        <w:rPr>
          <w:lang w:val="pt-BR"/>
        </w:rPr>
        <w:t>&gt;. Acesso em: 31 jan. 2026</w:t>
      </w:r>
    </w:p>
    <w:p w14:paraId="5D16BA3A" w14:textId="77777777" w:rsidR="0038091B" w:rsidRDefault="00000000">
      <w:pPr>
        <w:pStyle w:val="Bibliography"/>
      </w:pPr>
      <w:bookmarkStart w:id="38" w:name="ref-SaBarreto2022"/>
      <w:bookmarkEnd w:id="37"/>
      <w:r w:rsidRPr="003D38CD">
        <w:rPr>
          <w:lang w:val="pt-BR"/>
        </w:rPr>
        <w:t xml:space="preserve">SÁ BARRETO, Eduardo. </w:t>
      </w:r>
      <w:r w:rsidRPr="003D38CD">
        <w:rPr>
          <w:b/>
          <w:bCs/>
          <w:lang w:val="pt-BR"/>
        </w:rPr>
        <w:t>Ecologia Marxista para pessoas sem tempo</w:t>
      </w:r>
      <w:r w:rsidRPr="003D38CD">
        <w:rPr>
          <w:lang w:val="pt-BR"/>
        </w:rPr>
        <w:t xml:space="preserve">. </w:t>
      </w:r>
      <w:r>
        <w:t>São Paulo: Usina Editorial, 2022.</w:t>
      </w:r>
    </w:p>
    <w:p w14:paraId="4BF32227" w14:textId="77777777" w:rsidR="0038091B" w:rsidRDefault="00000000">
      <w:pPr>
        <w:pStyle w:val="Bibliography"/>
      </w:pPr>
      <w:bookmarkStart w:id="39" w:name="ref-Simpson2021"/>
      <w:bookmarkEnd w:id="38"/>
      <w:r>
        <w:t xml:space="preserve">SIMPSON, Cam; RATHI, Akshat; KISHAN, Sajiel. </w:t>
      </w:r>
      <w:r>
        <w:rPr>
          <w:b/>
          <w:bCs/>
        </w:rPr>
        <w:t>The ESG Mirage: Sustainable Investing Is Mostly About Sustaining Corporations</w:t>
      </w:r>
      <w:r>
        <w:t xml:space="preserve">. </w:t>
      </w:r>
      <w:r w:rsidRPr="003D38CD">
        <w:rPr>
          <w:b/>
          <w:bCs/>
          <w:lang w:val="pt-BR"/>
        </w:rPr>
        <w:t>Bloomberg</w:t>
      </w:r>
      <w:r w:rsidRPr="003D38CD">
        <w:rPr>
          <w:lang w:val="pt-BR"/>
        </w:rPr>
        <w:t>, dez. 2021. Disponível em: &lt;</w:t>
      </w:r>
      <w:hyperlink r:id="rId28">
        <w:r w:rsidR="0038091B" w:rsidRPr="003D38CD">
          <w:rPr>
            <w:rStyle w:val="Hyperlink"/>
            <w:lang w:val="pt-BR"/>
          </w:rPr>
          <w:t>https://www.bloomberg.com/graphics/2021-what-is-esg-investing-msci-ratings-focus-on-corporate-bottom-line/</w:t>
        </w:r>
      </w:hyperlink>
      <w:r w:rsidRPr="003D38CD">
        <w:rPr>
          <w:lang w:val="pt-BR"/>
        </w:rPr>
        <w:t xml:space="preserve">&gt;. </w:t>
      </w:r>
      <w:r>
        <w:t>Acesso em: 24 fev. 2026</w:t>
      </w:r>
    </w:p>
    <w:p w14:paraId="49721F43" w14:textId="77777777" w:rsidR="0038091B" w:rsidRPr="003D38CD" w:rsidRDefault="00000000">
      <w:pPr>
        <w:pStyle w:val="Bibliography"/>
        <w:rPr>
          <w:lang w:val="pt-BR"/>
        </w:rPr>
      </w:pPr>
      <w:bookmarkStart w:id="40" w:name="ref-Smith1904"/>
      <w:bookmarkEnd w:id="39"/>
      <w:r>
        <w:t xml:space="preserve">SMITH, Adam. </w:t>
      </w:r>
      <w:hyperlink r:id="rId29">
        <w:r w:rsidR="0038091B">
          <w:rPr>
            <w:rStyle w:val="Hyperlink"/>
            <w:b/>
            <w:bCs/>
          </w:rPr>
          <w:t>An Inquiry Into the Nature and Causes of the Wealth of Nations</w:t>
        </w:r>
      </w:hyperlink>
      <w:r>
        <w:t xml:space="preserve">. </w:t>
      </w:r>
      <w:r w:rsidRPr="003D38CD">
        <w:rPr>
          <w:lang w:val="pt-BR"/>
        </w:rPr>
        <w:t>Londres: Methuen, 1904. v. 1</w:t>
      </w:r>
    </w:p>
    <w:p w14:paraId="3A26392A" w14:textId="77777777" w:rsidR="0038091B" w:rsidRDefault="00000000">
      <w:pPr>
        <w:pStyle w:val="Bibliography"/>
      </w:pPr>
      <w:bookmarkStart w:id="41" w:name="ref-Telesforo2025"/>
      <w:bookmarkEnd w:id="40"/>
      <w:r w:rsidRPr="003D38CD">
        <w:rPr>
          <w:lang w:val="pt-BR"/>
        </w:rPr>
        <w:lastRenderedPageBreak/>
        <w:t xml:space="preserve">TELÉSFORO, João. Confissões do capitalismo "verde": lucrando com a tragédia climática e com placebos ESG. </w:t>
      </w:r>
      <w:r w:rsidRPr="003D38CD">
        <w:rPr>
          <w:i/>
          <w:iCs/>
          <w:lang w:val="pt-BR"/>
        </w:rPr>
        <w:t>In</w:t>
      </w:r>
      <w:r w:rsidRPr="003D38CD">
        <w:rPr>
          <w:lang w:val="pt-BR"/>
        </w:rPr>
        <w:t xml:space="preserve">: LUEDY, Laura (Org.). </w:t>
      </w:r>
      <w:r w:rsidRPr="003D38CD">
        <w:rPr>
          <w:b/>
          <w:bCs/>
          <w:lang w:val="pt-BR"/>
        </w:rPr>
        <w:t>Tempo fechado: colapso ecológico e capitalismo</w:t>
      </w:r>
      <w:r w:rsidRPr="003D38CD">
        <w:rPr>
          <w:lang w:val="pt-BR"/>
        </w:rPr>
        <w:t xml:space="preserve">. </w:t>
      </w:r>
      <w:r>
        <w:t>São Paulo: Boitempo, 2025.</w:t>
      </w:r>
    </w:p>
    <w:p w14:paraId="676BC258" w14:textId="77777777" w:rsidR="0038091B" w:rsidRPr="003D38CD" w:rsidRDefault="00000000">
      <w:pPr>
        <w:pStyle w:val="Bibliography"/>
        <w:rPr>
          <w:lang w:val="pt-BR"/>
        </w:rPr>
      </w:pPr>
      <w:bookmarkStart w:id="42" w:name="ref-GlobalCompact2004"/>
      <w:bookmarkEnd w:id="41"/>
      <w:r>
        <w:t xml:space="preserve">UNITED NATIONS GLOBAL COMPACT. </w:t>
      </w:r>
      <w:r>
        <w:rPr>
          <w:b/>
          <w:bCs/>
        </w:rPr>
        <w:t>Who Cares Wins: Connecting Financial Markets to a Changing World</w:t>
      </w:r>
      <w:r>
        <w:t xml:space="preserve">. </w:t>
      </w:r>
      <w:r w:rsidRPr="003D38CD">
        <w:rPr>
          <w:i/>
          <w:iCs/>
          <w:lang w:val="pt-BR"/>
        </w:rPr>
        <w:t>[S.l.]</w:t>
      </w:r>
      <w:r w:rsidRPr="003D38CD">
        <w:rPr>
          <w:lang w:val="pt-BR"/>
        </w:rPr>
        <w:t>: United Nations, dez. 2004. Disponível em: &lt;</w:t>
      </w:r>
      <w:hyperlink r:id="rId30">
        <w:r w:rsidR="0038091B" w:rsidRPr="003D38CD">
          <w:rPr>
            <w:rStyle w:val="Hyperlink"/>
            <w:lang w:val="pt-BR"/>
          </w:rPr>
          <w:t>https://documents1.worldbank.org/curated/en/280911488968799581/pdf/113237-WP-WhoCaresWins-2004.pdf</w:t>
        </w:r>
      </w:hyperlink>
      <w:r w:rsidRPr="003D38CD">
        <w:rPr>
          <w:lang w:val="pt-BR"/>
        </w:rPr>
        <w:t>&gt;.</w:t>
      </w:r>
    </w:p>
    <w:p w14:paraId="2C0B8BC0" w14:textId="77777777" w:rsidR="0038091B" w:rsidRDefault="00000000">
      <w:pPr>
        <w:pStyle w:val="Bibliography"/>
      </w:pPr>
      <w:bookmarkStart w:id="43" w:name="ref-Walker2022"/>
      <w:bookmarkEnd w:id="42"/>
      <w:r>
        <w:t xml:space="preserve">WALKER, Owen. </w:t>
      </w:r>
      <w:r>
        <w:rPr>
          <w:b/>
          <w:bCs/>
        </w:rPr>
        <w:t>HSBC Suspends Banker over Climate Change Comments</w:t>
      </w:r>
      <w:r>
        <w:t xml:space="preserve">. </w:t>
      </w:r>
      <w:r w:rsidRPr="003D38CD">
        <w:rPr>
          <w:b/>
          <w:bCs/>
          <w:lang w:val="pt-BR"/>
        </w:rPr>
        <w:t>Financial Times</w:t>
      </w:r>
      <w:r w:rsidRPr="003D38CD">
        <w:rPr>
          <w:lang w:val="pt-BR"/>
        </w:rPr>
        <w:t>, 2022. Disponível em: &lt;</w:t>
      </w:r>
      <w:hyperlink r:id="rId31">
        <w:r w:rsidR="0038091B" w:rsidRPr="003D38CD">
          <w:rPr>
            <w:rStyle w:val="Hyperlink"/>
            <w:lang w:val="pt-BR"/>
          </w:rPr>
          <w:t>https://www.ft.com/content/8e1a16ea-bf63-45f8-81af-dc41c0df4e06</w:t>
        </w:r>
      </w:hyperlink>
      <w:r w:rsidRPr="003D38CD">
        <w:rPr>
          <w:lang w:val="pt-BR"/>
        </w:rPr>
        <w:t xml:space="preserve">&gt;. </w:t>
      </w:r>
      <w:r>
        <w:t>Acesso em: 2 mar. 2026</w:t>
      </w:r>
    </w:p>
    <w:p w14:paraId="51FD2029" w14:textId="77777777" w:rsidR="0038091B" w:rsidRDefault="00000000">
      <w:pPr>
        <w:pStyle w:val="Bibliography"/>
      </w:pPr>
      <w:bookmarkStart w:id="44" w:name="ref-WhiteHouse2025"/>
      <w:bookmarkEnd w:id="43"/>
      <w:r>
        <w:t xml:space="preserve">WHITE HOUSE. </w:t>
      </w:r>
      <w:r>
        <w:rPr>
          <w:b/>
          <w:bCs/>
        </w:rPr>
        <w:t>Ending Radical And Wasteful Government DEI Programs And Preferencing</w:t>
      </w:r>
      <w:r>
        <w:t xml:space="preserve">. </w:t>
      </w:r>
      <w:r>
        <w:rPr>
          <w:b/>
          <w:bCs/>
        </w:rPr>
        <w:t>The White House</w:t>
      </w:r>
      <w:r>
        <w:t>, jan. 2025. Disponível em: &lt;</w:t>
      </w:r>
      <w:hyperlink r:id="rId32">
        <w:r w:rsidR="0038091B">
          <w:rPr>
            <w:rStyle w:val="Hyperlink"/>
          </w:rPr>
          <w:t>https://www.whitehouse.gov/presidential-actions/2025/01/ending-radical-and-wasteful-government-dei-programs-and-preferencing/</w:t>
        </w:r>
      </w:hyperlink>
      <w:r>
        <w:t>&gt;. Acesso em: 1 fev. 2026</w:t>
      </w:r>
      <w:bookmarkEnd w:id="5"/>
      <w:bookmarkEnd w:id="7"/>
      <w:bookmarkEnd w:id="44"/>
    </w:p>
    <w:sectPr w:rsidR="0038091B" w:rsidSect="003F111F">
      <w:pgSz w:w="12240" w:h="15840"/>
      <w:pgMar w:top="1134" w:right="1134"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0952E" w14:textId="77777777" w:rsidR="00543FC7" w:rsidRDefault="00543FC7">
      <w:pPr>
        <w:spacing w:after="0" w:line="240" w:lineRule="auto"/>
      </w:pPr>
      <w:r>
        <w:separator/>
      </w:r>
    </w:p>
  </w:endnote>
  <w:endnote w:type="continuationSeparator" w:id="0">
    <w:p w14:paraId="242DF1B4" w14:textId="77777777" w:rsidR="00543FC7" w:rsidRDefault="00543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454EA" w14:textId="77777777" w:rsidR="00543FC7" w:rsidRDefault="00543FC7">
      <w:r>
        <w:separator/>
      </w:r>
    </w:p>
  </w:footnote>
  <w:footnote w:type="continuationSeparator" w:id="0">
    <w:p w14:paraId="24AEAD28" w14:textId="77777777" w:rsidR="00543FC7" w:rsidRDefault="00543FC7">
      <w:r>
        <w:continuationSeparator/>
      </w:r>
    </w:p>
  </w:footnote>
  <w:footnote w:id="1">
    <w:p w14:paraId="0E50BB70" w14:textId="77777777" w:rsidR="0038091B" w:rsidRPr="003D38CD" w:rsidRDefault="00000000">
      <w:pPr>
        <w:pStyle w:val="FootnoteText"/>
        <w:rPr>
          <w:lang w:val="pt-BR"/>
        </w:rPr>
      </w:pPr>
      <w:r>
        <w:rPr>
          <w:rStyle w:val="FootnoteReference"/>
        </w:rPr>
        <w:footnoteRef/>
      </w:r>
      <w:r w:rsidRPr="003D38CD">
        <w:rPr>
          <w:lang w:val="pt-BR"/>
        </w:rPr>
        <w:t xml:space="preserve"> Ocasionalmente traduzido para ASG (“ambiental, social, governança”). O texto seguirá, porém, com o acrônimo em inglês, que é mais facilmente identificável na literatura.</w:t>
      </w:r>
    </w:p>
  </w:footnote>
  <w:footnote w:id="2">
    <w:p w14:paraId="4A336731" w14:textId="77777777" w:rsidR="0038091B" w:rsidRPr="003D38CD" w:rsidRDefault="00000000">
      <w:pPr>
        <w:pStyle w:val="FootnoteText"/>
        <w:rPr>
          <w:lang w:val="pt-BR"/>
        </w:rPr>
      </w:pPr>
      <w:r>
        <w:rPr>
          <w:rStyle w:val="FootnoteReference"/>
        </w:rPr>
        <w:footnoteRef/>
      </w:r>
      <w:r w:rsidRPr="003D38CD">
        <w:rPr>
          <w:lang w:val="pt-BR"/>
        </w:rPr>
        <w:t xml:space="preserve"> I.e. o clima de temor nos países capitalistas com relação ao comunismo soviético. Por exemplo, no artigo supracitado, Friedman assevera que, “[n]a verdade, eles [os homens de negócios “socialmente comprometidos”] estão — ou estariam, se eles ou qualquer outra pessoa os levasse a sério — pregando o socialismo puro e simples [!]. Empresários que falam dessa maneira são marionetes involuntárias das forças intelectuais que vêm minando os alicerces de uma sociedade livre nas últimas décadas.” (Friedman, 1970).</w:t>
      </w:r>
    </w:p>
  </w:footnote>
  <w:footnote w:id="3">
    <w:p w14:paraId="310AA2C9" w14:textId="77777777" w:rsidR="0038091B" w:rsidRPr="003D38CD" w:rsidRDefault="00000000">
      <w:pPr>
        <w:pStyle w:val="FootnoteText"/>
        <w:rPr>
          <w:lang w:val="pt-BR"/>
        </w:rPr>
      </w:pPr>
      <w:r>
        <w:rPr>
          <w:rStyle w:val="FootnoteReference"/>
        </w:rPr>
        <w:footnoteRef/>
      </w:r>
      <w:r w:rsidRPr="003D38CD">
        <w:rPr>
          <w:lang w:val="pt-BR"/>
        </w:rPr>
        <w:t xml:space="preserve"> I.e. todos aqueles que são afetados pela atividade de uma empresa, dentre os quais os acionistas (</w:t>
      </w:r>
      <w:r w:rsidRPr="003D38CD">
        <w:rPr>
          <w:i/>
          <w:iCs/>
          <w:lang w:val="pt-BR"/>
        </w:rPr>
        <w:t>shareholders</w:t>
      </w:r>
      <w:r w:rsidRPr="003D38CD">
        <w:rPr>
          <w:lang w:val="pt-BR"/>
        </w:rPr>
        <w:t>.)</w:t>
      </w:r>
    </w:p>
  </w:footnote>
  <w:footnote w:id="4">
    <w:p w14:paraId="0013C6A6" w14:textId="77777777" w:rsidR="0038091B" w:rsidRPr="003D38CD" w:rsidRDefault="00000000">
      <w:pPr>
        <w:pStyle w:val="FootnoteText"/>
        <w:rPr>
          <w:lang w:val="pt-BR"/>
        </w:rPr>
      </w:pPr>
      <w:r>
        <w:rPr>
          <w:rStyle w:val="FootnoteReference"/>
        </w:rPr>
        <w:footnoteRef/>
      </w:r>
      <w:r w:rsidRPr="003D38CD">
        <w:rPr>
          <w:lang w:val="pt-BR"/>
        </w:rPr>
        <w:t xml:space="preserve"> O que é uma outra problemática, pois </w:t>
      </w:r>
      <w:r w:rsidRPr="003D38CD">
        <w:rPr>
          <w:i/>
          <w:iCs/>
          <w:lang w:val="pt-BR"/>
        </w:rPr>
        <w:t>ratings</w:t>
      </w:r>
      <w:r w:rsidRPr="003D38CD">
        <w:rPr>
          <w:lang w:val="pt-BR"/>
        </w:rPr>
        <w:t xml:space="preserve"> de empresas diferentes “frequentemente contrastam uns com os outros, às vezes radicalmente. Isso ocorre porque cada provedor de classificação ESG utiliza seu próprio sistema proprietário, algoritmos, métricas, definições e fontes de informações não financeiras, a maioria dos quais não é transparente e depende fortemente de autorrelatos das empresas que classificam. Nenhum órgão regulador examina a metodologia ou os resultados.” (Simpson; Rathi; Kishan, 2021)</w:t>
      </w:r>
    </w:p>
  </w:footnote>
  <w:footnote w:id="5">
    <w:p w14:paraId="11B888AD" w14:textId="77777777" w:rsidR="0038091B" w:rsidRPr="003D38CD" w:rsidRDefault="00000000">
      <w:pPr>
        <w:pStyle w:val="FootnoteText"/>
        <w:rPr>
          <w:lang w:val="pt-BR"/>
        </w:rPr>
      </w:pPr>
      <w:r>
        <w:rPr>
          <w:rStyle w:val="FootnoteReference"/>
        </w:rPr>
        <w:footnoteRef/>
      </w:r>
      <w:r w:rsidRPr="003D38CD">
        <w:rPr>
          <w:lang w:val="pt-BR"/>
        </w:rPr>
        <w:t xml:space="preserve"> Que remete à letra </w:t>
      </w:r>
      <w:r w:rsidRPr="003D38CD">
        <w:rPr>
          <w:i/>
          <w:iCs/>
          <w:lang w:val="pt-BR"/>
        </w:rPr>
        <w:t>E</w:t>
      </w:r>
      <w:r w:rsidRPr="003D38CD">
        <w:rPr>
          <w:lang w:val="pt-BR"/>
        </w:rPr>
        <w:t xml:space="preserve"> do ESG (</w:t>
      </w:r>
      <w:r w:rsidRPr="003D38CD">
        <w:rPr>
          <w:i/>
          <w:iCs/>
          <w:lang w:val="pt-BR"/>
        </w:rPr>
        <w:t>environmental</w:t>
      </w:r>
      <w:r w:rsidRPr="003D38CD">
        <w:rPr>
          <w:lang w:val="pt-BR"/>
        </w:rPr>
        <w:t>).</w:t>
      </w:r>
    </w:p>
  </w:footnote>
  <w:footnote w:id="6">
    <w:p w14:paraId="6F601B6E" w14:textId="77777777" w:rsidR="0038091B" w:rsidRPr="003D38CD" w:rsidRDefault="00000000">
      <w:pPr>
        <w:pStyle w:val="FootnoteText"/>
        <w:rPr>
          <w:lang w:val="pt-BR"/>
        </w:rPr>
      </w:pPr>
      <w:r>
        <w:rPr>
          <w:rStyle w:val="FootnoteReference"/>
        </w:rPr>
        <w:footnoteRef/>
      </w:r>
      <w:r w:rsidRPr="003D38CD">
        <w:rPr>
          <w:lang w:val="pt-BR"/>
        </w:rPr>
        <w:t xml:space="preserve"> Aqui não se fala sobre um direcionamento “obrigatório” de suas ações, e sim de um impulso que está constantemente impelindo tais ações em certa direção, por mais que eles efetivamente ajam de forma contrária. Fala-se aqui do que se chama, no Realismo Crítico, de “lei de tendência”: “Não é uma afirmação de necessidade lógica sujeita a restrições </w:t>
      </w:r>
      <w:r w:rsidRPr="003D38CD">
        <w:rPr>
          <w:i/>
          <w:iCs/>
          <w:lang w:val="pt-BR"/>
        </w:rPr>
        <w:t>ceteris paribus</w:t>
      </w:r>
      <w:r w:rsidRPr="003D38CD">
        <w:rPr>
          <w:lang w:val="pt-BR"/>
        </w:rPr>
        <w:t xml:space="preserve">, mas uma afirmação de necessidade natural sem qualificações. Não é sobre eventos que ocorreriam se o mundo fosse diferente, mas sobre </w:t>
      </w:r>
      <w:r w:rsidRPr="003D38CD">
        <w:rPr>
          <w:i/>
          <w:iCs/>
          <w:lang w:val="pt-BR"/>
        </w:rPr>
        <w:t>o poder que está sendo exercido quaisquer que sejam os eventos que se sucedam</w:t>
      </w:r>
      <w:r w:rsidRPr="003D38CD">
        <w:rPr>
          <w:lang w:val="pt-BR"/>
        </w:rPr>
        <w:t xml:space="preserve">.” (Lawson </w:t>
      </w:r>
      <w:r w:rsidRPr="003D38CD">
        <w:rPr>
          <w:i/>
          <w:iCs/>
          <w:lang w:val="pt-BR"/>
        </w:rPr>
        <w:t>apud</w:t>
      </w:r>
      <w:r w:rsidRPr="003D38CD">
        <w:rPr>
          <w:lang w:val="pt-BR"/>
        </w:rPr>
        <w:t xml:space="preserve"> Medeiros (2013), p. 91).</w:t>
      </w:r>
    </w:p>
  </w:footnote>
  <w:footnote w:id="7">
    <w:p w14:paraId="55093680" w14:textId="77777777" w:rsidR="0038091B" w:rsidRPr="003D38CD" w:rsidRDefault="00000000">
      <w:pPr>
        <w:pStyle w:val="FootnoteText"/>
        <w:rPr>
          <w:lang w:val="pt-BR"/>
        </w:rPr>
      </w:pPr>
      <w:r>
        <w:rPr>
          <w:rStyle w:val="FootnoteReference"/>
        </w:rPr>
        <w:footnoteRef/>
      </w:r>
      <w:r w:rsidRPr="003D38CD">
        <w:rPr>
          <w:lang w:val="pt-BR"/>
        </w:rPr>
        <w:t xml:space="preserve"> Em alemão: </w:t>
      </w:r>
      <w:r w:rsidRPr="003D38CD">
        <w:rPr>
          <w:i/>
          <w:iCs/>
          <w:lang w:val="pt-BR"/>
        </w:rPr>
        <w:t>teleologische Setzung</w:t>
      </w:r>
      <w:r w:rsidRPr="003D38CD">
        <w:rPr>
          <w:lang w:val="pt-BR"/>
        </w:rPr>
        <w:t>. Pode também ser traduzido como “pôr teleológico”, cf. Lukács (2013).</w:t>
      </w:r>
    </w:p>
  </w:footnote>
  <w:footnote w:id="8">
    <w:p w14:paraId="5D7CB7B9" w14:textId="77777777" w:rsidR="0038091B" w:rsidRPr="003D38CD" w:rsidRDefault="00000000">
      <w:pPr>
        <w:pStyle w:val="FootnoteText"/>
        <w:rPr>
          <w:lang w:val="pt-BR"/>
        </w:rPr>
      </w:pPr>
      <w:r>
        <w:rPr>
          <w:rStyle w:val="FootnoteReference"/>
        </w:rPr>
        <w:footnoteRef/>
      </w:r>
      <w:r w:rsidRPr="003D38CD">
        <w:rPr>
          <w:lang w:val="pt-BR"/>
        </w:rPr>
        <w:t xml:space="preserve"> Tal visão não é nova, já comparecendo, por exemplo, em John Stuart Mill: “O trabalho, [...] no mundo físico, é sempre e exclusivamente empregado em colocar objetos em movimento; as propriedades da matéria, as leis da natureza, fazem o resto. A habilidade e o engenho dos seres humanos são exercitados principalmente na descoberta de movimentos, praticáveis por suas capacidades e capazes de produzir os efeitos que desejam.” (Mill, 1909, p. 48). A principal novidade nas análises de Lukács (e de seus estudiosos) é o papel que o trabalho (no sentido aqui abordado) tem sobre a “humanização do ser humano”, i.e. de ser o trabalho aquilo que o torna “humano”, mais do que um mero animal.</w:t>
      </w:r>
    </w:p>
  </w:footnote>
  <w:footnote w:id="9">
    <w:p w14:paraId="14A10B47" w14:textId="77777777" w:rsidR="0038091B" w:rsidRPr="003D38CD" w:rsidRDefault="00000000">
      <w:pPr>
        <w:pStyle w:val="FootnoteText"/>
        <w:rPr>
          <w:lang w:val="pt-BR"/>
        </w:rPr>
      </w:pPr>
      <w:r>
        <w:rPr>
          <w:rStyle w:val="FootnoteReference"/>
        </w:rPr>
        <w:footnoteRef/>
      </w:r>
      <w:r w:rsidRPr="003D38CD">
        <w:rPr>
          <w:lang w:val="pt-BR"/>
        </w:rPr>
        <w:t xml:space="preserve"> Isso já havia sido apreendido por Adam Smith, por exemplo: “...depois que a divisão do trabalho aprofundizou-se, apenas uma pequena parte disso [das ‘necessidades, conveniências e divertimentos da vida humana’] pode ser suprida pelo próprio trabalho de um homem. A maior parte disso ele deve derivar do trabalho de outras pessoas, e ele será rico ou pobre de acordo com a </w:t>
      </w:r>
      <w:r w:rsidRPr="003D38CD">
        <w:rPr>
          <w:i/>
          <w:iCs/>
          <w:lang w:val="pt-BR"/>
        </w:rPr>
        <w:t>quantidade desse trabalho que ele pode comandar ou que ele pode comprar</w:t>
      </w:r>
      <w:r w:rsidRPr="003D38CD">
        <w:rPr>
          <w:lang w:val="pt-BR"/>
        </w:rPr>
        <w:t xml:space="preserve">. O valor de qualquer mercadoria, portanto, para a pessoa que a possui e que não pretende usá-la ou consumi-la, mas trocá-la por outras mercadorias, é igual à </w:t>
      </w:r>
      <w:r w:rsidRPr="003D38CD">
        <w:rPr>
          <w:i/>
          <w:iCs/>
          <w:lang w:val="pt-BR"/>
        </w:rPr>
        <w:t>quantidade de trabalho que ela lhe permite comprar ou comandar</w:t>
      </w:r>
      <w:r w:rsidRPr="003D38CD">
        <w:rPr>
          <w:lang w:val="pt-BR"/>
        </w:rPr>
        <w:t>. O trabalho, portanto, é a verdadeira medida do valor de troca de todas as mercadorias.” (Smith, 1904, p. 54, grifo meu). Aparece ao indivíduo, de certa forma, que seu “poder de compra” é um “poder” sobre a produção de outrem, e que concede-lhe “comando” sobre o trabalho alheio.</w:t>
      </w:r>
    </w:p>
  </w:footnote>
  <w:footnote w:id="10">
    <w:p w14:paraId="013A58D2" w14:textId="77777777" w:rsidR="0038091B" w:rsidRPr="003D38CD" w:rsidRDefault="00000000">
      <w:pPr>
        <w:pStyle w:val="FootnoteText"/>
        <w:rPr>
          <w:lang w:val="pt-BR"/>
        </w:rPr>
      </w:pPr>
      <w:r>
        <w:rPr>
          <w:rStyle w:val="FootnoteReference"/>
        </w:rPr>
        <w:footnoteRef/>
      </w:r>
      <w:r w:rsidRPr="003D38CD">
        <w:rPr>
          <w:lang w:val="pt-BR"/>
        </w:rPr>
        <w:t xml:space="preserve"> É neste sentido, inclusive, que Marx diz que, no modo de produção capitalista, “os valores de uso só são produzidos </w:t>
      </w:r>
      <w:r w:rsidRPr="003D38CD">
        <w:rPr>
          <w:i/>
          <w:iCs/>
          <w:lang w:val="pt-BR"/>
        </w:rPr>
        <w:t>porque e na medida em que</w:t>
      </w:r>
      <w:r w:rsidRPr="003D38CD">
        <w:rPr>
          <w:lang w:val="pt-BR"/>
        </w:rPr>
        <w:t xml:space="preserve"> são o substrato material, os suportes do valor de troca” (Marx, 2017, p. 263, grifo meu): porque produzir valores de uso é um </w:t>
      </w:r>
      <w:r w:rsidRPr="003D38CD">
        <w:rPr>
          <w:i/>
          <w:iCs/>
          <w:lang w:val="pt-BR"/>
        </w:rPr>
        <w:t>sine qua non</w:t>
      </w:r>
      <w:r w:rsidRPr="003D38CD">
        <w:rPr>
          <w:lang w:val="pt-BR"/>
        </w:rPr>
        <w:t xml:space="preserve"> para a produção de valor e, principalmente, mais-valor, embora não importe, formalmente, </w:t>
      </w:r>
      <w:r w:rsidRPr="003D38CD">
        <w:rPr>
          <w:i/>
          <w:iCs/>
          <w:lang w:val="pt-BR"/>
        </w:rPr>
        <w:t>qual</w:t>
      </w:r>
      <w:r w:rsidRPr="003D38CD">
        <w:rPr>
          <w:lang w:val="pt-BR"/>
        </w:rPr>
        <w:t xml:space="preserve"> tipo de valor de uso seja produzido — somente que ele seja, de fato, útil para outrem, e que o comprem.</w:t>
      </w:r>
    </w:p>
  </w:footnote>
  <w:footnote w:id="11">
    <w:p w14:paraId="366E2258" w14:textId="77777777" w:rsidR="0038091B" w:rsidRPr="003D38CD" w:rsidRDefault="00000000">
      <w:pPr>
        <w:pStyle w:val="FootnoteText"/>
        <w:rPr>
          <w:lang w:val="pt-BR"/>
        </w:rPr>
      </w:pPr>
      <w:r>
        <w:rPr>
          <w:rStyle w:val="FootnoteReference"/>
        </w:rPr>
        <w:footnoteRef/>
      </w:r>
      <w:r w:rsidRPr="003D38CD">
        <w:rPr>
          <w:lang w:val="pt-BR"/>
        </w:rPr>
        <w:t xml:space="preserve"> “O dinheiro </w:t>
      </w:r>
      <w:r w:rsidRPr="003D38CD">
        <w:rPr>
          <w:i/>
          <w:iCs/>
          <w:lang w:val="pt-BR"/>
        </w:rPr>
        <w:t>non olet</w:t>
      </w:r>
      <w:r w:rsidRPr="003D38CD">
        <w:rPr>
          <w:lang w:val="pt-BR"/>
        </w:rPr>
        <w:t xml:space="preserve"> [não fede], seja qual for sua origem. Se[,] por um lado[,] ele representa mercadoria vendida, por outro representa mercadorias compráveis.” (Marx, 2017, p. 184).</w:t>
      </w:r>
    </w:p>
  </w:footnote>
  <w:footnote w:id="12">
    <w:p w14:paraId="3A284A56" w14:textId="77777777" w:rsidR="0038091B" w:rsidRPr="003D38CD" w:rsidRDefault="00000000">
      <w:pPr>
        <w:pStyle w:val="FootnoteText"/>
        <w:rPr>
          <w:lang w:val="pt-BR"/>
        </w:rPr>
      </w:pPr>
      <w:r>
        <w:rPr>
          <w:rStyle w:val="FootnoteReference"/>
        </w:rPr>
        <w:footnoteRef/>
      </w:r>
      <w:r w:rsidRPr="003D38CD">
        <w:rPr>
          <w:lang w:val="pt-BR"/>
        </w:rPr>
        <w:t xml:space="preserve"> Embora, é claro, “as condições de subordinação sejam distintas e, no geral, obviamente mais favoráveis para a classe capitalista. Sejam quais forem as condições de subordinação, o fato é que trabalhadores, ocupados ou não, capitalistas, rentistas, ricos e pobres, a ninguém, nesta forma de sociedade, é dado o direito ou a liberdade de se opor ao movimento dinâmico do capital, sob a pena da perda da condição social e, no limite, física.”(Medeiros; Sá Barreto, 2013, p. 330).</w:t>
      </w:r>
    </w:p>
  </w:footnote>
  <w:footnote w:id="13">
    <w:p w14:paraId="36B8854F" w14:textId="77777777" w:rsidR="0038091B" w:rsidRPr="003D38CD" w:rsidRDefault="00000000">
      <w:pPr>
        <w:pStyle w:val="FootnoteText"/>
        <w:rPr>
          <w:lang w:val="pt-BR"/>
        </w:rPr>
      </w:pPr>
      <w:r>
        <w:rPr>
          <w:rStyle w:val="FootnoteReference"/>
        </w:rPr>
        <w:footnoteRef/>
      </w:r>
      <w:r w:rsidRPr="003D38CD">
        <w:rPr>
          <w:lang w:val="pt-BR"/>
        </w:rPr>
        <w:t xml:space="preserve"> Aliás, é com este ótimo exemplo que Telésforo (2025) inicia seu texto sobre ESG, que foi uma das principais motivações deste presente artigo.</w:t>
      </w:r>
    </w:p>
  </w:footnote>
  <w:footnote w:id="14">
    <w:p w14:paraId="5FDEE6CA" w14:textId="77777777" w:rsidR="0038091B" w:rsidRDefault="00000000">
      <w:pPr>
        <w:pStyle w:val="FootnoteText"/>
      </w:pPr>
      <w:r>
        <w:rPr>
          <w:rStyle w:val="FootnoteReference"/>
        </w:rPr>
        <w:footnoteRef/>
      </w:r>
      <w:r>
        <w:t xml:space="preserve"> Em inglês: </w:t>
      </w:r>
      <w:r>
        <w:rPr>
          <w:i/>
          <w:iCs/>
        </w:rPr>
        <w:t>Global Head of Responsible Investment</w:t>
      </w:r>
      <w:r>
        <w:t>.</w:t>
      </w:r>
    </w:p>
  </w:footnote>
  <w:footnote w:id="15">
    <w:p w14:paraId="0548AAFA" w14:textId="77777777" w:rsidR="0038091B" w:rsidRPr="003D38CD" w:rsidRDefault="00000000">
      <w:pPr>
        <w:pStyle w:val="FootnoteText"/>
        <w:rPr>
          <w:lang w:val="pt-BR"/>
        </w:rPr>
      </w:pPr>
      <w:r>
        <w:rPr>
          <w:rStyle w:val="FootnoteReference"/>
        </w:rPr>
        <w:footnoteRef/>
      </w:r>
      <w:r w:rsidRPr="003D38CD">
        <w:rPr>
          <w:lang w:val="pt-BR"/>
        </w:rPr>
        <w:t xml:space="preserve"> Tome-se em vista que a pandemia da Covid-19 “acabou” por volta do fim de 2021, e a palestra de Kirk foi em maio de 2022. Os debates de sustentabilidade haviam ganhado um novo ímpeto em função dessa crise sanitária.</w:t>
      </w:r>
    </w:p>
  </w:footnote>
  <w:footnote w:id="16">
    <w:p w14:paraId="4FD3F942" w14:textId="77777777" w:rsidR="0038091B" w:rsidRPr="003D38CD" w:rsidRDefault="00000000">
      <w:pPr>
        <w:pStyle w:val="FootnoteText"/>
        <w:rPr>
          <w:lang w:val="pt-BR"/>
        </w:rPr>
      </w:pPr>
      <w:r>
        <w:rPr>
          <w:rStyle w:val="FootnoteReference"/>
        </w:rPr>
        <w:footnoteRef/>
      </w:r>
      <w:r w:rsidRPr="003D38CD">
        <w:rPr>
          <w:lang w:val="pt-BR"/>
        </w:rPr>
        <w:t xml:space="preserve"> Demandas que vêm “da cúpula” de uma empresa, acatadas por seus subordinados.</w:t>
      </w:r>
    </w:p>
  </w:footnote>
  <w:footnote w:id="17">
    <w:p w14:paraId="120E3AE9" w14:textId="77777777" w:rsidR="0038091B" w:rsidRPr="003D38CD" w:rsidRDefault="00000000">
      <w:pPr>
        <w:pStyle w:val="FootnoteText"/>
        <w:rPr>
          <w:lang w:val="pt-BR"/>
        </w:rPr>
      </w:pPr>
      <w:r>
        <w:rPr>
          <w:rStyle w:val="FootnoteReference"/>
        </w:rPr>
        <w:footnoteRef/>
      </w:r>
      <w:r w:rsidRPr="003D38CD">
        <w:rPr>
          <w:lang w:val="pt-BR"/>
        </w:rPr>
        <w:t xml:space="preserve"> “...a realidade é que grande parte do que importa para a sociedade simplesmente não afeta o retorno de uma estratégia de investimento particular. Muitas vezes, isso se deve ao horizonte temporal do investimento subjacente: muitas estratégias têm um prazo muito curto, o que significa que as questões ESG de longo prazo não são particularmente relevantes. Às vezes, existem estratégias de dívida que possuem vários seguros e proteções [</w:t>
      </w:r>
      <w:r w:rsidRPr="003D38CD">
        <w:rPr>
          <w:i/>
          <w:iCs/>
          <w:lang w:val="pt-BR"/>
        </w:rPr>
        <w:t>insurance and protections</w:t>
      </w:r>
      <w:r w:rsidRPr="003D38CD">
        <w:rPr>
          <w:lang w:val="pt-BR"/>
        </w:rPr>
        <w:t>] e que, de qualquer forma, não se preocupam com um período posterior à data de vencimento da dívida. Na maioria das vezes, investimentos caros e de longo prazo relacionados à sustentabilidade são incertos e demoram para gerar potencial de lucro, se é que existe algum.” (Fancy, 2021, p. 15). A relevância de Tariq Fancy ao debate ESG será apresentada na sequência do texto.</w:t>
      </w:r>
    </w:p>
  </w:footnote>
  <w:footnote w:id="18">
    <w:p w14:paraId="46F6BFA1" w14:textId="77777777" w:rsidR="0038091B" w:rsidRPr="003D38CD" w:rsidRDefault="00000000">
      <w:pPr>
        <w:pStyle w:val="FootnoteText"/>
        <w:rPr>
          <w:lang w:val="pt-BR"/>
        </w:rPr>
      </w:pPr>
      <w:r>
        <w:rPr>
          <w:rStyle w:val="FootnoteReference"/>
        </w:rPr>
        <w:footnoteRef/>
      </w:r>
      <w:r w:rsidRPr="003D38CD">
        <w:rPr>
          <w:lang w:val="pt-BR"/>
        </w:rPr>
        <w:t xml:space="preserve"> Ou seja, em que todas as emissões de carbono (da empresa, neste caso) são contrabalançadas pela capacidade do planeta Terra de absorvê-las.</w:t>
      </w:r>
    </w:p>
  </w:footnote>
  <w:footnote w:id="19">
    <w:p w14:paraId="03226C2B" w14:textId="77777777" w:rsidR="0038091B" w:rsidRPr="003D38CD" w:rsidRDefault="00000000">
      <w:pPr>
        <w:pStyle w:val="FootnoteText"/>
        <w:rPr>
          <w:lang w:val="pt-BR"/>
        </w:rPr>
      </w:pPr>
      <w:r>
        <w:rPr>
          <w:rStyle w:val="FootnoteReference"/>
        </w:rPr>
        <w:footnoteRef/>
      </w:r>
      <w:r w:rsidRPr="003D38CD">
        <w:rPr>
          <w:lang w:val="pt-BR"/>
        </w:rPr>
        <w:t xml:space="preserve"> A Blackrock faz parte das empresas de gestão de ativos que comumente são chamadas de </w:t>
      </w:r>
      <w:r w:rsidRPr="003D38CD">
        <w:rPr>
          <w:i/>
          <w:iCs/>
          <w:lang w:val="pt-BR"/>
        </w:rPr>
        <w:t>Big Three</w:t>
      </w:r>
      <w:r w:rsidRPr="003D38CD">
        <w:rPr>
          <w:lang w:val="pt-BR"/>
        </w:rPr>
        <w:t>: Blackrock, Vanguard e State Street.</w:t>
      </w:r>
    </w:p>
  </w:footnote>
  <w:footnote w:id="20">
    <w:p w14:paraId="5A9C5794" w14:textId="77777777" w:rsidR="0038091B" w:rsidRPr="003D38CD" w:rsidRDefault="00000000">
      <w:pPr>
        <w:pStyle w:val="FootnoteText"/>
        <w:rPr>
          <w:lang w:val="pt-BR"/>
        </w:rPr>
      </w:pPr>
      <w:r>
        <w:rPr>
          <w:rStyle w:val="FootnoteReference"/>
        </w:rPr>
        <w:footnoteRef/>
      </w:r>
      <w:r w:rsidRPr="003D38CD">
        <w:rPr>
          <w:lang w:val="pt-BR"/>
        </w:rPr>
        <w:t xml:space="preserve"> Ironicamente, a janela temporal de sua paciência em reaver seus investimentos tem se estreitado ao longo das décadas justamente devido à crise climática. Isso se verifica, por exemplo, na maior frequência em quebras de safra devido às mudanças climáticas (O’Brien; Gutiérrez; Kirk, 2025).</w:t>
      </w:r>
    </w:p>
  </w:footnote>
  <w:footnote w:id="21">
    <w:p w14:paraId="3AD8BE2E" w14:textId="77777777" w:rsidR="0038091B" w:rsidRPr="003D38CD" w:rsidRDefault="00000000">
      <w:pPr>
        <w:pStyle w:val="FootnoteText"/>
        <w:rPr>
          <w:lang w:val="pt-BR"/>
        </w:rPr>
      </w:pPr>
      <w:r>
        <w:rPr>
          <w:rStyle w:val="FootnoteReference"/>
        </w:rPr>
        <w:footnoteRef/>
      </w:r>
      <w:r w:rsidRPr="003D38CD">
        <w:rPr>
          <w:lang w:val="pt-BR"/>
        </w:rPr>
        <w:t xml:space="preserve"> O fetichismo assume uma forma tal que estes mosquitos, por assim dizer, têm uma vida melhor que seus produtores: “Para manter a produção padronizada, os mosquitos geneticamente modificados receberam a mesma ração para peixes usada no laboratório inglês onde foram [originalmente] desenvolvidos; porém, no Brasil, tratava-se de uma marca importada e cara. Além disso, essa ração precisava ser moída duas vezes e peneirada para se transformar em um pó bem fino. Essas etapas garantiam que não se formassem torrões, permitindo uma dosagem precisa e uma dissolução mais fácil na água. Enquanto os trabalhadores envolvidos realizavam esse processo árduo e trabalhoso, Jonatan [pseudônimo de um dos trabalhadores locais nesse laboratório] comentou: ‘Toda essa ração importada e todo esse esforço para alimentá-los’. Após uma breve pausa reflexiva, balançando a cabeça, ele disse: ‘Esses mosquitos têm uma vida melhor que a minha!’.”(Reis-Castro, 2021, p. 331).</w:t>
      </w:r>
    </w:p>
  </w:footnote>
  <w:footnote w:id="22">
    <w:p w14:paraId="2804CD65" w14:textId="77777777" w:rsidR="0038091B" w:rsidRPr="003D38CD" w:rsidRDefault="00000000">
      <w:pPr>
        <w:pStyle w:val="FootnoteText"/>
        <w:rPr>
          <w:lang w:val="pt-BR"/>
        </w:rPr>
      </w:pPr>
      <w:r>
        <w:rPr>
          <w:rStyle w:val="FootnoteReference"/>
        </w:rPr>
        <w:footnoteRef/>
      </w:r>
      <w:r w:rsidRPr="003D38CD">
        <w:rPr>
          <w:lang w:val="pt-BR"/>
        </w:rPr>
        <w:t xml:space="preserve"> Ao menos segundo a visão vulgar de “capital” que o vê não como </w:t>
      </w:r>
      <w:r w:rsidRPr="003D38CD">
        <w:rPr>
          <w:i/>
          <w:iCs/>
          <w:lang w:val="pt-BR"/>
        </w:rPr>
        <w:t>processo</w:t>
      </w:r>
      <w:r w:rsidRPr="003D38CD">
        <w:rPr>
          <w:lang w:val="pt-BR"/>
        </w:rPr>
        <w:t xml:space="preserve"> (valor-que-se-autovaloriza), e sim como algo </w:t>
      </w:r>
      <w:r w:rsidRPr="003D38CD">
        <w:rPr>
          <w:i/>
          <w:iCs/>
          <w:lang w:val="pt-BR"/>
        </w:rPr>
        <w:t>estanque</w:t>
      </w:r>
      <w:r w:rsidRPr="003D38CD">
        <w:rPr>
          <w:lang w:val="pt-BR"/>
        </w:rPr>
        <w:t>: é dinheiro, é maquinaria, é conhecimento etc.</w:t>
      </w:r>
    </w:p>
  </w:footnote>
  <w:footnote w:id="23">
    <w:p w14:paraId="5B4857A2" w14:textId="77777777" w:rsidR="0038091B" w:rsidRPr="003D38CD" w:rsidRDefault="00000000">
      <w:pPr>
        <w:pStyle w:val="FootnoteText"/>
        <w:rPr>
          <w:lang w:val="pt-BR"/>
        </w:rPr>
      </w:pPr>
      <w:r>
        <w:rPr>
          <w:rStyle w:val="FootnoteReference"/>
        </w:rPr>
        <w:footnoteRef/>
      </w:r>
      <w:r w:rsidRPr="003D38CD">
        <w:rPr>
          <w:lang w:val="pt-BR"/>
        </w:rPr>
        <w:t xml:space="preserve"> Diversidade, Igualdade e Inclusão (</w:t>
      </w:r>
      <w:r w:rsidRPr="003D38CD">
        <w:rPr>
          <w:i/>
          <w:iCs/>
          <w:lang w:val="pt-BR"/>
        </w:rPr>
        <w:t>Diversity, Equity and Inclusion</w:t>
      </w:r>
      <w:r w:rsidRPr="003D38CD">
        <w:rPr>
          <w:lang w:val="pt-BR"/>
        </w:rPr>
        <w:t>).</w:t>
      </w:r>
    </w:p>
  </w:footnote>
  <w:footnote w:id="24">
    <w:p w14:paraId="0156C7AF" w14:textId="77777777" w:rsidR="0038091B" w:rsidRPr="003D38CD" w:rsidRDefault="00000000">
      <w:pPr>
        <w:pStyle w:val="FootnoteText"/>
        <w:rPr>
          <w:lang w:val="pt-BR"/>
        </w:rPr>
      </w:pPr>
      <w:r>
        <w:rPr>
          <w:rStyle w:val="FootnoteReference"/>
        </w:rPr>
        <w:footnoteRef/>
      </w:r>
      <w:r w:rsidRPr="003D38CD">
        <w:rPr>
          <w:lang w:val="pt-BR"/>
        </w:rPr>
        <w:t xml:space="preserve"> Embora, é claro, isso não seja expresso em voz alta para a sociedade civil, pois seria o mesmo que admitir que seus compromissos de longo-prazo foram minados por ameaças a curto-prazo — ou seja, seriam </w:t>
      </w:r>
      <w:r w:rsidRPr="003D38CD">
        <w:rPr>
          <w:i/>
          <w:iCs/>
          <w:lang w:val="pt-BR"/>
        </w:rPr>
        <w:t>mesmo</w:t>
      </w:r>
      <w:r w:rsidRPr="003D38CD">
        <w:rPr>
          <w:lang w:val="pt-BR"/>
        </w:rPr>
        <w:t xml:space="preserve"> compromisssos a </w:t>
      </w:r>
      <w:r w:rsidRPr="003D38CD">
        <w:rPr>
          <w:i/>
          <w:iCs/>
          <w:lang w:val="pt-BR"/>
        </w:rPr>
        <w:t>longo</w:t>
      </w:r>
      <w:r w:rsidRPr="003D38CD">
        <w:rPr>
          <w:lang w:val="pt-BR"/>
        </w:rPr>
        <w:t>-prazo se fossem tão facilmente desfeitos?</w:t>
      </w:r>
    </w:p>
  </w:footnote>
  <w:footnote w:id="25">
    <w:p w14:paraId="79373247" w14:textId="77777777" w:rsidR="0038091B" w:rsidRPr="003D38CD" w:rsidRDefault="00000000">
      <w:pPr>
        <w:pStyle w:val="FootnoteText"/>
        <w:rPr>
          <w:lang w:val="pt-BR"/>
        </w:rPr>
      </w:pPr>
      <w:r>
        <w:rPr>
          <w:rStyle w:val="FootnoteReference"/>
        </w:rPr>
        <w:footnoteRef/>
      </w:r>
      <w:r w:rsidRPr="003D38CD">
        <w:rPr>
          <w:lang w:val="pt-BR"/>
        </w:rPr>
        <w:t xml:space="preserve"> “As pessoas que tomam essas decisões de alocação de capital são treinadas para reagir rapidamente às mudanças nos rendimentos esperados e na rentabilidade das oportunidades de investimento. Se você dissesse a um gestor de portfólio para reduzir a pegada de carbono de seu portfólio, a maioria concordaria com a cabeça e diria que é importante, mas depois voltaria a alocar capital para os empreendimentos mais rentáveis — exatamente como são legalmente obrigados e financeiramente incentivados a fazer. Se, por outro lado, uma externalidade negativa for ‘internalizada’ pelo governo por meio de, digamos, um imposto sobre a poluição, reduzindo assim a rentabilidade dos grandes emissores de gases de efeito estufa, os alocadores de capital </w:t>
      </w:r>
      <w:r w:rsidRPr="003D38CD">
        <w:rPr>
          <w:i/>
          <w:iCs/>
          <w:lang w:val="pt-BR"/>
        </w:rPr>
        <w:t>automaticamente</w:t>
      </w:r>
      <w:r w:rsidRPr="003D38CD">
        <w:rPr>
          <w:lang w:val="pt-BR"/>
        </w:rPr>
        <w:t xml:space="preserve"> reagirão o mais rápido possível, alocando menos capital para essas oportunidades agora menos rentáveis.</w:t>
      </w:r>
    </w:p>
    <w:p w14:paraId="5590C65A" w14:textId="77777777" w:rsidR="0038091B" w:rsidRDefault="00000000">
      <w:pPr>
        <w:pStyle w:val="FootnoteText"/>
      </w:pPr>
      <w:r w:rsidRPr="003D38CD">
        <w:rPr>
          <w:lang w:val="pt-BR"/>
        </w:rPr>
        <w:t xml:space="preserve">A maioria dos gestores de portfólio sabe intuitivamente que tudo isso acontece. Um gerente de projetos da BlackRock foi explícito comigo: ‘Eu acredito nas mudanças climáticas. Se tivéssemos um preço para o carbono, eu reduziria minha pegada de carbono da noite para o dia — e todos os outros também. Mas não faz sentido fazer isso sozinho e me colocar em desvantagem, e não é o que eu sou legalmente obrigado a fazer ou pelo que sou pago.’” </w:t>
      </w:r>
      <w:r>
        <w:t>(Fancy, 2021, p. 24).</w:t>
      </w:r>
    </w:p>
  </w:footnote>
  <w:footnote w:id="26">
    <w:p w14:paraId="2E165A1D" w14:textId="77777777" w:rsidR="0038091B" w:rsidRPr="003D38CD" w:rsidRDefault="00000000">
      <w:pPr>
        <w:pStyle w:val="FootnoteText"/>
        <w:rPr>
          <w:lang w:val="pt-BR"/>
        </w:rPr>
      </w:pPr>
      <w:r>
        <w:rPr>
          <w:rStyle w:val="FootnoteReference"/>
        </w:rPr>
        <w:footnoteRef/>
      </w:r>
      <w:r>
        <w:t xml:space="preserve"> “</w:t>
      </w:r>
      <w:r>
        <w:rPr>
          <w:i/>
          <w:iCs/>
        </w:rPr>
        <w:t>I pray</w:t>
      </w:r>
      <w:r>
        <w:t xml:space="preserve"> to </w:t>
      </w:r>
      <w:r>
        <w:rPr>
          <w:i/>
          <w:iCs/>
        </w:rPr>
        <w:t>myself</w:t>
      </w:r>
      <w:r>
        <w:t xml:space="preserve">, for </w:t>
      </w:r>
      <w:r>
        <w:rPr>
          <w:i/>
          <w:iCs/>
        </w:rPr>
        <w:t>myself</w:t>
      </w:r>
      <w:r>
        <w:t xml:space="preserve">” (Coulter, </w:t>
      </w:r>
      <w:r>
        <w:rPr>
          <w:i/>
          <w:iCs/>
        </w:rPr>
        <w:t>[S.d.]</w:t>
      </w:r>
      <w:r>
        <w:t xml:space="preserve">) </w:t>
      </w:r>
      <w:r w:rsidRPr="003D38CD">
        <w:rPr>
          <w:lang w:val="pt-BR"/>
        </w:rPr>
        <w:t>(</w:t>
      </w:r>
      <w:r w:rsidRPr="003D38CD">
        <w:rPr>
          <w:i/>
          <w:iCs/>
          <w:lang w:val="pt-BR"/>
        </w:rPr>
        <w:t>House of Cards</w:t>
      </w:r>
      <w:r w:rsidRPr="003D38CD">
        <w:rPr>
          <w:lang w:val="pt-BR"/>
        </w:rPr>
        <w:t>, temporada 1, episódio 12).</w:t>
      </w:r>
    </w:p>
  </w:footnote>
  <w:footnote w:id="27">
    <w:p w14:paraId="2A8BE832" w14:textId="77777777" w:rsidR="0038091B" w:rsidRPr="003D38CD" w:rsidRDefault="00000000">
      <w:pPr>
        <w:pStyle w:val="FootnoteText"/>
        <w:rPr>
          <w:lang w:val="pt-BR"/>
        </w:rPr>
      </w:pPr>
      <w:r>
        <w:rPr>
          <w:rStyle w:val="FootnoteReference"/>
        </w:rPr>
        <w:footnoteRef/>
      </w:r>
      <w:r w:rsidRPr="003D38CD">
        <w:rPr>
          <w:lang w:val="pt-BR"/>
        </w:rPr>
        <w:t xml:space="preserve"> Aqui sim vale a citação original de Smith: “Não é da benevolência do açougueiro, do cervejeiro ou do padeiro que esperamos nosso jantar, mas da consideração que eles tem pelos próprios interesses. Apelamos não à sua humanidade, mas ao seu amor-próprio, e nunca falamos a eles das nossas próprias necessidades, mas das vantagens que eles podem obter.” (Smith, 1904, p. 28)</w:t>
      </w:r>
    </w:p>
  </w:footnote>
  <w:footnote w:id="28">
    <w:p w14:paraId="5457A1F3" w14:textId="77777777" w:rsidR="0038091B" w:rsidRPr="003D38CD" w:rsidRDefault="00000000">
      <w:pPr>
        <w:pStyle w:val="FootnoteText"/>
        <w:rPr>
          <w:lang w:val="pt-BR"/>
        </w:rPr>
      </w:pPr>
      <w:r>
        <w:rPr>
          <w:rStyle w:val="FootnoteReference"/>
        </w:rPr>
        <w:footnoteRef/>
      </w:r>
      <w:r w:rsidRPr="003D38CD">
        <w:rPr>
          <w:lang w:val="pt-BR"/>
        </w:rPr>
        <w:t xml:space="preserve"> Pressupondo que simplesmente não faça promessas falsas, o que não é raro.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BCAD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70CD2DE"/>
    <w:multiLevelType w:val="multilevel"/>
    <w:tmpl w:val="8040B7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95545600">
    <w:abstractNumId w:val="1"/>
  </w:num>
  <w:num w:numId="2" w16cid:durableId="169495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091B"/>
    <w:rsid w:val="00042EAF"/>
    <w:rsid w:val="0022400C"/>
    <w:rsid w:val="0038091B"/>
    <w:rsid w:val="003926FB"/>
    <w:rsid w:val="003C7F61"/>
    <w:rsid w:val="003D38CD"/>
    <w:rsid w:val="00413CDB"/>
    <w:rsid w:val="00543FC7"/>
    <w:rsid w:val="00624732"/>
    <w:rsid w:val="00663B00"/>
    <w:rsid w:val="0066712B"/>
    <w:rsid w:val="00716084"/>
    <w:rsid w:val="009B122F"/>
    <w:rsid w:val="00C567B8"/>
    <w:rsid w:val="00E1452B"/>
    <w:rsid w:val="00F519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48E5"/>
  <w15:docId w15:val="{B1681476-2069-4A65-A789-AFEE9FCA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62E1"/>
    <w:pPr>
      <w:spacing w:line="360" w:lineRule="auto"/>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3039D8"/>
    <w:pPr>
      <w:spacing w:line="240" w:lineRule="auto"/>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ackrock.com/corporate/investor-relations/2021-larry-fink-ceo-letter" TargetMode="External"/><Relationship Id="rId18" Type="http://schemas.openxmlformats.org/officeDocument/2006/relationships/hyperlink" Target="https://www.youtube.com/watch?v=bfNamRmje-s" TargetMode="External"/><Relationship Id="rId26" Type="http://schemas.openxmlformats.org/officeDocument/2006/relationships/hyperlink" Target="https://www.linkedin.com/posts/noel-quinn-hsbc_i-do-not-agree-at-all-with-the-remarks-activity-6933729465193668608-14ho/?utm_source=social_share_send&amp;utm_medium=member_desktop_web&amp;rcm=ACoAADGDblYBTpg3cdnCuk-ijUGghBmcJcxAlLc" TargetMode="External"/><Relationship Id="rId3" Type="http://schemas.openxmlformats.org/officeDocument/2006/relationships/settings" Target="settings.xml"/><Relationship Id="rId21" Type="http://schemas.openxmlformats.org/officeDocument/2006/relationships/hyperlink" Target="https://oll.libertyfund.org/titles/mill-principles-of-political-economy-ashley-ed" TargetMode="External"/><Relationship Id="rId34" Type="http://schemas.openxmlformats.org/officeDocument/2006/relationships/theme" Target="theme/theme1.xml"/><Relationship Id="rId7" Type="http://schemas.openxmlformats.org/officeDocument/2006/relationships/hyperlink" Target="https://www.bbc.com/news/business-62085294" TargetMode="External"/><Relationship Id="rId12" Type="http://schemas.openxmlformats.org/officeDocument/2006/relationships/hyperlink" Target="https://www.blackrock.com/corporate/investor-relations/2020-larry-fink-ceo-letter" TargetMode="External"/><Relationship Id="rId17" Type="http://schemas.openxmlformats.org/officeDocument/2006/relationships/hyperlink" Target="https://www.esgdive.com/news/blackrock-ends-diversity-goals-merges-dei-team-into-talent-and-culture/741391/" TargetMode="External"/><Relationship Id="rId25" Type="http://schemas.openxmlformats.org/officeDocument/2006/relationships/hyperlink" Target="https://ecgi.global/sites/default/files/Paper%3A%20Elizabeth%20Pollman.pdf"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ytimes.com/2022/05/23/business/stuart-kirk-hsbc-climate-change.html" TargetMode="External"/><Relationship Id="rId20" Type="http://schemas.openxmlformats.org/officeDocument/2006/relationships/hyperlink" Target="https://www.scielo.br/j/ecos/a/YGnKMp4ntmXV9hmHfBF5vSt/?lang=pt" TargetMode="External"/><Relationship Id="rId29" Type="http://schemas.openxmlformats.org/officeDocument/2006/relationships/hyperlink" Target="https://oll-resources.s3.us-east-2.amazonaws.com/oll3/store/titles/237/Smith_0206-01_EBk_v6.0.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boutus.ft.com/press_release/stuart-kirk-personal-finance" TargetMode="External"/><Relationship Id="rId24" Type="http://schemas.openxmlformats.org/officeDocument/2006/relationships/hyperlink" Target="https://niepmarx.com.br/index.php/MM/article/view/711" TargetMode="External"/><Relationship Id="rId32" Type="http://schemas.openxmlformats.org/officeDocument/2006/relationships/hyperlink" Target="https://www.whitehouse.gov/presidential-actions/2025/01/ending-radical-and-wasteful-government-dei-programs-and-preferencing/" TargetMode="External"/><Relationship Id="rId5" Type="http://schemas.openxmlformats.org/officeDocument/2006/relationships/footnotes" Target="footnotes.xml"/><Relationship Id="rId15" Type="http://schemas.openxmlformats.org/officeDocument/2006/relationships/hyperlink" Target="https://www.nytimes.com/1970/09/13/archives/a-friedman-doctrine-the-social-responsibility-of-business-is-to.html" TargetMode="External"/><Relationship Id="rId23" Type="http://schemas.openxmlformats.org/officeDocument/2006/relationships/hyperlink" Target="https://www.theguardian.com/environment/ng-interactive/2025/dec/18/how-climate-breakdown-is-putting-the-worlds-food-in-peril-in-maps-and-charts" TargetMode="External"/><Relationship Id="rId28" Type="http://schemas.openxmlformats.org/officeDocument/2006/relationships/hyperlink" Target="https://www.bloomberg.com/graphics/2021-what-is-esg-investing-msci-ratings-focus-on-corporate-bottom-line/" TargetMode="External"/><Relationship Id="rId10" Type="http://schemas.openxmlformats.org/officeDocument/2006/relationships/hyperlink" Target="https://www.dropbox.com/scl/fi/q1p0l13m8p3clq8f21ah2/The-Secret-Diary-of-a-Sustainable-Investor-Tariq-Fancy.pdf?dl=0&amp;e=1&amp;rlkey=2w1kfxxyudmmvs2c3kcoip6rl" TargetMode="External"/><Relationship Id="rId19" Type="http://schemas.openxmlformats.org/officeDocument/2006/relationships/hyperlink" Target="https://www.theguardian.com/business/2022/may/22/hsbc-suspends-head-of-responsible-investing-who-called-climate-warnings-shrill" TargetMode="External"/><Relationship Id="rId31" Type="http://schemas.openxmlformats.org/officeDocument/2006/relationships/hyperlink" Target="https://www.ft.com/content/8e1a16ea-bf63-45f8-81af-dc41c0df4e06" TargetMode="External"/><Relationship Id="rId4" Type="http://schemas.openxmlformats.org/officeDocument/2006/relationships/webSettings" Target="webSettings.xml"/><Relationship Id="rId9" Type="http://schemas.openxmlformats.org/officeDocument/2006/relationships/hyperlink" Target="https://www.bloomberg.com/news/articles/2025-01-09/blackrock-leaves-major-climate-group-amid-wall-street-exodus" TargetMode="External"/><Relationship Id="rId14" Type="http://schemas.openxmlformats.org/officeDocument/2006/relationships/hyperlink" Target="https://www.blackrock.com/corporate/investor-relations/2022-larry-fink-ceo-letter" TargetMode="External"/><Relationship Id="rId22" Type="http://schemas.openxmlformats.org/officeDocument/2006/relationships/hyperlink" Target="https://www.esgdive.com/news/why-climate-alliance-memberships-are-no-longer-en-vogue-for-wall-street-banks/738838/" TargetMode="External"/><Relationship Id="rId27" Type="http://schemas.openxmlformats.org/officeDocument/2006/relationships/hyperlink" Target="https://www.reuters.com/business/hsbcs-head-responsible-investing-quits-after-climate-speech-controversy-2022-07-07/" TargetMode="External"/><Relationship Id="rId30" Type="http://schemas.openxmlformats.org/officeDocument/2006/relationships/hyperlink" Target="https://documents1.worldbank.org/curated/en/280911488968799581/pdf/113237-WP-WhoCaresWins-2004.pdf" TargetMode="External"/><Relationship Id="rId8" Type="http://schemas.openxmlformats.org/officeDocument/2006/relationships/hyperlink" Target="https://youtube.com/watch?v=f_rrS-_giP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6519</Words>
  <Characters>37160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A contradição imanente da sustentabilidade corporativa</vt:lpstr>
    </vt:vector>
  </TitlesOfParts>
  <Company/>
  <LinksUpToDate>false</LinksUpToDate>
  <CharactersWithSpaces>43592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contradição imanente da sustentabilidade corporativa</dc:title>
  <dc:creator>Nicholas Funari Voltani</dc:creator>
  <cp:keywords/>
  <cp:lastModifiedBy>Nicholas Funari</cp:lastModifiedBy>
  <cp:revision>6</cp:revision>
  <dcterms:created xsi:type="dcterms:W3CDTF">2026-03-22T17:44:00Z</dcterms:created>
  <dcterms:modified xsi:type="dcterms:W3CDTF">2026-03-23T13:00:00Z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Artigo_ESG.bib</vt:lpwstr>
  </property>
  <property fmtid="{D5CDD505-2E9C-101B-9397-08002B2CF9AE}" pid="3" name="csl">
    <vt:lpwstr>../associacao-brasileira-de-normas-tecnicas.csl</vt:lpwstr>
  </property>
  <property fmtid="{D5CDD505-2E9C-101B-9397-08002B2CF9AE}" pid="4" name="date">
    <vt:lpwstr>22 de março de 2026</vt:lpwstr>
  </property>
</Properties>
</file>