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C8551" w14:textId="77777777" w:rsidR="009604FB" w:rsidRDefault="00000000">
      <w:pPr>
        <w:pStyle w:val="Heading1"/>
      </w:pPr>
      <w:bookmarkStart w:id="0" w:name="introduuxe7uxe3o"/>
      <w:r>
        <w:t>Introdução</w:t>
      </w:r>
    </w:p>
    <w:p w14:paraId="647357DB" w14:textId="77777777" w:rsidR="009604FB" w:rsidRPr="00661387" w:rsidRDefault="00000000">
      <w:pPr>
        <w:pStyle w:val="FirstParagraph"/>
        <w:rPr>
          <w:lang w:val="pt-BR"/>
        </w:rPr>
      </w:pPr>
      <w:r w:rsidRPr="00661387">
        <w:rPr>
          <w:lang w:val="pt-BR"/>
        </w:rPr>
        <w:t>Fichtner; Jaspert; Petry (2024) separam o surgimento histórico do conceito de “finanças sustentáveis” em três “fases”.</w:t>
      </w:r>
    </w:p>
    <w:p w14:paraId="37FE47D2" w14:textId="3A6DA73E" w:rsidR="009604FB" w:rsidRPr="00661387" w:rsidRDefault="00000000">
      <w:pPr>
        <w:pStyle w:val="BodyText"/>
        <w:rPr>
          <w:lang w:val="pt-BR"/>
        </w:rPr>
      </w:pPr>
      <w:r w:rsidRPr="00661387">
        <w:rPr>
          <w:lang w:val="pt-BR"/>
        </w:rPr>
        <w:t>O período que chamam de “finanças sustentáveis 1.0” surge em meio ao movimento anti-</w:t>
      </w:r>
      <w:r w:rsidRPr="00661387">
        <w:rPr>
          <w:i/>
          <w:iCs/>
          <w:lang w:val="pt-BR"/>
        </w:rPr>
        <w:t>apartheid</w:t>
      </w:r>
      <w:r w:rsidRPr="00661387">
        <w:rPr>
          <w:lang w:val="pt-BR"/>
        </w:rPr>
        <w:t xml:space="preserve"> (</w:t>
      </w:r>
      <w:r w:rsidRPr="00661387">
        <w:rPr>
          <w:i/>
          <w:iCs/>
          <w:lang w:val="pt-BR"/>
        </w:rPr>
        <w:t>circa</w:t>
      </w:r>
      <w:r w:rsidRPr="00661387">
        <w:rPr>
          <w:lang w:val="pt-BR"/>
        </w:rPr>
        <w:t xml:space="preserve"> década de 1990), em que alguns investidores europeus e estadunidenses buscaram desvincular seus investimentos na África do Sul e, em geral, “evitar exposição [financeira] a firmas anti-éticas” e “excluir parcial ou completamente firmas específicas ou setores industriais inteiros (p. ex. carvão)” (Fichtner; Jaspert; Petry, 2024, p. 482). A princípio, tais ações vieram de investidores individuais, e mesmo a alocação de capital de “fundos sustentáveis” que começ</w:t>
      </w:r>
      <w:r w:rsidR="00661387">
        <w:rPr>
          <w:lang w:val="pt-BR"/>
        </w:rPr>
        <w:t>ou</w:t>
      </w:r>
      <w:r w:rsidRPr="00661387">
        <w:rPr>
          <w:lang w:val="pt-BR"/>
        </w:rPr>
        <w:t xml:space="preserve"> a surgir neste período “era determinada principalmente pelas decisões individuais de investimento de </w:t>
      </w:r>
      <w:r w:rsidRPr="00661387">
        <w:rPr>
          <w:i/>
          <w:iCs/>
          <w:lang w:val="pt-BR"/>
        </w:rPr>
        <w:t>fund managers</w:t>
      </w:r>
      <w:r w:rsidRPr="00661387">
        <w:rPr>
          <w:lang w:val="pt-BR"/>
        </w:rPr>
        <w:t xml:space="preserve"> e não por índices de ESG” (</w:t>
      </w:r>
      <w:r w:rsidRPr="00661387">
        <w:rPr>
          <w:i/>
          <w:iCs/>
          <w:lang w:val="pt-BR"/>
        </w:rPr>
        <w:t>ibid</w:t>
      </w:r>
      <w:r w:rsidRPr="00661387">
        <w:rPr>
          <w:lang w:val="pt-BR"/>
        </w:rPr>
        <w:t>.).</w:t>
      </w:r>
    </w:p>
    <w:p w14:paraId="31162645" w14:textId="77777777" w:rsidR="009604FB" w:rsidRPr="00661387" w:rsidRDefault="00000000">
      <w:pPr>
        <w:pStyle w:val="BodyText"/>
        <w:rPr>
          <w:lang w:val="pt-BR"/>
        </w:rPr>
      </w:pPr>
      <w:r w:rsidRPr="00661387">
        <w:rPr>
          <w:lang w:val="pt-BR"/>
        </w:rPr>
        <w:t>O período de “finanças sustentáveis 2.0” se instaura com o surgimento de produtos financeiros abertos ao público em geral. Os ETFs (</w:t>
      </w:r>
      <w:r w:rsidRPr="00661387">
        <w:rPr>
          <w:i/>
          <w:iCs/>
          <w:lang w:val="pt-BR"/>
        </w:rPr>
        <w:t>exchange traded funds</w:t>
      </w:r>
      <w:r w:rsidRPr="00661387">
        <w:rPr>
          <w:lang w:val="pt-BR"/>
        </w:rPr>
        <w:t>) vinculados a índices de ESG, no começo dos anos 2000, se popularizaram justamente devido à proliferação de tais índices, em razão dos princípios de auto-governança do setor privado instigados por relatórios de sustentabilidade das Nações Unidas</w:t>
      </w:r>
      <w:r>
        <w:rPr>
          <w:rStyle w:val="FootnoteReference"/>
        </w:rPr>
        <w:footnoteReference w:id="1"/>
      </w:r>
      <w:r w:rsidRPr="00661387">
        <w:rPr>
          <w:lang w:val="pt-BR"/>
        </w:rPr>
        <w:t>. Estes produtos financeiros, que “passivamente acompanham [</w:t>
      </w:r>
      <w:r w:rsidRPr="00661387">
        <w:rPr>
          <w:i/>
          <w:iCs/>
          <w:lang w:val="pt-BR"/>
        </w:rPr>
        <w:t>passively track</w:t>
      </w:r>
      <w:r w:rsidRPr="00661387">
        <w:rPr>
          <w:lang w:val="pt-BR"/>
        </w:rPr>
        <w:t xml:space="preserve">] índices financeiros”, permitiram </w:t>
      </w:r>
      <w:r w:rsidRPr="00661387">
        <w:rPr>
          <w:i/>
          <w:iCs/>
          <w:lang w:val="pt-BR"/>
        </w:rPr>
        <w:t>fees</w:t>
      </w:r>
      <w:r w:rsidRPr="00661387">
        <w:rPr>
          <w:lang w:val="pt-BR"/>
        </w:rPr>
        <w:t xml:space="preserve"> menores que outros produtos no mercado, permitindo sua popularização para investidores de varejo</w:t>
      </w:r>
      <w:r>
        <w:rPr>
          <w:rStyle w:val="FootnoteReference"/>
        </w:rPr>
        <w:footnoteReference w:id="2"/>
      </w:r>
      <w:r w:rsidRPr="00661387">
        <w:rPr>
          <w:lang w:val="pt-BR"/>
        </w:rPr>
        <w:t xml:space="preserve"> e conquistando parcelas maiores do mercado financeiro ante investidores </w:t>
      </w:r>
      <w:r w:rsidRPr="00661387">
        <w:rPr>
          <w:lang w:val="pt-BR"/>
        </w:rPr>
        <w:lastRenderedPageBreak/>
        <w:t>institucionais. (</w:t>
      </w:r>
      <w:r w:rsidRPr="00661387">
        <w:rPr>
          <w:i/>
          <w:iCs/>
          <w:lang w:val="pt-BR"/>
        </w:rPr>
        <w:t>ibid</w:t>
      </w:r>
      <w:r w:rsidRPr="00661387">
        <w:rPr>
          <w:lang w:val="pt-BR"/>
        </w:rPr>
        <w:t xml:space="preserve">.). Neste período, em particular, a questão da “sustentabilidade” assume um caráter eminentemente capitalista: torna-se algo </w:t>
      </w:r>
      <w:r w:rsidRPr="00661387">
        <w:rPr>
          <w:i/>
          <w:iCs/>
          <w:lang w:val="pt-BR"/>
        </w:rPr>
        <w:t>naturalizante</w:t>
      </w:r>
      <w:r w:rsidRPr="00661387">
        <w:rPr>
          <w:lang w:val="pt-BR"/>
        </w:rPr>
        <w:t>, em que se observa contemplativamente as mudanças qualitativas do mundo através de índices quantitativos, portanto despolitizando questões como, por exemplo, a mudança climática. Nesta quantificação, tais características qualitativas do mundo socionatural são agora passíveis de comercialização, sendo, portanto, uma superação de um obstáculo há tanto tempo visado pelo capital, valendo a asserção de Telésforo:</w:t>
      </w:r>
    </w:p>
    <w:p w14:paraId="39C6FCE2" w14:textId="77777777" w:rsidR="009604FB" w:rsidRPr="00661387" w:rsidRDefault="00000000">
      <w:pPr>
        <w:pStyle w:val="BlockText"/>
        <w:rPr>
          <w:lang w:val="pt-BR"/>
        </w:rPr>
      </w:pPr>
      <w:r w:rsidRPr="00661387">
        <w:rPr>
          <w:lang w:val="pt-BR"/>
        </w:rPr>
        <w:t>“Em vez de agir de maneira coletiva e contestadora, os indivíduos comprometidos com uma transição ecológica justa podem se ‘engajar’ como investidores e direcionar seus recursos para um fundo ESG. Já é a financeirização não apenas da economia, do Estado e da política social, mas também do ativismo.” (Telésforo, 2025, p. 83)</w:t>
      </w:r>
    </w:p>
    <w:p w14:paraId="21E03F72" w14:textId="77777777" w:rsidR="009604FB" w:rsidRPr="00661387" w:rsidRDefault="00000000">
      <w:pPr>
        <w:pStyle w:val="FirstParagraph"/>
        <w:rPr>
          <w:lang w:val="pt-BR"/>
        </w:rPr>
      </w:pPr>
      <w:r w:rsidRPr="00661387">
        <w:rPr>
          <w:lang w:val="pt-BR"/>
        </w:rPr>
        <w:t xml:space="preserve">O objetivo deste artigo é de discutir como a questão ESG se relaciona com a ética do capital — ética no sentido que Lukács o emprega, em que é um direcionador da ação e avaliador de ações mais/menos “adequadas” a algum dado </w:t>
      </w:r>
      <w:r w:rsidRPr="00661387">
        <w:rPr>
          <w:i/>
          <w:iCs/>
          <w:lang w:val="pt-BR"/>
        </w:rPr>
        <w:t>télos</w:t>
      </w:r>
      <w:r w:rsidRPr="00661387">
        <w:rPr>
          <w:lang w:val="pt-BR"/>
        </w:rPr>
        <w:t xml:space="preserve"> (Medeiros, 2013; </w:t>
      </w:r>
      <w:r w:rsidRPr="00661387">
        <w:rPr>
          <w:b/>
          <w:bCs/>
          <w:lang w:val="pt-BR"/>
        </w:rPr>
        <w:t>Lukacs2012?</w:t>
      </w:r>
      <w:r w:rsidRPr="00661387">
        <w:rPr>
          <w:lang w:val="pt-BR"/>
        </w:rPr>
        <w:t xml:space="preserve">; </w:t>
      </w:r>
      <w:r w:rsidRPr="00661387">
        <w:rPr>
          <w:b/>
          <w:bCs/>
          <w:lang w:val="pt-BR"/>
        </w:rPr>
        <w:t>Lukacs2013?</w:t>
      </w:r>
      <w:r w:rsidRPr="00661387">
        <w:rPr>
          <w:lang w:val="pt-BR"/>
        </w:rPr>
        <w:t xml:space="preserve">). A discussão se dará de um nível mais abstrato a um nível mais concreto: primeiro, uma visão sobre a finalidade primeira do capital — sua autovalorização — e como isso induz uma ética imanente a seu movimento; depois, como esta ética imanente não só induz as ações dos indivíduos, como penetra em suas subjetividades e visões de mundo — sempre, porém, ou de maneira conivente ao </w:t>
      </w:r>
      <w:r w:rsidRPr="00661387">
        <w:rPr>
          <w:i/>
          <w:iCs/>
          <w:lang w:val="pt-BR"/>
        </w:rPr>
        <w:t>télos</w:t>
      </w:r>
      <w:r w:rsidRPr="00661387">
        <w:rPr>
          <w:lang w:val="pt-BR"/>
        </w:rPr>
        <w:t xml:space="preserve"> do capital, ou contrário ao capital e restrito, pela hegemonia dele, em seu escopo de ação. Verificar-se-á, por fim, como o discurso do ESG — a sustentabilidade cooptada pelo capital — é, no melhor dos casos, mistificador, e, no pior dos casos, </w:t>
      </w:r>
      <w:r w:rsidRPr="00661387">
        <w:rPr>
          <w:i/>
          <w:iCs/>
          <w:lang w:val="pt-BR"/>
        </w:rPr>
        <w:t>greenwashing</w:t>
      </w:r>
      <w:r w:rsidRPr="00661387">
        <w:rPr>
          <w:lang w:val="pt-BR"/>
        </w:rPr>
        <w:t>, isto é, ludibriador, pretende ser sustentável sem sê-lo.</w:t>
      </w:r>
    </w:p>
    <w:p w14:paraId="32EECDFC" w14:textId="77777777" w:rsidR="009604FB" w:rsidRPr="00661387" w:rsidRDefault="00000000">
      <w:pPr>
        <w:pStyle w:val="BodyText"/>
        <w:rPr>
          <w:lang w:val="pt-BR"/>
        </w:rPr>
      </w:pPr>
      <w:r w:rsidRPr="00661387">
        <w:rPr>
          <w:lang w:val="pt-BR"/>
        </w:rPr>
        <w:t>Antes disso, porém, é pertinente ver algum exemplo de como o fenômeno ESG aparece a nós antes de adentrarmos na explicação de sua essência.</w:t>
      </w:r>
    </w:p>
    <w:p w14:paraId="0E6100A9" w14:textId="77777777" w:rsidR="009604FB" w:rsidRPr="00661387" w:rsidRDefault="00000000">
      <w:pPr>
        <w:pStyle w:val="Heading1"/>
        <w:rPr>
          <w:lang w:val="pt-BR"/>
        </w:rPr>
      </w:pPr>
      <w:bookmarkStart w:id="1" w:name="X98f742390b2a6695c15ac71649c2e1d02060dfb"/>
      <w:bookmarkEnd w:id="0"/>
      <w:r w:rsidRPr="00661387">
        <w:rPr>
          <w:lang w:val="pt-BR"/>
        </w:rPr>
        <w:t>A dissonância cognitiva do trabalhador corporativo</w:t>
      </w:r>
    </w:p>
    <w:p w14:paraId="3A630B24" w14:textId="77777777" w:rsidR="009604FB" w:rsidRPr="00661387" w:rsidRDefault="00000000">
      <w:pPr>
        <w:pStyle w:val="FirstParagraph"/>
        <w:rPr>
          <w:lang w:val="pt-BR"/>
        </w:rPr>
      </w:pPr>
      <w:r w:rsidRPr="00661387">
        <w:rPr>
          <w:lang w:val="pt-BR"/>
        </w:rPr>
        <w:t>Em 19 de maio de 2022, o então “líder global de investimentos responsáveis” (</w:t>
      </w:r>
      <w:r w:rsidRPr="00661387">
        <w:rPr>
          <w:i/>
          <w:iCs/>
          <w:lang w:val="pt-BR"/>
        </w:rPr>
        <w:t>Global Head of Responsible Investment</w:t>
      </w:r>
      <w:r w:rsidRPr="00661387">
        <w:rPr>
          <w:lang w:val="pt-BR"/>
        </w:rPr>
        <w:t>) pela HSBC Asset Management, Stuart Kirk, deu uma palestra entitulada “Por que investidores não precisam temer riscos climáticos” (</w:t>
      </w:r>
      <w:r w:rsidRPr="00661387">
        <w:rPr>
          <w:i/>
          <w:iCs/>
          <w:lang w:val="pt-BR"/>
        </w:rPr>
        <w:t>Why Investors Shouldn’t Fear Climate Risk</w:t>
      </w:r>
      <w:r w:rsidRPr="00661387">
        <w:rPr>
          <w:lang w:val="pt-BR"/>
        </w:rPr>
        <w:t xml:space="preserve">) </w:t>
      </w:r>
      <w:r w:rsidRPr="00661387">
        <w:rPr>
          <w:lang w:val="pt-BR"/>
        </w:rPr>
        <w:lastRenderedPageBreak/>
        <w:t>(Kirk, 2022) — em um evento do Financial Times chamado “</w:t>
      </w:r>
      <w:r w:rsidRPr="00661387">
        <w:rPr>
          <w:i/>
          <w:iCs/>
          <w:lang w:val="pt-BR"/>
        </w:rPr>
        <w:t>FT Moral Money Summit</w:t>
      </w:r>
      <w:r w:rsidRPr="00661387">
        <w:rPr>
          <w:lang w:val="pt-BR"/>
        </w:rPr>
        <w:t>”, sobre investimentos sustentáveis e, em particular, riscos climáticos.</w:t>
      </w:r>
      <w:r>
        <w:rPr>
          <w:rStyle w:val="FootnoteReference"/>
        </w:rPr>
        <w:footnoteReference w:id="3"/>
      </w:r>
    </w:p>
    <w:p w14:paraId="04AF4351" w14:textId="77777777" w:rsidR="009604FB" w:rsidRPr="00661387" w:rsidRDefault="00000000">
      <w:pPr>
        <w:pStyle w:val="BodyText"/>
        <w:rPr>
          <w:lang w:val="pt-BR"/>
        </w:rPr>
      </w:pPr>
      <w:r w:rsidRPr="00661387">
        <w:rPr>
          <w:lang w:val="pt-BR"/>
        </w:rPr>
        <w:t>Nessa palestra, Kirk argumenta sobre os “exageros” com que a crise climática tem sido abordada no meio financeiro à época</w:t>
      </w:r>
      <w:r>
        <w:rPr>
          <w:rStyle w:val="FootnoteReference"/>
        </w:rPr>
        <w:footnoteReference w:id="4"/>
      </w:r>
      <w:r w:rsidRPr="00661387">
        <w:rPr>
          <w:lang w:val="pt-BR"/>
        </w:rPr>
        <w:t xml:space="preserve">, destacando que as demandas </w:t>
      </w:r>
      <w:r w:rsidRPr="00661387">
        <w:rPr>
          <w:i/>
          <w:iCs/>
          <w:lang w:val="pt-BR"/>
        </w:rPr>
        <w:t>top-down</w:t>
      </w:r>
      <w:r w:rsidRPr="00661387">
        <w:rPr>
          <w:lang w:val="pt-BR"/>
        </w:rPr>
        <w:t xml:space="preserve"> de “precificação de riscos climáticos” não possuem tanto impacto em </w:t>
      </w:r>
      <w:r w:rsidRPr="00661387">
        <w:rPr>
          <w:i/>
          <w:iCs/>
          <w:lang w:val="pt-BR"/>
        </w:rPr>
        <w:t>valuations</w:t>
      </w:r>
      <w:r w:rsidRPr="00661387">
        <w:rPr>
          <w:lang w:val="pt-BR"/>
        </w:rPr>
        <w:t xml:space="preserve"> de produtos financeiros, posto que tratam-se de riscos a longo prazo (na ordem de décadas).</w:t>
      </w:r>
      <w:r>
        <w:rPr>
          <w:rStyle w:val="FootnoteReference"/>
        </w:rPr>
        <w:footnoteReference w:id="5"/>
      </w:r>
      <w:r w:rsidRPr="00661387">
        <w:rPr>
          <w:lang w:val="pt-BR"/>
        </w:rPr>
        <w:t xml:space="preserve"> Dentre suas falas ácidas e diretas, porém, a que mais ganhou atenção das manchetes de notícias foi quando ele fala que</w:t>
      </w:r>
    </w:p>
    <w:p w14:paraId="52B628BB" w14:textId="77777777" w:rsidR="009604FB" w:rsidRDefault="00000000">
      <w:pPr>
        <w:pStyle w:val="BlockText"/>
      </w:pPr>
      <w:r w:rsidRPr="00661387">
        <w:rPr>
          <w:lang w:val="pt-BR"/>
        </w:rPr>
        <w:t xml:space="preserve">“Quem liga se Miami ficará seis metros abaixo d’água em 100 anos? Amsterdã tem estado debaixo de 6 metros d’água por eras e é um bom lugar. </w:t>
      </w:r>
      <w:r>
        <w:t>Nós lidaremos com isso [</w:t>
      </w:r>
      <w:r>
        <w:rPr>
          <w:i/>
          <w:iCs/>
        </w:rPr>
        <w:t>We will cope with it</w:t>
      </w:r>
      <w:r>
        <w:t>].” (Kirk, 2022, p. 07:05)</w:t>
      </w:r>
    </w:p>
    <w:p w14:paraId="31457184" w14:textId="77777777" w:rsidR="009604FB" w:rsidRPr="00661387" w:rsidRDefault="00000000">
      <w:pPr>
        <w:pStyle w:val="FirstParagraph"/>
        <w:rPr>
          <w:lang w:val="pt-BR"/>
        </w:rPr>
      </w:pPr>
      <w:r w:rsidRPr="00661387">
        <w:rPr>
          <w:lang w:val="pt-BR"/>
        </w:rPr>
        <w:t xml:space="preserve">Kirk deu sua palestra numa quinta-feira. Dois dias depois, em 21/05/2022 (sábado), o CEO do grupo HSBC expressou em seu Linkedin que “não concorda — em absoluto — com os comentários feitos no </w:t>
      </w:r>
      <w:r w:rsidRPr="00661387">
        <w:rPr>
          <w:i/>
          <w:iCs/>
          <w:lang w:val="pt-BR"/>
        </w:rPr>
        <w:t>FT Moral Money Summit</w:t>
      </w:r>
      <w:r w:rsidRPr="00661387">
        <w:rPr>
          <w:lang w:val="pt-BR"/>
        </w:rPr>
        <w:t xml:space="preserve"> da semana passada” e reiterou os compromissos do HSBC com “um futuro </w:t>
      </w:r>
      <w:r w:rsidRPr="00661387">
        <w:rPr>
          <w:i/>
          <w:iCs/>
          <w:lang w:val="pt-BR"/>
        </w:rPr>
        <w:t>net-zero</w:t>
      </w:r>
      <w:r>
        <w:rPr>
          <w:rStyle w:val="FootnoteReference"/>
        </w:rPr>
        <w:footnoteReference w:id="6"/>
      </w:r>
      <w:r w:rsidRPr="00661387">
        <w:rPr>
          <w:lang w:val="pt-BR"/>
        </w:rPr>
        <w:t xml:space="preserve">” e sua ambição em “ser o banco a liderar o apoio da economia global na transição ao </w:t>
      </w:r>
      <w:r w:rsidRPr="00661387">
        <w:rPr>
          <w:i/>
          <w:iCs/>
          <w:lang w:val="pt-BR"/>
        </w:rPr>
        <w:t>net-zero</w:t>
      </w:r>
      <w:r w:rsidRPr="00661387">
        <w:rPr>
          <w:lang w:val="pt-BR"/>
        </w:rPr>
        <w:t xml:space="preserve">” (Quinn, 2025). No dia após (22/05/2022 — domingo!), Stuart Kirk é suspenso de seu cargo por conta dos comentários em sua palestra (Makortoff, 2022); é irônico, pois uma matéria do próprio Financial Times, o qual foi o anfitrião do evento em que Kirk palestrou, alega que “o tema e o conteúdo [dessa palestra] já haviam sido definidos internamente antes do pronunciamento de Kirk na </w:t>
      </w:r>
      <w:r w:rsidRPr="00661387">
        <w:rPr>
          <w:lang w:val="pt-BR"/>
        </w:rPr>
        <w:lastRenderedPageBreak/>
        <w:t xml:space="preserve">quinta-feira, de acordo com pessoas com conhecimento do planejamento do evento” e que “o título da apresentação […] havia sido definido dois meses antes e divulgado no site em preparação para o evento.” (Walker, 2022). No dia 7 de julho, meses depois de sua palestra, Stuart Kirk pede demissão da HSBC (Reuters, 2022). Em novembro, quatro meses depois, ele é contratado </w:t>
      </w:r>
      <w:r w:rsidRPr="00661387">
        <w:rPr>
          <w:i/>
          <w:iCs/>
          <w:lang w:val="pt-BR"/>
        </w:rPr>
        <w:t>pelo próprio Financial Times</w:t>
      </w:r>
      <w:r w:rsidRPr="00661387">
        <w:rPr>
          <w:lang w:val="pt-BR"/>
        </w:rPr>
        <w:t xml:space="preserve"> (Financial Times, 2022)!</w:t>
      </w:r>
    </w:p>
    <w:p w14:paraId="502097CA" w14:textId="77777777" w:rsidR="009604FB" w:rsidRPr="00661387" w:rsidRDefault="00000000">
      <w:pPr>
        <w:pStyle w:val="BodyText"/>
        <w:rPr>
          <w:lang w:val="pt-BR"/>
        </w:rPr>
      </w:pPr>
      <w:r w:rsidRPr="00661387">
        <w:rPr>
          <w:lang w:val="pt-BR"/>
        </w:rPr>
        <w:t xml:space="preserve">O motivo de apontar toda essa cronologia é de argumentar que as falas de Kirk não foram meramente “negacionismo climático” ou “ganância corporativa”, como divulgado pela mídia (Gross, 2022; Makortoff, 2022), e sim que apontam para algo mais profundo, evidenciado pelo fato de o Financial Times — um jornal respeitado no meio financeiro, que se esperaria que teria sido lesado pela “má reputação” de Kirk — tê-lo contratado como colunista mesmo depois de toda essa </w:t>
      </w:r>
      <w:r w:rsidRPr="00661387">
        <w:rPr>
          <w:i/>
          <w:iCs/>
          <w:lang w:val="pt-BR"/>
        </w:rPr>
        <w:t>débâcle</w:t>
      </w:r>
      <w:r w:rsidRPr="00661387">
        <w:rPr>
          <w:lang w:val="pt-BR"/>
        </w:rPr>
        <w:t xml:space="preserve">. Os argumentos que ele faz em sua palestra são fundamentados em dados, não são um mero negacionismo “ideológico”. Uma fala interessante que ele faz é que o “Nosso prazo médio de empréstimo [da HSBC] é 6 anos. O que acontece com o planeta no 7º ano é irrelevante para nossa carteira de crédito” (Kirk, 2022, p. 11:05) — seu discurso não se trata da crise climática, e sim sobre </w:t>
      </w:r>
      <w:r w:rsidRPr="00661387">
        <w:rPr>
          <w:i/>
          <w:iCs/>
          <w:lang w:val="pt-BR"/>
        </w:rPr>
        <w:t>o meio financeiro</w:t>
      </w:r>
      <w:r w:rsidRPr="00661387">
        <w:rPr>
          <w:lang w:val="pt-BR"/>
        </w:rPr>
        <w:t xml:space="preserve">. O que discutiu sobre “riscos climáticos”, o suposto tema do evento em que palestrou, sempre remeteu ao seu impacto </w:t>
      </w:r>
      <w:r w:rsidRPr="00661387">
        <w:rPr>
          <w:i/>
          <w:iCs/>
          <w:lang w:val="pt-BR"/>
        </w:rPr>
        <w:t>no que tange às finanças</w:t>
      </w:r>
      <w:r w:rsidRPr="00661387">
        <w:rPr>
          <w:lang w:val="pt-BR"/>
        </w:rPr>
        <w:t xml:space="preserve"> (e, em particular, em suas precificações).</w:t>
      </w:r>
    </w:p>
    <w:p w14:paraId="0D6BFB20" w14:textId="77777777" w:rsidR="009604FB" w:rsidRPr="00661387" w:rsidRDefault="00000000">
      <w:pPr>
        <w:pStyle w:val="BodyText"/>
        <w:rPr>
          <w:lang w:val="pt-BR"/>
        </w:rPr>
      </w:pPr>
      <w:r w:rsidRPr="00661387">
        <w:rPr>
          <w:lang w:val="pt-BR"/>
        </w:rPr>
        <w:t>Feita esta introdução, discutamos sobre a ética do capital, que condiciona as ações daqueles que por ele trabalham, sejam capitalistas ou trabalhadores assalariados.</w:t>
      </w:r>
    </w:p>
    <w:p w14:paraId="028DACD5" w14:textId="77777777" w:rsidR="009604FB" w:rsidRPr="00661387" w:rsidRDefault="00000000">
      <w:pPr>
        <w:pStyle w:val="Heading1"/>
        <w:rPr>
          <w:lang w:val="pt-BR"/>
        </w:rPr>
      </w:pPr>
      <w:bookmarkStart w:id="2" w:name="a-uxe9tica-do-capital"/>
      <w:bookmarkEnd w:id="1"/>
      <w:r w:rsidRPr="00661387">
        <w:rPr>
          <w:lang w:val="pt-BR"/>
        </w:rPr>
        <w:t>A ética do capital</w:t>
      </w:r>
    </w:p>
    <w:p w14:paraId="102C0F52" w14:textId="77777777" w:rsidR="009604FB" w:rsidRPr="00661387" w:rsidRDefault="00000000">
      <w:pPr>
        <w:pStyle w:val="Heading1"/>
        <w:rPr>
          <w:lang w:val="pt-BR"/>
        </w:rPr>
      </w:pPr>
      <w:bookmarkStart w:id="3" w:name="a-doutrina-friedman"/>
      <w:bookmarkEnd w:id="2"/>
      <w:r w:rsidRPr="00661387">
        <w:rPr>
          <w:lang w:val="pt-BR"/>
        </w:rPr>
        <w:t>A doutrina Friedman</w:t>
      </w:r>
    </w:p>
    <w:p w14:paraId="05546927" w14:textId="77777777" w:rsidR="009604FB" w:rsidRPr="00661387" w:rsidRDefault="00000000">
      <w:pPr>
        <w:pStyle w:val="Heading1"/>
        <w:rPr>
          <w:lang w:val="pt-BR"/>
        </w:rPr>
      </w:pPr>
      <w:bookmarkStart w:id="4" w:name="X234c276645f8fad5546a0f7e0ab9503ed9ea201"/>
      <w:bookmarkEnd w:id="3"/>
      <w:r w:rsidRPr="00661387">
        <w:rPr>
          <w:lang w:val="pt-BR"/>
        </w:rPr>
        <w:t>A despolitização da sustentabilidade</w:t>
      </w:r>
    </w:p>
    <w:p w14:paraId="1252B5AB" w14:textId="77777777" w:rsidR="009604FB" w:rsidRDefault="00000000">
      <w:pPr>
        <w:pStyle w:val="Bibliography"/>
      </w:pPr>
      <w:bookmarkStart w:id="5" w:name="ref-Fichtner2024"/>
      <w:bookmarkStart w:id="6" w:name="refs"/>
      <w:r w:rsidRPr="00661387">
        <w:rPr>
          <w:lang w:val="pt-BR"/>
        </w:rPr>
        <w:t xml:space="preserve">FICHTNER, Jan; JASPERT, Robin; PETRY, Johannes. </w:t>
      </w:r>
      <w:hyperlink r:id="rId7">
        <w:r>
          <w:rPr>
            <w:rStyle w:val="Hyperlink"/>
          </w:rPr>
          <w:t>Mind the ESG Capital Allocation Gap: The Role of Index Providers, Standard-setting, and "Green" Indices for the Creation of Sustainability Impact</w:t>
        </w:r>
      </w:hyperlink>
      <w:r>
        <w:t xml:space="preserve">. </w:t>
      </w:r>
      <w:r>
        <w:rPr>
          <w:b/>
          <w:bCs/>
        </w:rPr>
        <w:t>Regulation &amp; Governance</w:t>
      </w:r>
      <w:r>
        <w:t>, v. 18, n. 2, p. 479–498, abr. 2024.</w:t>
      </w:r>
    </w:p>
    <w:p w14:paraId="0A1012F4" w14:textId="77777777" w:rsidR="009604FB" w:rsidRDefault="00000000">
      <w:pPr>
        <w:pStyle w:val="Bibliography"/>
      </w:pPr>
      <w:bookmarkStart w:id="7" w:name="ref-FinancialTimes2022"/>
      <w:bookmarkEnd w:id="5"/>
      <w:r>
        <w:t xml:space="preserve">FINANCIAL TIMES. </w:t>
      </w:r>
      <w:r>
        <w:rPr>
          <w:b/>
          <w:bCs/>
        </w:rPr>
        <w:t>Financial Times Appoints Stuart Kirk as Investment Columnist, Expands Personal Finance Coverage</w:t>
      </w:r>
      <w:r>
        <w:t xml:space="preserve">., nov. 2022. </w:t>
      </w:r>
      <w:r w:rsidRPr="00661387">
        <w:rPr>
          <w:lang w:val="pt-BR"/>
        </w:rPr>
        <w:t>Disponível em: &lt;</w:t>
      </w:r>
      <w:hyperlink r:id="rId8">
        <w:r w:rsidRPr="00661387">
          <w:rPr>
            <w:rStyle w:val="Hyperlink"/>
            <w:lang w:val="pt-BR"/>
          </w:rPr>
          <w:t>https://aboutus.ft.com/press_release/stuart-kirk-personal-finance</w:t>
        </w:r>
      </w:hyperlink>
      <w:r w:rsidRPr="00661387">
        <w:rPr>
          <w:lang w:val="pt-BR"/>
        </w:rPr>
        <w:t xml:space="preserve">&gt;. </w:t>
      </w:r>
      <w:r>
        <w:t>Acesso em: 31 jan. 2026</w:t>
      </w:r>
    </w:p>
    <w:p w14:paraId="25B3C61A" w14:textId="77777777" w:rsidR="009604FB" w:rsidRDefault="00000000">
      <w:pPr>
        <w:pStyle w:val="Bibliography"/>
      </w:pPr>
      <w:bookmarkStart w:id="8" w:name="ref-Gross2022"/>
      <w:bookmarkEnd w:id="7"/>
      <w:r>
        <w:lastRenderedPageBreak/>
        <w:t xml:space="preserve">GROSS, Jenny. </w:t>
      </w:r>
      <w:hyperlink r:id="rId9">
        <w:r>
          <w:rPr>
            <w:rStyle w:val="Hyperlink"/>
          </w:rPr>
          <w:t>HSBC Distances Itself from Comments by an Executive Downplaying Climate Risks.</w:t>
        </w:r>
      </w:hyperlink>
      <w:r>
        <w:t xml:space="preserve"> </w:t>
      </w:r>
      <w:r>
        <w:rPr>
          <w:b/>
          <w:bCs/>
        </w:rPr>
        <w:t>The New York Times</w:t>
      </w:r>
      <w:r>
        <w:t>, 2022.</w:t>
      </w:r>
    </w:p>
    <w:p w14:paraId="7CC39468" w14:textId="77777777" w:rsidR="009604FB" w:rsidRDefault="00000000">
      <w:pPr>
        <w:pStyle w:val="Bibliography"/>
      </w:pPr>
      <w:bookmarkStart w:id="9" w:name="ref-Kirk2022"/>
      <w:bookmarkEnd w:id="8"/>
      <w:r>
        <w:t xml:space="preserve">KIRK, Stuart. </w:t>
      </w:r>
      <w:r>
        <w:rPr>
          <w:b/>
          <w:bCs/>
        </w:rPr>
        <w:t>HSBC’s Stuart Kirk: Why Investors Shouldn’t Fear Climate Risk  FT Moral Money Summit Europe</w:t>
      </w:r>
      <w:r>
        <w:t xml:space="preserve">. </w:t>
      </w:r>
      <w:r w:rsidRPr="00661387">
        <w:rPr>
          <w:b/>
          <w:bCs/>
          <w:lang w:val="pt-BR"/>
        </w:rPr>
        <w:t>YouTube</w:t>
      </w:r>
      <w:r w:rsidRPr="00661387">
        <w:rPr>
          <w:lang w:val="pt-BR"/>
        </w:rPr>
        <w:t>, 2022. Disponível em: &lt;</w:t>
      </w:r>
      <w:hyperlink r:id="rId10">
        <w:r w:rsidRPr="00661387">
          <w:rPr>
            <w:rStyle w:val="Hyperlink"/>
            <w:lang w:val="pt-BR"/>
          </w:rPr>
          <w:t>https://www.youtube.com/watch?v=bfNamRmje-s</w:t>
        </w:r>
      </w:hyperlink>
      <w:r w:rsidRPr="00661387">
        <w:rPr>
          <w:lang w:val="pt-BR"/>
        </w:rPr>
        <w:t xml:space="preserve">&gt;. </w:t>
      </w:r>
      <w:r>
        <w:t>Acesso em: 30 jan. 2026</w:t>
      </w:r>
    </w:p>
    <w:p w14:paraId="76214620" w14:textId="77777777" w:rsidR="009604FB" w:rsidRPr="00661387" w:rsidRDefault="00000000">
      <w:pPr>
        <w:pStyle w:val="Bibliography"/>
        <w:rPr>
          <w:lang w:val="pt-BR"/>
        </w:rPr>
      </w:pPr>
      <w:bookmarkStart w:id="10" w:name="ref-Makortoff2022"/>
      <w:bookmarkEnd w:id="9"/>
      <w:r>
        <w:t xml:space="preserve">MAKORTOFF, Kalyeena. </w:t>
      </w:r>
      <w:hyperlink r:id="rId11">
        <w:r>
          <w:rPr>
            <w:rStyle w:val="Hyperlink"/>
          </w:rPr>
          <w:t>HSBC Suspends Head of Responsible Investing Who Called Climate Warnings “Shrill”</w:t>
        </w:r>
      </w:hyperlink>
      <w:r>
        <w:t xml:space="preserve">. </w:t>
      </w:r>
      <w:r w:rsidRPr="00661387">
        <w:rPr>
          <w:b/>
          <w:bCs/>
          <w:lang w:val="pt-BR"/>
        </w:rPr>
        <w:t>The Guardian</w:t>
      </w:r>
      <w:r w:rsidRPr="00661387">
        <w:rPr>
          <w:lang w:val="pt-BR"/>
        </w:rPr>
        <w:t>, 2022.</w:t>
      </w:r>
    </w:p>
    <w:p w14:paraId="758C2CA3" w14:textId="77777777" w:rsidR="009604FB" w:rsidRPr="00661387" w:rsidRDefault="00000000">
      <w:pPr>
        <w:pStyle w:val="Bibliography"/>
        <w:rPr>
          <w:lang w:val="pt-BR"/>
        </w:rPr>
      </w:pPr>
      <w:bookmarkStart w:id="11" w:name="ref-Medeiros2013"/>
      <w:bookmarkEnd w:id="10"/>
      <w:r w:rsidRPr="00661387">
        <w:rPr>
          <w:lang w:val="pt-BR"/>
        </w:rPr>
        <w:t xml:space="preserve">MEDEIROS, João Leonardo. </w:t>
      </w:r>
      <w:r w:rsidRPr="00661387">
        <w:rPr>
          <w:b/>
          <w:bCs/>
          <w:lang w:val="pt-BR"/>
        </w:rPr>
        <w:t>A Economia Diante Do Horror Econômico: Uma Crítica Ontológica Dos Surtos de Altruísmo Da Ciência Econômica</w:t>
      </w:r>
      <w:r w:rsidRPr="00661387">
        <w:rPr>
          <w:lang w:val="pt-BR"/>
        </w:rPr>
        <w:t>. Niterói: Editora da UFF, 2013.</w:t>
      </w:r>
    </w:p>
    <w:p w14:paraId="1D996287" w14:textId="77777777" w:rsidR="009604FB" w:rsidRDefault="00000000">
      <w:pPr>
        <w:pStyle w:val="Bibliography"/>
      </w:pPr>
      <w:bookmarkStart w:id="12" w:name="ref-25PublicacaoLinkedIn"/>
      <w:bookmarkEnd w:id="11"/>
      <w:r w:rsidRPr="00661387">
        <w:rPr>
          <w:lang w:val="pt-BR"/>
        </w:rPr>
        <w:t xml:space="preserve">QUINN, Noel. </w:t>
      </w:r>
      <w:r w:rsidRPr="00661387">
        <w:rPr>
          <w:b/>
          <w:bCs/>
          <w:lang w:val="pt-BR"/>
        </w:rPr>
        <w:t>Publicação  LinkedIn</w:t>
      </w:r>
      <w:r w:rsidRPr="00661387">
        <w:rPr>
          <w:lang w:val="pt-BR"/>
        </w:rPr>
        <w:t xml:space="preserve">. </w:t>
      </w:r>
      <w:r w:rsidRPr="00661387">
        <w:rPr>
          <w:b/>
          <w:bCs/>
          <w:lang w:val="pt-BR"/>
        </w:rPr>
        <w:t>Linkedin</w:t>
      </w:r>
      <w:r w:rsidRPr="00661387">
        <w:rPr>
          <w:lang w:val="pt-BR"/>
        </w:rPr>
        <w:t>, 2025. Disponível em: &lt;</w:t>
      </w:r>
      <w:hyperlink r:id="rId12">
        <w:r w:rsidRPr="00661387">
          <w:rPr>
            <w:rStyle w:val="Hyperlink"/>
            <w:lang w:val="pt-BR"/>
          </w:rPr>
          <w:t>https://www.linkedin.com/posts/noel-quinn-hsbc_i-do-not-agree-at-all-with-the-remarks-activity-6933729465193668608-14ho/?utm_source=social_share_send&amp;utm_medium=member_desktop_web&amp;rcm=ACoAADGDblYBTpg3cdnCuk-ijUGghBmcJcxAlLc</w:t>
        </w:r>
      </w:hyperlink>
      <w:r w:rsidRPr="00661387">
        <w:rPr>
          <w:lang w:val="pt-BR"/>
        </w:rPr>
        <w:t xml:space="preserve">&gt;. </w:t>
      </w:r>
      <w:r>
        <w:t>Acesso em: 2 mar. 2026</w:t>
      </w:r>
    </w:p>
    <w:p w14:paraId="20658B85" w14:textId="77777777" w:rsidR="009604FB" w:rsidRPr="00661387" w:rsidRDefault="00000000">
      <w:pPr>
        <w:pStyle w:val="Bibliography"/>
        <w:rPr>
          <w:lang w:val="pt-BR"/>
        </w:rPr>
      </w:pPr>
      <w:bookmarkStart w:id="13" w:name="ref-Reuters2022"/>
      <w:bookmarkEnd w:id="12"/>
      <w:r>
        <w:t xml:space="preserve">REUTERS. </w:t>
      </w:r>
      <w:hyperlink r:id="rId13">
        <w:r>
          <w:rPr>
            <w:rStyle w:val="Hyperlink"/>
          </w:rPr>
          <w:t>HSBC’s Head of Responsible Investing Quits after Climate Speech Controversy</w:t>
        </w:r>
      </w:hyperlink>
      <w:r>
        <w:t xml:space="preserve">. </w:t>
      </w:r>
      <w:r w:rsidRPr="00661387">
        <w:rPr>
          <w:b/>
          <w:bCs/>
          <w:lang w:val="pt-BR"/>
        </w:rPr>
        <w:t>Reuters</w:t>
      </w:r>
      <w:r w:rsidRPr="00661387">
        <w:rPr>
          <w:lang w:val="pt-BR"/>
        </w:rPr>
        <w:t>, jul. 2022.</w:t>
      </w:r>
    </w:p>
    <w:p w14:paraId="72A622D0" w14:textId="77777777" w:rsidR="009604FB" w:rsidRDefault="00000000">
      <w:pPr>
        <w:pStyle w:val="Bibliography"/>
      </w:pPr>
      <w:bookmarkStart w:id="14" w:name="ref-Telesforo2025"/>
      <w:bookmarkEnd w:id="13"/>
      <w:r w:rsidRPr="00661387">
        <w:rPr>
          <w:lang w:val="pt-BR"/>
        </w:rPr>
        <w:t xml:space="preserve">TELÉSFORO, João. Confissões do capitalismo "verde": lucrando com a tragédia climática e com placebos ESG. </w:t>
      </w:r>
      <w:r w:rsidRPr="00661387">
        <w:rPr>
          <w:i/>
          <w:iCs/>
          <w:lang w:val="pt-BR"/>
        </w:rPr>
        <w:t>In</w:t>
      </w:r>
      <w:r w:rsidRPr="00661387">
        <w:rPr>
          <w:lang w:val="pt-BR"/>
        </w:rPr>
        <w:t xml:space="preserve">: LUEDY, Laura (Org.). </w:t>
      </w:r>
      <w:r w:rsidRPr="00661387">
        <w:rPr>
          <w:b/>
          <w:bCs/>
          <w:lang w:val="pt-BR"/>
        </w:rPr>
        <w:t>Tempo fechado: colapso ecológico e capitalismo</w:t>
      </w:r>
      <w:r w:rsidRPr="00661387">
        <w:rPr>
          <w:lang w:val="pt-BR"/>
        </w:rPr>
        <w:t xml:space="preserve">. </w:t>
      </w:r>
      <w:r>
        <w:t>São Paulo: Boitempo, 2025.</w:t>
      </w:r>
    </w:p>
    <w:p w14:paraId="6A9279ED" w14:textId="77777777" w:rsidR="009604FB" w:rsidRDefault="00000000">
      <w:pPr>
        <w:pStyle w:val="Bibliography"/>
      </w:pPr>
      <w:bookmarkStart w:id="15" w:name="ref-Walker2022"/>
      <w:bookmarkEnd w:id="14"/>
      <w:r>
        <w:t xml:space="preserve">WALKER, Owen. </w:t>
      </w:r>
      <w:hyperlink r:id="rId14">
        <w:r>
          <w:rPr>
            <w:rStyle w:val="Hyperlink"/>
          </w:rPr>
          <w:t>HSBC Suspends Banker over Climate Change Comments</w:t>
        </w:r>
      </w:hyperlink>
      <w:r>
        <w:t xml:space="preserve">. </w:t>
      </w:r>
      <w:r>
        <w:rPr>
          <w:b/>
          <w:bCs/>
        </w:rPr>
        <w:t>Financial Times</w:t>
      </w:r>
      <w:r>
        <w:t>, 2022.</w:t>
      </w:r>
      <w:bookmarkEnd w:id="4"/>
      <w:bookmarkEnd w:id="6"/>
      <w:bookmarkEnd w:id="15"/>
    </w:p>
    <w:sectPr w:rsidR="009604FB" w:rsidSect="003F111F">
      <w:pgSz w:w="12240" w:h="15840"/>
      <w:pgMar w:top="1134" w:right="1134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4DCE5A" w14:textId="77777777" w:rsidR="00E63FF8" w:rsidRDefault="00E63FF8">
      <w:pPr>
        <w:spacing w:after="0" w:line="240" w:lineRule="auto"/>
      </w:pPr>
      <w:r>
        <w:separator/>
      </w:r>
    </w:p>
  </w:endnote>
  <w:endnote w:type="continuationSeparator" w:id="0">
    <w:p w14:paraId="326C60E1" w14:textId="77777777" w:rsidR="00E63FF8" w:rsidRDefault="00E63F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C88083" w14:textId="77777777" w:rsidR="00E63FF8" w:rsidRDefault="00E63FF8">
      <w:r>
        <w:separator/>
      </w:r>
    </w:p>
  </w:footnote>
  <w:footnote w:type="continuationSeparator" w:id="0">
    <w:p w14:paraId="762BEDAF" w14:textId="77777777" w:rsidR="00E63FF8" w:rsidRDefault="00E63FF8">
      <w:r>
        <w:continuationSeparator/>
      </w:r>
    </w:p>
  </w:footnote>
  <w:footnote w:id="1">
    <w:p w14:paraId="575B7777" w14:textId="77777777" w:rsidR="009604FB" w:rsidRPr="00661387" w:rsidRDefault="00000000">
      <w:pPr>
        <w:pStyle w:val="FootnoteText"/>
        <w:rPr>
          <w:lang w:val="pt-BR"/>
        </w:rPr>
      </w:pPr>
      <w:r>
        <w:rPr>
          <w:rStyle w:val="FootnoteReference"/>
        </w:rPr>
        <w:footnoteRef/>
      </w:r>
      <w:r w:rsidRPr="00661387">
        <w:rPr>
          <w:lang w:val="pt-BR"/>
        </w:rPr>
        <w:t xml:space="preserve"> “O termo ESG foi cunhado em 2004 em um relatório do Pacto Global das Nações Unidas […], seguido pelos Princípios para o Investimento Responsável (PRI [</w:t>
      </w:r>
      <w:r w:rsidRPr="00661387">
        <w:rPr>
          <w:i/>
          <w:iCs/>
          <w:lang w:val="pt-BR"/>
        </w:rPr>
        <w:t>Principles for Responsible Investment</w:t>
      </w:r>
      <w:r w:rsidRPr="00661387">
        <w:rPr>
          <w:lang w:val="pt-BR"/>
        </w:rPr>
        <w:t>]) da ONU em 2006. Embora os PRI tenham criado uma estrutura ampla para o investimento sustentável, eles não forneceram definições ou padrões específicos para ESG. Na ausência de tal regulamentação pública, esse período testemunhou o desenvolvimento dinâmico de diversas classificações [</w:t>
      </w:r>
      <w:r w:rsidRPr="00661387">
        <w:rPr>
          <w:i/>
          <w:iCs/>
          <w:lang w:val="pt-BR"/>
        </w:rPr>
        <w:t>ratings</w:t>
      </w:r>
      <w:r w:rsidRPr="00661387">
        <w:rPr>
          <w:lang w:val="pt-BR"/>
        </w:rPr>
        <w:t>], dados e índices ESG como ferramentas de autogovernança privada para essa área crescente das finanças, e sua consolidação em algumas grandes empresas que fornecem essas ferramentas […]” (Fichtner; Jaspert; Petry, 2024, p. 482).</w:t>
      </w:r>
    </w:p>
  </w:footnote>
  <w:footnote w:id="2">
    <w:p w14:paraId="6B02F515" w14:textId="77777777" w:rsidR="009604FB" w:rsidRPr="00661387" w:rsidRDefault="00000000">
      <w:pPr>
        <w:pStyle w:val="FootnoteText"/>
        <w:rPr>
          <w:lang w:val="pt-BR"/>
        </w:rPr>
      </w:pPr>
      <w:r>
        <w:rPr>
          <w:rStyle w:val="FootnoteReference"/>
        </w:rPr>
        <w:footnoteRef/>
      </w:r>
      <w:r w:rsidRPr="00661387">
        <w:rPr>
          <w:lang w:val="pt-BR"/>
        </w:rPr>
        <w:t xml:space="preserve"> Investidores que lidam com volumes menores de investimentos, contrapostos a investidores institucionais ou fundos de investimento.</w:t>
      </w:r>
    </w:p>
  </w:footnote>
  <w:footnote w:id="3">
    <w:p w14:paraId="6B811333" w14:textId="77777777" w:rsidR="009604FB" w:rsidRPr="00661387" w:rsidRDefault="00000000">
      <w:pPr>
        <w:pStyle w:val="FootnoteText"/>
        <w:rPr>
          <w:lang w:val="pt-BR"/>
        </w:rPr>
      </w:pPr>
      <w:r>
        <w:rPr>
          <w:rStyle w:val="FootnoteReference"/>
        </w:rPr>
        <w:footnoteRef/>
      </w:r>
      <w:r w:rsidRPr="00661387">
        <w:rPr>
          <w:lang w:val="pt-BR"/>
        </w:rPr>
        <w:t xml:space="preserve"> Telésforo emprega este exemplo para começar seu texto em (Telésforo, 2025).</w:t>
      </w:r>
    </w:p>
  </w:footnote>
  <w:footnote w:id="4">
    <w:p w14:paraId="51CA6D02" w14:textId="77777777" w:rsidR="009604FB" w:rsidRPr="00661387" w:rsidRDefault="00000000">
      <w:pPr>
        <w:pStyle w:val="FootnoteText"/>
        <w:rPr>
          <w:lang w:val="pt-BR"/>
        </w:rPr>
      </w:pPr>
      <w:r>
        <w:rPr>
          <w:rStyle w:val="FootnoteReference"/>
        </w:rPr>
        <w:footnoteRef/>
      </w:r>
      <w:r w:rsidRPr="00661387">
        <w:rPr>
          <w:lang w:val="pt-BR"/>
        </w:rPr>
        <w:t xml:space="preserve"> Tome-se em vista que a pandemia da Covid-19 “acabou” por volta do fim de 2021, e a palestra de Kirk foi em maio de 2022. Os debates de sustentabilidade ganharam um novo ímpeto em função desta crise sanitária.</w:t>
      </w:r>
    </w:p>
  </w:footnote>
  <w:footnote w:id="5">
    <w:p w14:paraId="5DC4CBB4" w14:textId="77777777" w:rsidR="009604FB" w:rsidRPr="00661387" w:rsidRDefault="00000000">
      <w:pPr>
        <w:pStyle w:val="FootnoteText"/>
        <w:rPr>
          <w:lang w:val="pt-BR"/>
        </w:rPr>
      </w:pPr>
      <w:r>
        <w:rPr>
          <w:rStyle w:val="FootnoteReference"/>
        </w:rPr>
        <w:footnoteRef/>
      </w:r>
      <w:r w:rsidRPr="00661387">
        <w:rPr>
          <w:lang w:val="pt-BR"/>
        </w:rPr>
        <w:t xml:space="preserve"> Uma forma heurística de pensá-lo, pelo ponto de vista da economia, é através de descontos exponenciais ou hiperbólicos: supondo periodicidade anual de recebíveis financeiros, os valores recebíveis daqui a um ou dois anos têm muito mais impacto no valor presente do que recebíveis a décadas no futuro.</w:t>
      </w:r>
    </w:p>
  </w:footnote>
  <w:footnote w:id="6">
    <w:p w14:paraId="61C79A65" w14:textId="77777777" w:rsidR="009604FB" w:rsidRPr="00661387" w:rsidRDefault="00000000">
      <w:pPr>
        <w:pStyle w:val="FootnoteText"/>
        <w:rPr>
          <w:lang w:val="pt-BR"/>
        </w:rPr>
      </w:pPr>
      <w:r>
        <w:rPr>
          <w:rStyle w:val="FootnoteReference"/>
        </w:rPr>
        <w:footnoteRef/>
      </w:r>
      <w:r w:rsidRPr="00661387">
        <w:rPr>
          <w:lang w:val="pt-BR"/>
        </w:rPr>
        <w:t xml:space="preserve"> Ou seja, em que todas as emissões de carbono são contrabalançadas pela capacidade do planeta Terra de absorvê-las.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F6E1E9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170CD2DE"/>
    <w:multiLevelType w:val="multilevel"/>
    <w:tmpl w:val="8040B77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2095545600">
    <w:abstractNumId w:val="1"/>
  </w:num>
  <w:num w:numId="2" w16cid:durableId="14143981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4FB"/>
    <w:rsid w:val="005305CB"/>
    <w:rsid w:val="00661387"/>
    <w:rsid w:val="009604FB"/>
    <w:rsid w:val="00E63FF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7054DA"/>
  <w15:docId w15:val="{DDE157CC-B547-4064-9C35-ED5E356F3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862E1"/>
    <w:pPr>
      <w:spacing w:line="360" w:lineRule="auto"/>
    </w:p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boutus.ft.com/press_release/stuart-kirk-personal-finance" TargetMode="External"/><Relationship Id="rId13" Type="http://schemas.openxmlformats.org/officeDocument/2006/relationships/hyperlink" Target="https://www.reuters.com/business/hsbcs-head-responsible-investing-quits-after-climate-speech-controversy-2022-07-07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onlinelibrary.wiley.com/doi/10.1111/rego.12530" TargetMode="External"/><Relationship Id="rId12" Type="http://schemas.openxmlformats.org/officeDocument/2006/relationships/hyperlink" Target="https://www.linkedin.com/posts/noel-quinn-hsbc_i-do-not-agree-at-all-with-the-remarks-activity-6933729465193668608-14ho/?utm_source=social_share_send&amp;utm_medium=member_desktop_web&amp;rcm=ACoAADGDblYBTpg3cdnCuk-ijUGghBmcJcxAlLc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theguardian.com/business/2022/may/22/hsbc-suspends-head-of-responsible-investing-who-called-climate-warnings-shrill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www.youtube.com/watch?v=bfNamRmje-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nytimes.com/2022/05/23/business/stuart-kirk-hsbc-climate-change.html" TargetMode="External"/><Relationship Id="rId14" Type="http://schemas.openxmlformats.org/officeDocument/2006/relationships/hyperlink" Target="https://www.ft.com/content/8e1a16ea-bf63-45f8-81af-dc41c0df4e0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Custom 1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1481</Words>
  <Characters>8445</Characters>
  <Application>Microsoft Office Word</Application>
  <DocSecurity>0</DocSecurity>
  <Lines>70</Lines>
  <Paragraphs>19</Paragraphs>
  <ScaleCrop>false</ScaleCrop>
  <Company/>
  <LinksUpToDate>false</LinksUpToDate>
  <CharactersWithSpaces>9907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Nicholas Funari</cp:lastModifiedBy>
  <cp:revision>2</cp:revision>
  <dcterms:created xsi:type="dcterms:W3CDTF">2026-03-02T18:58:00Z</dcterms:created>
  <dcterms:modified xsi:type="dcterms:W3CDTF">2026-03-02T19:01:00Z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Artigo_ESG.bib</vt:lpwstr>
  </property>
  <property fmtid="{D5CDD505-2E9C-101B-9397-08002B2CF9AE}" pid="3" name="csl">
    <vt:lpwstr>../associacao-brasileira-de-normas-tecnicas.csl</vt:lpwstr>
  </property>
  <property fmtid="{D5CDD505-2E9C-101B-9397-08002B2CF9AE}" pid="4" name="date">
    <vt:lpwstr/>
  </property>
</Properties>
</file>