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CEMS首页数据格式说明</w:t>
      </w: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首页效果图如下：</w:t>
      </w:r>
    </w:p>
    <w:p>
      <w:pPr>
        <w:jc w:val="both"/>
      </w:pPr>
      <w:r>
        <w:drawing>
          <wp:inline distT="0" distB="0" distL="114300" distR="114300">
            <wp:extent cx="5259705" cy="1796415"/>
            <wp:effectExtent l="0" t="0" r="1714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245" cy="1008380"/>
            <wp:effectExtent l="0" t="0" r="1460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00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CEMS项目首页各个部分格式如下：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（1）第一排第一个区块数据源格式如下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Terminal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otal</w:t>
      </w:r>
      <w:r>
        <w:rPr>
          <w:rFonts w:hint="eastAsia"/>
          <w:lang w:val="en-US" w:eastAsia="zh-CN"/>
        </w:rPr>
        <w:t>Num：</w:t>
      </w:r>
      <w:r>
        <w:rPr>
          <w:rFonts w:hint="eastAsia"/>
          <w:color w:val="FF0000"/>
          <w:lang w:val="en-US" w:eastAsia="zh-CN"/>
        </w:rPr>
        <w:t>终端总数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New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iscovery</w:t>
      </w:r>
      <w:r>
        <w:rPr>
          <w:rFonts w:hint="eastAsia"/>
          <w:lang w:val="en-US" w:eastAsia="zh-CN"/>
        </w:rPr>
        <w:t>Num：新发现数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RegisterDeviceNum：</w:t>
      </w:r>
      <w:r>
        <w:rPr>
          <w:rFonts w:hint="eastAsia"/>
          <w:color w:val="FF0000"/>
          <w:lang w:val="en-US" w:eastAsia="zh-CN"/>
        </w:rPr>
        <w:t>已注册数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UnrecognizedDeviceNum：未识别数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“Terminal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otal</w:t>
      </w:r>
      <w:r>
        <w:rPr>
          <w:rFonts w:hint="eastAsia"/>
          <w:lang w:val="en-US" w:eastAsia="zh-CN"/>
        </w:rPr>
        <w:t>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:2234,</w:t>
      </w:r>
      <w:r>
        <w:rPr>
          <w:rFonts w:hint="default"/>
          <w:lang w:val="en-US" w:eastAsia="zh-CN"/>
        </w:rPr>
        <w:t>”New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iscovery</w:t>
      </w:r>
      <w:r>
        <w:rPr>
          <w:rFonts w:hint="eastAsia"/>
          <w:lang w:val="en-US" w:eastAsia="zh-CN"/>
        </w:rPr>
        <w:t>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:345,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RegisterDeviceNum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:55,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UnrecognizedDeviceNum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:33}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（2）第一排中间区域数据源格式如下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①设备注册率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</w:t>
      </w:r>
      <w:r>
        <w:rPr>
          <w:rFonts w:hint="default"/>
          <w:lang w:val="en-US" w:eastAsia="zh-CN"/>
        </w:rPr>
        <w:t>Registered</w:t>
      </w:r>
      <w:r>
        <w:rPr>
          <w:rFonts w:hint="eastAsia"/>
          <w:lang w:val="en-US" w:eastAsia="zh-CN"/>
        </w:rPr>
        <w:t>Num：注册设备数（</w:t>
      </w:r>
      <w:r>
        <w:rPr>
          <w:rFonts w:hint="eastAsia"/>
          <w:color w:val="FF0000"/>
          <w:sz w:val="84"/>
          <w:szCs w:val="84"/>
          <w:lang w:val="en-US" w:eastAsia="zh-CN"/>
        </w:rPr>
        <w:t>不做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DeviceUnregisteredNum：未注册设备数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Device</w:t>
      </w:r>
      <w:r>
        <w:rPr>
          <w:rFonts w:hint="default"/>
          <w:lang w:val="en-US" w:eastAsia="zh-CN"/>
        </w:rPr>
        <w:t>Registered</w:t>
      </w:r>
      <w:r>
        <w:rPr>
          <w:rFonts w:hint="eastAsia"/>
          <w:lang w:val="en-US" w:eastAsia="zh-CN"/>
        </w:rPr>
        <w:t>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:90,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DeviceUnregisteredNum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:10}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②注册设备在线率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DeviceOnlineNum：</w:t>
      </w:r>
      <w:r>
        <w:rPr>
          <w:rFonts w:hint="eastAsia"/>
          <w:color w:val="FF0000"/>
          <w:lang w:val="en-US" w:eastAsia="zh-CN"/>
        </w:rPr>
        <w:t>注册设备在线数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DeviceOfflineNum：</w:t>
      </w:r>
      <w:r>
        <w:rPr>
          <w:rFonts w:hint="eastAsia"/>
          <w:color w:val="FF0000"/>
          <w:lang w:val="en-US" w:eastAsia="zh-CN"/>
        </w:rPr>
        <w:t>注册设备离线数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DeviceOnlineNum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:90,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DeviceOfflineNum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:10}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③重要补丁安装率（</w:t>
      </w:r>
      <w:r>
        <w:rPr>
          <w:rFonts w:hint="eastAsia"/>
          <w:color w:val="FF0000"/>
          <w:sz w:val="84"/>
          <w:szCs w:val="84"/>
          <w:lang w:val="en-US" w:eastAsia="zh-CN"/>
        </w:rPr>
        <w:t>周俊君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PatchInstallNum：重要</w:t>
      </w:r>
      <w:bookmarkStart w:id="0" w:name="_GoBack"/>
      <w:r>
        <w:rPr>
          <w:rFonts w:hint="eastAsia"/>
          <w:lang w:val="en-US" w:eastAsia="zh-CN"/>
        </w:rPr>
        <w:t>补丁</w:t>
      </w:r>
      <w:bookmarkEnd w:id="0"/>
      <w:r>
        <w:rPr>
          <w:rFonts w:hint="eastAsia"/>
          <w:lang w:val="en-US" w:eastAsia="zh-CN"/>
        </w:rPr>
        <w:t>安装数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PatchNotInstallNum：重要补丁未安装数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PatchInstallNum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:90,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PatchNotInstallNum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:10}</w:t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④杀毒软件安装率（</w:t>
      </w:r>
      <w:r>
        <w:rPr>
          <w:rFonts w:hint="eastAsia"/>
          <w:color w:val="FF0000"/>
          <w:sz w:val="84"/>
          <w:szCs w:val="84"/>
          <w:lang w:val="en-US" w:eastAsia="zh-CN"/>
        </w:rPr>
        <w:t>周俊君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AntiVirusInstallNum：</w:t>
      </w:r>
      <w:r>
        <w:rPr>
          <w:rFonts w:hint="eastAsia"/>
          <w:color w:val="FF0000"/>
          <w:lang w:val="en-US" w:eastAsia="zh-CN"/>
        </w:rPr>
        <w:t>杀毒软件安装数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AntiVirusNotInstallNum：杀毒软件未安装数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AntiVirusInstallNum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:90,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AntiVirusNotInstallNum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:10}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（3）第一排最后一个区域数据源格式如下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“Alarm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nformation”</w:t>
      </w:r>
      <w:r>
        <w:rPr>
          <w:rFonts w:hint="eastAsia"/>
          <w:lang w:val="en-US" w:eastAsia="zh-CN"/>
        </w:rPr>
        <w:t>:[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10:22:00,空空在终端[pc_kongkong]上访问了www.aa.com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11:11:00,戒戒在终端[pc_jiejie]上访问了www.dd.com</w:t>
      </w:r>
      <w:r>
        <w:rPr>
          <w:rFonts w:hint="default"/>
          <w:lang w:val="en-US" w:eastAsia="zh-CN"/>
        </w:rPr>
        <w:t>”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（4）安全态势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（5）资产分布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[{value:10, name:'国产终端'},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{value:5, name:'云桌面'},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{value:15, name:'传统终端'},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{value:25, name:'摄像头'},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{value:20, name:'移动终端'},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{value:35, name:'服务器'},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{value:30, name:'路由器'},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{value:40, name:'工作站'}]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注意：具体显示哪些设备类型视具体情况而定。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（6）在线情况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TimeRange：时间范围，最近七天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OnlineNum：在线设备数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OfflineNum：离线设备数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TimeRange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:['2017-05-11', '2017-05-12', '2017-05-13','2017-05-14','2017-05-15','2017-05-16','2017-05-17'],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OnlineNum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:[120, 132, 101, 134, 90, 230, 210],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OfflineNum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:[220, 182, 191, 234, 290, 330, 310]}</w:t>
      </w:r>
    </w:p>
    <w:p>
      <w:p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注意：时间范围数组中的时间的索引与在线设备数组、离线设备数组中对应数据的索引相同。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细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隶书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细黑一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圆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祥隶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毡笔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繁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流行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流行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琥珀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琥珀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瘦金书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瘦金书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硬笔楷书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祥隶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圆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圆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宋简体">
    <w:altName w:val="宋体"/>
    <w:panose1 w:val="03000509000000000000"/>
    <w:charset w:val="86"/>
    <w:family w:val="auto"/>
    <w:pitch w:val="default"/>
    <w:sig w:usb0="00000000" w:usb1="00000000" w:usb2="00000000" w:usb3="00000000" w:csb0="00040001" w:csb1="00000000"/>
  </w:font>
  <w:font w:name="方正粗宋繁体">
    <w:altName w:val="宋体"/>
    <w:panose1 w:val="03000509000000000000"/>
    <w:charset w:val="86"/>
    <w:family w:val="auto"/>
    <w:pitch w:val="default"/>
    <w:sig w:usb0="00000000" w:usb1="00000000" w:usb2="00000000" w:usb3="00000000" w:csb0="00040001" w:csb1="00000000"/>
  </w:font>
  <w:font w:name="方正粗活意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活意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圆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珊瑚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珊瑚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综艺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美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头鱼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铁筋隶书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铁筋隶书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楷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超粗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书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二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变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二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变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黄草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黑体繁体">
    <w:altName w:val="黑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魏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黑体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繁体">
    <w:altName w:val="仿宋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华隶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华隶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准圆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卡通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古隶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古隶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启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标宋简体">
    <w:altName w:val="微软雅黑"/>
    <w:panose1 w:val="03000509000000000000"/>
    <w:charset w:val="86"/>
    <w:family w:val="auto"/>
    <w:pitch w:val="default"/>
    <w:sig w:usb0="00000000" w:usb1="00000000" w:usb2="00000000" w:usb3="00000000" w:csb0="00040001" w:csb1="00000000"/>
  </w:font>
  <w:font w:name="方正大标宋繁体">
    <w:altName w:val="宋体"/>
    <w:panose1 w:val="03000509000000000000"/>
    <w:charset w:val="86"/>
    <w:family w:val="auto"/>
    <w:pitch w:val="default"/>
    <w:sig w:usb0="00000000" w:usb1="00000000" w:usb2="00000000" w:usb3="00000000" w:csb0="00040001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姚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三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篆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彩云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秀丽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毡笔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硬笔行书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硬笔行书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硬笔楷书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黑一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美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舒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艺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行楷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行楷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艺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魏碑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宋一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一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标宋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康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报宋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康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幼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幼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彩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报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综艺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超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方正胖娃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等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书宋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报宋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47C37"/>
    <w:rsid w:val="012A4952"/>
    <w:rsid w:val="01D031E1"/>
    <w:rsid w:val="047471B4"/>
    <w:rsid w:val="05D9602F"/>
    <w:rsid w:val="0BEF372F"/>
    <w:rsid w:val="113A21D0"/>
    <w:rsid w:val="11D73498"/>
    <w:rsid w:val="17D55774"/>
    <w:rsid w:val="18573122"/>
    <w:rsid w:val="1A532547"/>
    <w:rsid w:val="1BE36C30"/>
    <w:rsid w:val="215943F7"/>
    <w:rsid w:val="220529F4"/>
    <w:rsid w:val="258D446F"/>
    <w:rsid w:val="25F1188B"/>
    <w:rsid w:val="26053B05"/>
    <w:rsid w:val="26B139FB"/>
    <w:rsid w:val="27A87965"/>
    <w:rsid w:val="27FC4D70"/>
    <w:rsid w:val="2D4263C9"/>
    <w:rsid w:val="326A46C5"/>
    <w:rsid w:val="32F625F5"/>
    <w:rsid w:val="359669D5"/>
    <w:rsid w:val="36FA049E"/>
    <w:rsid w:val="3710591E"/>
    <w:rsid w:val="38F5578C"/>
    <w:rsid w:val="3A3D39E1"/>
    <w:rsid w:val="3A62488F"/>
    <w:rsid w:val="3D52383A"/>
    <w:rsid w:val="3D9E5424"/>
    <w:rsid w:val="3DCA76D9"/>
    <w:rsid w:val="3E1B129B"/>
    <w:rsid w:val="468566BC"/>
    <w:rsid w:val="4F496EC2"/>
    <w:rsid w:val="53B36705"/>
    <w:rsid w:val="53FF66DF"/>
    <w:rsid w:val="65941BC2"/>
    <w:rsid w:val="672A51A5"/>
    <w:rsid w:val="6D2E7111"/>
    <w:rsid w:val="6F474EDD"/>
    <w:rsid w:val="74837921"/>
    <w:rsid w:val="79412E1E"/>
    <w:rsid w:val="7F007C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15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 w:afterLines="0" w:afterAutospacing="0"/>
    </w:pPr>
  </w:style>
  <w:style w:type="paragraph" w:customStyle="1" w:styleId="5">
    <w:name w:val="1"/>
    <w:qFormat/>
    <w:uiPriority w:val="0"/>
    <w:rPr>
      <w:rFonts w:ascii="Calibri" w:hAnsi="Calibri" w:eastAsia="方正隶书简体" w:cstheme="minorBidi"/>
      <w:sz w:val="24"/>
    </w:rPr>
  </w:style>
  <w:style w:type="paragraph" w:customStyle="1" w:styleId="6">
    <w:name w:val="1.1"/>
    <w:qFormat/>
    <w:uiPriority w:val="0"/>
    <w:rPr>
      <w:rFonts w:ascii="Times New Roman" w:hAnsi="Times New Roman" w:eastAsia="方正隶书简体" w:cstheme="minorBidi"/>
      <w:sz w:val="21"/>
    </w:rPr>
  </w:style>
  <w:style w:type="paragraph" w:customStyle="1" w:styleId="7">
    <w:name w:val="1.1.1"/>
    <w:qFormat/>
    <w:uiPriority w:val="0"/>
    <w:rPr>
      <w:rFonts w:ascii="Times New Roman" w:hAnsi="Times New Roman" w:eastAsia="楷体" w:cstheme="minorBidi"/>
      <w:b/>
      <w:sz w:val="18"/>
    </w:rPr>
  </w:style>
  <w:style w:type="paragraph" w:customStyle="1" w:styleId="8">
    <w:name w:val="1.1.1.1"/>
    <w:basedOn w:val="1"/>
    <w:qFormat/>
    <w:uiPriority w:val="0"/>
    <w:rPr>
      <w:rFonts w:eastAsia="楷体" w:asciiTheme="minorAscii" w:hAnsiTheme="minorAscii"/>
      <w:b/>
      <w:sz w:val="18"/>
    </w:rPr>
  </w:style>
  <w:style w:type="paragraph" w:customStyle="1" w:styleId="9">
    <w:name w:val="内容1"/>
    <w:basedOn w:val="7"/>
    <w:qFormat/>
    <w:uiPriority w:val="0"/>
    <w:rPr>
      <w:b w:val="0"/>
      <w:sz w:val="15"/>
    </w:rPr>
  </w:style>
  <w:style w:type="paragraph" w:customStyle="1" w:styleId="10">
    <w:name w:val="例1"/>
    <w:basedOn w:val="9"/>
    <w:qFormat/>
    <w:uiPriority w:val="0"/>
    <w:rPr>
      <w:rFonts w:ascii="宋体" w:hAnsi="宋体" w:eastAsia="宋体" w:cs="宋体"/>
      <w:color w:val="7F7F7F" w:themeColor="background1" w:themeShade="80"/>
      <w:sz w:val="13"/>
      <w:szCs w:val="13"/>
    </w:rPr>
  </w:style>
  <w:style w:type="paragraph" w:customStyle="1" w:styleId="11">
    <w:name w:val="正文 英文字符1"/>
    <w:basedOn w:val="2"/>
    <w:qFormat/>
    <w:uiPriority w:val="0"/>
    <w:rPr>
      <w:rFonts w:eastAsia="宋体"/>
      <w:sz w:val="13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2017-05-23T07:55:53Z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