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Proto Doc</w:t>
      </w:r>
    </w:p>
    <w:p>
      <w:pPr>
        <w:pStyle w:val="Author"/>
      </w:pPr>
      <w:r>
        <w:t xml:space="preserve">Y. R. Name</w:t>
      </w:r>
    </w:p>
    <w:p>
      <w:pPr>
        <w:pStyle w:val="Date"/>
      </w:pPr>
      <w:r>
        <w:t xml:space="preserve">2026-09-03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0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Most statistical models can be seen as a special case or extension of the General Linear Model:</w:t>
      </w:r>
    </w:p>
    <w:p>
      <w:pPr>
        <w:pStyle w:val="BodyText"/>
      </w:pPr>
      <w:bookmarkStart w:id="9" w:name="eq-GLM"/>
      <m:oMathPara>
        <m:oMathParaPr>
          <m:jc m:val="center"/>
        </m:oMathParaPr>
        <m:oMath>
          <m:r>
            <m:rPr>
              <m:sty m:val="bi"/>
            </m:rPr>
            <m:t>Y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i"/>
            </m:rPr>
            <m:t>β</m:t>
          </m:r>
          <m:r>
            <m:rPr>
              <m:sty m:val="p"/>
            </m:rPr>
            <m:t>+</m:t>
          </m:r>
          <m:r>
            <m:rPr>
              <m:sty m:val="bi"/>
            </m:rPr>
            <m:t>ϵ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For</w:t>
      </w:r>
      <w:r>
        <w:t xml:space="preserve"> </w:t>
      </w:r>
      <w:hyperlink w:anchor="eq-GLM">
        <w:r>
          <w:rPr>
            <w:rStyle w:val="Hyperlink"/>
          </w:rPr>
          <w:t xml:space="preserve">Eqn. 1</w:t>
        </w:r>
      </w:hyperlink>
      <w:r>
        <w:t xml:space="preserve">, A-optimality of a design is based on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Pearson (</w:t>
      </w:r>
      <w:hyperlink w:anchor="ref-pearsonInheritanceInsanity1905">
        <w:r>
          <w:rPr>
            <w:rStyle w:val="Hyperlink"/>
          </w:rPr>
          <w:t xml:space="preserve">1905</w:t>
        </w:r>
      </w:hyperlink>
      <w:r>
        <w:t xml:space="preserve">)</w:t>
      </w:r>
      <w:r>
        <w:t xml:space="preserve"> </w:t>
      </w:r>
      <w:r>
        <w:t xml:space="preserve">is an old reference, but there are older ones</w:t>
      </w:r>
      <w:r>
        <w:t xml:space="preserve"> </w:t>
      </w:r>
      <w:r>
        <w:t xml:space="preserve">(</w:t>
      </w:r>
      <w:hyperlink w:anchor="X25b9ef1bfa7c80b37553b91dcc7c58159ab6ef4">
        <w:r>
          <w:rPr>
            <w:rStyle w:val="Hyperlink"/>
          </w:rPr>
          <w:t xml:space="preserve">Spearman 1904</w:t>
        </w:r>
      </w:hyperlink>
      <w:r>
        <w:t xml:space="preserve">)</w:t>
      </w:r>
      <w:r>
        <w:t xml:space="preserve">.</w:t>
      </w:r>
    </w:p>
    <w:bookmarkEnd w:id="10"/>
    <w:bookmarkStart w:id="16" w:name="references"/>
    <w:p>
      <w:pPr>
        <w:pStyle w:val="Heading1"/>
      </w:pPr>
      <w:r>
        <w:t xml:space="preserve">2. References</w:t>
      </w:r>
    </w:p>
    <w:bookmarkStart w:id="15" w:name="refs"/>
    <w:bookmarkStart w:id="12" w:name="ref-pearsonInheritanceInsanity1905"/>
    <w:p>
      <w:pPr>
        <w:pStyle w:val="Bibliography"/>
      </w:pPr>
      <w:r>
        <w:t xml:space="preserve">Pearson, Karl. 1905.</w:t>
      </w:r>
      <w:r>
        <w:t xml:space="preserve"> </w:t>
      </w:r>
      <w:r>
        <w:t xml:space="preserve">“On the Inheritance of Insanity.”</w:t>
      </w:r>
      <w:r>
        <w:t xml:space="preserve"> </w:t>
      </w:r>
      <w:r>
        <w:rPr>
          <w:i/>
          <w:iCs/>
        </w:rPr>
        <w:t xml:space="preserve">British Medical Journal</w:t>
      </w:r>
      <w:r>
        <w:t xml:space="preserve"> </w:t>
      </w:r>
      <w:r>
        <w:t xml:space="preserve">1 (2317): 1175–77.</w:t>
      </w:r>
      <w:r>
        <w:t xml:space="preserve"> </w:t>
      </w:r>
      <w:hyperlink r:id="rId11">
        <w:r>
          <w:rPr>
            <w:rStyle w:val="Hyperlink"/>
          </w:rPr>
          <w:t xml:space="preserve">https://doi.org/10.1136/bmj.1.2317.1175-a</w:t>
        </w:r>
      </w:hyperlink>
      <w:r>
        <w:t xml:space="preserve">.</w:t>
      </w:r>
    </w:p>
    <w:bookmarkEnd w:id="12"/>
    <w:bookmarkStart w:id="14" w:name="X25b9ef1bfa7c80b37553b91dcc7c58159ab6ef4"/>
    <w:p>
      <w:pPr>
        <w:pStyle w:val="Bibliography"/>
      </w:pPr>
      <w:r>
        <w:t xml:space="preserve">Spearman, C. 1904.</w:t>
      </w:r>
      <w:r>
        <w:t xml:space="preserve"> </w:t>
      </w:r>
      <w:r>
        <w:t xml:space="preserve">“The</w:t>
      </w:r>
      <w:r>
        <w:t xml:space="preserve"> </w:t>
      </w:r>
      <w:r>
        <w:t xml:space="preserve">Proof</w:t>
      </w:r>
      <w:r>
        <w:t xml:space="preserve"> </w:t>
      </w:r>
      <w:r>
        <w:t xml:space="preserve">and</w:t>
      </w:r>
      <w:r>
        <w:t xml:space="preserve"> </w:t>
      </w:r>
      <w:r>
        <w:t xml:space="preserve">Measurement</w:t>
      </w:r>
      <w:r>
        <w:t xml:space="preserve"> </w:t>
      </w:r>
      <w:r>
        <w:t xml:space="preserve">of</w:t>
      </w:r>
      <w:r>
        <w:t xml:space="preserve"> </w:t>
      </w:r>
      <w:r>
        <w:t xml:space="preserve">Association</w:t>
      </w:r>
      <w:r>
        <w:t xml:space="preserve"> </w:t>
      </w:r>
      <w:r>
        <w:t xml:space="preserve">Between</w:t>
      </w:r>
      <w:r>
        <w:t xml:space="preserve"> </w:t>
      </w:r>
      <w:r>
        <w:t xml:space="preserve">Two Things</w:t>
      </w:r>
      <w:r>
        <w:t xml:space="preserve">.”</w:t>
      </w:r>
      <w:r>
        <w:t xml:space="preserve"> </w:t>
      </w:r>
      <w:r>
        <w:rPr>
          <w:i/>
          <w:iCs/>
        </w:rPr>
        <w:t xml:space="preserve">The American Journal of Psychology</w:t>
      </w:r>
      <w:r>
        <w:t xml:space="preserve"> </w:t>
      </w:r>
      <w:r>
        <w:t xml:space="preserve">15 (1): 72.</w:t>
      </w:r>
      <w:r>
        <w:t xml:space="preserve"> </w:t>
      </w:r>
      <w:hyperlink r:id="rId13">
        <w:r>
          <w:rPr>
            <w:rStyle w:val="Hyperlink"/>
          </w:rPr>
          <w:t xml:space="preserve">https://doi.org/10.2307/1412159</w:t>
        </w:r>
      </w:hyperlink>
      <w:r>
        <w:t xml:space="preserve">.</w:t>
      </w: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doi.org/10.1136/bmj.1.2317.1175-a" TargetMode="External" /><Relationship Type="http://schemas.openxmlformats.org/officeDocument/2006/relationships/hyperlink" Id="rId13" Target="https://doi.org/10.2307/141215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doi.org/10.1136/bmj.1.2317.1175-a" TargetMode="External" /><Relationship Type="http://schemas.openxmlformats.org/officeDocument/2006/relationships/hyperlink" Id="rId13" Target="https://doi.org/10.2307/141215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Proto Doc</dc:title>
  <dc:creator>Y. R. Name</dc:creator>
  <cp:keywords/>
  <dcterms:created xsi:type="dcterms:W3CDTF">2026-09-03T13:03:57Z</dcterms:created>
  <dcterms:modified xsi:type="dcterms:W3CDTF">2026-09-03T13:03:57Z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>Proto_wRefs.bib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date">
    <vt:lpwstr>2026-09-03</vt:lpwstr>
  </property>
  <property fmtid="{D5CDD505-2E9C-101B-9397-08002B2CF9AE}" pid="10" name="fontsize">
    <vt:lpwstr>12pt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nestretch">
    <vt:lpwstr>1.5</vt:lpwstr>
  </property>
  <property fmtid="{D5CDD505-2E9C-101B-9397-08002B2CF9AE}" pid="16" name="link-citations">
    <vt:lpwstr>True</vt:lpwstr>
  </property>
  <property fmtid="{D5CDD505-2E9C-101B-9397-08002B2CF9AE}" pid="17" name="papersize">
    <vt:lpwstr>a4</vt:lpwstr>
  </property>
  <property fmtid="{D5CDD505-2E9C-101B-9397-08002B2CF9AE}" pid="18" name="toc-title">
    <vt:lpwstr>Table of contents</vt:lpwstr>
  </property>
</Properties>
</file>