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E3A43"/>
          <w:sz w:val="30"/>
          <w:szCs w:val="30"/>
        </w:rPr>
        <w:t xml:space="preserve">NICHVS</w:t>
      </w:r>
      <w:r>
        <w:rPr>
          <w:b/>
          <w:bCs/>
          <w:color w:val="B8860B"/>
          <w:sz w:val="30"/>
          <w:szCs w:val="30"/>
        </w:rPr>
        <w:t xml:space="preserve"> STUDIO</w:t>
      </w:r>
      <w:r>
        <w:rPr>
          <w:color w:val="5A6A72"/>
          <w:sz w:val="17"/>
          <w:szCs w:val="17"/>
        </w:rPr>
        <w:t xml:space="preserve">   ·   Anexos técnicos ao projeto</w:t>
      </w:r>
    </w:p>
    <w:p>
      <w:pPr>
        <w:pBdr>
          <w:bottom w:val="single" w:color="B8860B" w:sz="12" w:space="5"/>
        </w:pBdr>
        <w:spacing w:after="200"/>
      </w:pPr>
      <w:r>
        <w:rPr>
          <w:i/>
          <w:iCs/>
          <w:color w:val="5A6A72"/>
          <w:sz w:val="18"/>
          <w:szCs w:val="18"/>
        </w:rPr>
        <w:t xml:space="preserve">Vita @ Hospital Evangélico de Londrina</w:t>
      </w:r>
    </w:p>
    <w:p>
      <w:pPr>
        <w:spacing w:after="30"/>
      </w:pPr>
      <w:r>
        <w:rPr>
          <w:b/>
          <w:bCs/>
          <w:color w:val="0E3A43"/>
          <w:sz w:val="32"/>
          <w:szCs w:val="32"/>
        </w:rPr>
        <w:t xml:space="preserve">Anexos Técnicos</w:t>
      </w:r>
    </w:p>
    <w:p>
      <w:pPr>
        <w:spacing w:after="60"/>
      </w:pPr>
      <w:r>
        <w:rPr>
          <w:i/>
          <w:iCs/>
          <w:color w:val="117A8B"/>
          <w:sz w:val="21"/>
          <w:szCs w:val="21"/>
        </w:rPr>
        <w:t xml:space="preserve">dois eixos de valor além do núcleo operacional</w:t>
      </w:r>
    </w:p>
    <w:p>
      <w:pPr>
        <w:spacing w:after="260"/>
      </w:pPr>
      <w:r>
        <w:rPr>
          <w:color w:val="5A6A72"/>
          <w:sz w:val="17"/>
          <w:szCs w:val="17"/>
        </w:rPr>
        <w:t xml:space="preserve">Anexo A — Materiais, Medicamentos &amp; OPME (VitaMed)     ·     Anexo B — Segurança do Paciente &amp; Desfechos (VitaCare)</w:t>
      </w:r>
    </w:p>
    <w:p>
      <w:pPr>
        <w:pBdr>
          <w:bottom w:val="single" w:color="B8860B" w:sz="10" w:space="3"/>
        </w:pBdr>
        <w:spacing w:after="50" w:before="60"/>
      </w:pPr>
      <w:r>
        <w:rPr>
          <w:b/>
          <w:bCs/>
          <w:color w:val="B8860B"/>
          <w:sz w:val="25"/>
          <w:szCs w:val="25"/>
        </w:rPr>
        <w:t xml:space="preserve">ANEXO A · Materiais, Medicamentos &amp; OPME</w:t>
      </w:r>
    </w:p>
    <w:p>
      <w:pPr>
        <w:spacing w:after="200"/>
      </w:pPr>
      <w:r>
        <w:rPr>
          <w:i/>
          <w:iCs/>
          <w:color w:val="117A8B"/>
          <w:sz w:val="20"/>
          <w:szCs w:val="20"/>
        </w:rPr>
        <w:t xml:space="preserve">VitaMed — do consumo à receita líquida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1 · Por que este elo decide a receita líquida</w:t>
      </w:r>
    </w:p>
    <w:p>
      <w:pPr>
        <w:spacing w:after="120" w:before="0" w:line="276"/>
      </w:pPr>
      <w:r>
        <w:t xml:space="preserve">Em um hospital de alta complexidade, materiais, medicamentos e OPME formam a maior fatia variável da conta e, ao mesmo tempo, a maior fonte de glosa e de receita não capturada. O resultado financeiro é decidido menos no preço de tabela e mais na integridade do ciclo que vai da prescrição e do uso físico do item até o seu correto faturamento e recebimento.</w:t>
      </w:r>
    </w:p>
    <w:p>
      <w:pPr>
        <w:spacing w:after="120" w:before="0" w:line="276"/>
      </w:pPr>
      <w:r>
        <w:t xml:space="preserve">Cada elo partido vira perda direta de receita líquida: um item consumido e não lançado, uma etiqueta de rastreabilidade ausente, uma autorização de OPME fora do prazo, uma divergência de tabela. É um vazamento difuso — invisível em relatórios agregados — que só aparece quando se reconstrói o caminho item a item. É exatamente aí que a plataforma atua.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2 · As cinco frentes de perda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Subfaturamento (receita perdida): </w:t>
      </w:r>
      <w:r>
        <w:t xml:space="preserve">itens efetivamente consumidos no centro cirúrgico, na farmácia ou à beira-leito que não chegam à conta. A perda mais silenciosa — não gera glosa, simplesmente não é cobrada.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Glosa de materiais e OPME: </w:t>
      </w:r>
      <w:r>
        <w:t xml:space="preserve">divergência de quantidade, ausência de autorização prévia, falta de etiqueta/nota/justificativa técnica, item fora da tabela contratada (Simpro/Brasíndice) ou acima do teto (CMED). O OPME concentra as maiores glosas unitárias.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Estoque — ruptura e desperdício: </w:t>
      </w:r>
      <w:r>
        <w:t xml:space="preserve">falta do item na hora (impacto assistencial e troca por alternativa mais cara) e perda por vencimento ou avaria (capital que vira lixo).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Conciliação medicamentosa (closed-loop): </w:t>
      </w:r>
      <w:r>
        <w:t xml:space="preserve">descasamento entre prescrição, dispensação, administração e cobrança; devoluções não creditadas; controlados (Portaria 344/98) sem rastreio integral.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OPME — autorização e consignação: </w:t>
      </w:r>
      <w:r>
        <w:t xml:space="preserve">cotações, autorização do convênio, kit consignado e devolução de sobras; cada etapa manual é risco de glosa ou de perda física.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3 · A solução — módulo VitaMed</w:t>
      </w:r>
    </w:p>
    <w:p>
      <w:pPr>
        <w:spacing w:after="120" w:before="0" w:line="276"/>
      </w:pPr>
      <w:r>
        <w:t xml:space="preserve">VitaMed é o módulo da plataforma Vita dedicado a fechar o elo entre o consumo físico de itens e a receita líquida. Não substitui o ERP, a farmácia ou o sistema do centro cirúrgico — orquestra os dados deles e fecha as lacunas, sempre com decisão final humana (farmacêutico, auditor, equipe assistencial). Opera sobre os quatro módulos-base: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Módulo-base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dentro do VitaMed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Capta consumo (centro cirúrgico, farmácia, almoxarifado), tabelas Simpro/Brasíndice/CMED, autorizações e saldos de convênio; conecta ERP/HIS.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Monta e valida o dossiê de cobrança de cada item (etiqueta de rastreabilidade, nota fiscal, autorização, justificativa), prevenindo glosa antes do envio.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Concilia consumo × prescrição × cobrança item a item; sinaliza subfaturamento, divergência de tabela e substituição por equivalente padronizado.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Torre de comando de materiais: glosa por item, ruptura, vencimento próximo, OPME pendente de autorização e captura de receita.</w:t>
            </w:r>
          </w:p>
        </w:tc>
      </w:tr>
    </w:tbl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4 · Fluxo OPME closed-loop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Solicitação médica estruturada (item, justificativa, procedimento/CID).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Cotações e autorização prévia junto ao convênio, com prazos monitorados.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Aquisição/consignação e recebimento com conferência de lote, validade e registro ANVISA.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Uso no centro cirúrgico com captura do consumo e da etiqueta de rastreabilidade.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Devolução de sobras do kit consignado, creditada e conciliada.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Faturamento com dossiê completo e conferência de tabela/preço.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Auditoria e defesa de glosa com trilha probatória item a item.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5 · Conformidade &amp; rastreabilidade</w:t>
      </w:r>
    </w:p>
    <w:p>
      <w:pPr>
        <w:spacing w:after="120" w:before="0" w:line="276"/>
      </w:pPr>
      <w:r>
        <w:t xml:space="preserve">ANVISA (rastreabilidade unitária de dispositivos médicos / UDI conforme cronograma regulatório; boas práticas de armazenagem e distribuição; medicamentos controlados sob Portaria 344/98); tabelas Simpro e Brasíndice; teto de preço de medicamentos (CMED/PMVG); normas da ANS sobre OPME e padrão TISS; CFM quanto à prescrição; e LGPD para dados sensíveis. Toda recomendação do módulo é assistiva — o sistema evidencia e propõe; a pessoa habilitada decide.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6 · Drivers de valor — memória de cálculo</w:t>
      </w:r>
    </w:p>
    <w:p>
      <w:pPr>
        <w:spacing w:after="120" w:before="0" w:line="276"/>
      </w:pPr>
      <w:r>
        <w:t xml:space="preserve">Estrutura de cálculo do impacto incremental na receita líquida. Premissa-base ilustrativa: faturamento de materiais + medicamentos + OPME da ordem de R$ 6,3 mi/mês (~35% da receita). Todos os percentuais são ilustrativos, a validar no baseline (Fase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Memória de cálculo (ilustrativa)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R$/mês (ref.)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Captura de receita (anti-subfaturamento)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Base × 1,5% vazamento × 50% recuperável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47.250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Redução de glosa de material/OPME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Glosa de material ~R$ 250 mil × 25% evitável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62.500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Perdas de estoque (vencimento/avaria)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~R$ 30 mil × 40% evitável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12.000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OPME — autorização no prazo + devolução de sobras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Ganho operacional estimado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Total incremental ilustrativo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≈ R$ 1,70 mi / ano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141.750</w:t>
            </w:r>
          </w:p>
        </w:tc>
      </w:tr>
    </w:tbl>
    <w:p>
      <w:pPr>
        <w:pBdr>
          <w:left w:val="single" w:color="B8860B" w:sz="16" w:space="8"/>
        </w:pBdr>
        <w:shd w:fill="F6EDD6" w:val="clear"/>
        <w:spacing w:before="120"/>
      </w:pPr>
      <w:r>
        <w:rPr>
          <w:i/>
          <w:iCs/>
          <w:color w:val="5A4A12"/>
          <w:sz w:val="16"/>
          <w:szCs w:val="16"/>
        </w:rPr>
        <w:t xml:space="preserve">Benefício incremental ao modelo Vita atual (que já projeta R$ 270,5 mil/mês). Premissas ilustrativas, a validar com os números reais do hospital. Não constitui oferta vinculante nem aconselhamento financeiro. Funções com componente clínico (ex.: substituição terapêutica) permanecem sob decisão de profissional habilitado e enquadramento CFM/ANVISA.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7 · Indicadores (KPIs)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Taxa de captura de consumo (itens cobrados ÷ itens consumidos).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Glosa de materiais e medicamentos (% e R$), com causa raiz por tipo.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Índice de ruptura de estoque e perdas por vencimento (% do valor).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Giro / cobertura de estoque (dias) e acuracidade de inventário.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% de OPME com autorização prévia no prazo e tempo de ciclo de autorização.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8 · Integração ao roadmap &amp; investimento</w:t>
      </w:r>
    </w:p>
    <w:p>
      <w:pPr>
        <w:spacing w:after="120" w:before="0" w:line="276"/>
      </w:pPr>
      <w:r>
        <w:t xml:space="preserve">VitaMed entra como módulo dedicado, idealmente após a estabilização do ciclo de receita — aproveitando VitaDoc e VitaScrape já implantados. A ordem de grandeza acompanha os demais módulos: implantação na faixa de R$ 130–180 mil e assinatura de R$ 8–10 mil/mês, a dimensionar no diagnóstico conforme as integrações (ERP, farmácia, centro cirúrgico) e o volume de OPME. O princípio se mantém: prova de valor por fase, com benefício incremental medido contra o baseline.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9 · Dependências, riscos &amp; ressalvas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Integração com ERP, farmácia e centro cirúrgico, e cooperação dos respectivos fornecedores.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Qualidade do cadastro de itens e do de-para de tabelas (Simpro/Brasíndice/convênio).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Enquadramento regulatório de cada função antes da operação.</w:t>
      </w:r>
    </w:p>
    <w:p>
      <w:r>
        <w:br w:type="page"/>
      </w:r>
    </w:p>
    <w:p>
      <w:pPr>
        <w:pBdr>
          <w:bottom w:val="single" w:color="B8860B" w:sz="10" w:space="3"/>
        </w:pBdr>
        <w:spacing w:after="50" w:before="0"/>
      </w:pPr>
      <w:r>
        <w:rPr>
          <w:b/>
          <w:bCs/>
          <w:color w:val="B8860B"/>
          <w:sz w:val="25"/>
          <w:szCs w:val="25"/>
        </w:rPr>
        <w:t xml:space="preserve">ANEXO B · Segurança do Paciente &amp; Desfechos</w:t>
      </w:r>
    </w:p>
    <w:p>
      <w:pPr>
        <w:spacing w:after="200"/>
      </w:pPr>
      <w:r>
        <w:rPr>
          <w:i/>
          <w:iCs/>
          <w:color w:val="117A8B"/>
          <w:sz w:val="20"/>
          <w:szCs w:val="20"/>
        </w:rPr>
        <w:t xml:space="preserve">VitaCare — o custo invisível que define a margem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1 · Por que segurança do paciente é um custo invisível</w:t>
      </w:r>
    </w:p>
    <w:p>
      <w:pPr>
        <w:spacing w:after="120" w:before="0" w:line="276"/>
      </w:pPr>
      <w:r>
        <w:t xml:space="preserve">Segurança do paciente raramente aparece como linha de despesa — e, ainda assim, é um dos maiores custos de um hospital. Um evento adverso evitável não emite fatura: ele se manifesta como diária extra de internação, leito bloqueado que reduz a rotatividade, reinternação não remunerada, reabordagem cirúrgica e procedimento mais longo. O dinheiro sai pela porta dos fundos, diluído em mil contas.</w:t>
      </w:r>
    </w:p>
    <w:p>
      <w:pPr>
        <w:spacing w:after="120" w:before="0" w:line="276"/>
      </w:pPr>
      <w:r>
        <w:t xml:space="preserve">Cada complicação evitável consome, ao mesmo tempo, custo direto (mais insumos, mais equipe, mais tempo) e receita de oportunidade (o leito e a sala que poderiam receber novos pacientes). Por isso reduzir eventos adversos é o movimento financeiro mais alavancado da operação: corta custo e libera capacidade no mesmo gesto.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2 · As frentes de perda invisível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Prolongamento de internação: </w:t>
      </w:r>
      <w:r>
        <w:t xml:space="preserve">cada evento adverso evitável (IRAS, lesão por pressão, queda, tromboembolismo, sepse) adiciona dias de permanência não remunerados.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Rotatividade de leitos: </w:t>
      </w:r>
      <w:r>
        <w:t xml:space="preserve">o leito ocupado por complicação é uma admissão que não acontece — receita de oportunidade perdida.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Reinternação (30 dias): </w:t>
      </w:r>
      <w:r>
        <w:t xml:space="preserve">readmissões evitáveis, com frequência não remuneradas ou penalizadas pela fonte pagadora.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Reabordagem cirúrgica: </w:t>
      </w:r>
      <w:r>
        <w:t xml:space="preserve">o retorno ao centro cirúrgico por complicação consome sala, OPME e equipe, sem receita correspondente.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Tempo de procedimento: </w:t>
      </w:r>
      <w:r>
        <w:t xml:space="preserve">complicações intraoperatórias alongam a cirurgia e reduzem o giro de sala.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3 · A solução — módulo VitaCare</w:t>
      </w:r>
    </w:p>
    <w:p>
      <w:pPr>
        <w:spacing w:after="120" w:before="0" w:line="276"/>
      </w:pPr>
      <w:r>
        <w:t xml:space="preserve">VitaCare é o módulo de vigilância assistiva de segurança e desfechos: antecipa o risco e organiza a prevenção, sempre como apoio à equipe e com decisão clínica final humana. Sustenta o Núcleo de Segurança do Paciente (NSP) e a jornada de acreditação (ONA/Qmentum).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Módulo-base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dentro do VitaCare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Capta sinais vitais, exames, prescrição e dados do centro cirúrgico para alimentar os escores de risco em tempo quase real.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Estrutura a notificação de eventos (near miss e evento adverso), a análise de causa raiz e a evidência para acreditação.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Prioriza os pacientes de maior risco (deterioração, queda, lesão por pressão, TEV) para intervenção — apoio à decisão, palavra final clínica.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</w:t>
            </w:r>
          </w:p>
        </w:tc>
        <w:tc>
          <w:tcPr>
            <w:tcW w:type="dxa" w:w="6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Torre de comando de segurança e desfechos: escores, bundles, permanência vs esperada, reinternação e reabordagem.</w:t>
            </w:r>
          </w:p>
        </w:tc>
      </w:tr>
    </w:tbl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4 · Vigilância e prevenção assistivas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Escores de alerta precoce de deterioração e sepse (ex.: NEWS/MEWS), com gatilho de resposta rápida.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Risco de queda (Morse), lesão por pressão (Braden) e tromboembolismo (Pádua/Caprini), com bundles de prevenção.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Checklist de cirurgia segura (OMS) e protocolos de prevenção de IRAS e higiene das mãos.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Predição de reinternação e de permanência prolongada para atuação precoce.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5 · Conformidade</w:t>
      </w:r>
    </w:p>
    <w:p>
      <w:pPr>
        <w:spacing w:after="120" w:before="0" w:line="276"/>
      </w:pPr>
      <w:r>
        <w:t xml:space="preserve">Programa Nacional de Segurança do Paciente (PNSP, Portaria GM/MS 529/2013) e RDC ANVISA 36/2013 (Núcleo de Segurança do Paciente e notificação via NOTIVISA); acreditação ONA/Qmentum; CFM quanto ao ato clínico; e LGPD para dados sensíveis. Funções com componente clínico são assistivas e sujeitas a enquadramento (CFM/ANVISA · SaMD): o sistema evidencia e propõe; a equipe decide.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6 · Drivers de valor — memória de cálculo</w:t>
      </w:r>
    </w:p>
    <w:p>
      <w:pPr>
        <w:spacing w:after="120" w:before="0" w:line="276"/>
      </w:pPr>
      <w:r>
        <w:t xml:space="preserve">Premissas ilustrativas (a validar): margem de contribuição por leito-dia liberado da ordem de R$ 1.200; volumes mensais de eventos evitáveis e reabordagens conforme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Memória de cálculo (ilustrativa)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R$/mês (ref.)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Redução de permanência por evento evitável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90 leito-dias/mês recuperáveis × R$ 1.200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108.000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Redução de reinternação (30 dias)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25 casos × R$ 4.000 × 30% evitável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30.000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Redução de reabordagem cirúrgica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8 casos × R$ 12.000 × 25% evitável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24.000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Recuperação de tempo de sala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40 h/mês × R$ 800 de margem/h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32.000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Total incremental ilustrativo</w:t>
            </w:r>
          </w:p>
        </w:tc>
        <w:tc>
          <w:tcPr>
            <w:tcW w:type="dxa" w:w="3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≈ R$ 2,33 mi / ano</w:t>
            </w:r>
          </w:p>
        </w:tc>
        <w:tc>
          <w:tcPr>
            <w:tcW w:type="dxa" w:w="2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194.000</w:t>
            </w:r>
          </w:p>
        </w:tc>
      </w:tr>
    </w:tbl>
    <w:p>
      <w:pPr>
        <w:pBdr>
          <w:left w:val="single" w:color="B8860B" w:sz="16" w:space="8"/>
        </w:pBdr>
        <w:shd w:fill="F6EDD6" w:val="clear"/>
        <w:spacing w:before="120"/>
      </w:pPr>
      <w:r>
        <w:rPr>
          <w:i/>
          <w:iCs/>
          <w:color w:val="5A4A12"/>
          <w:sz w:val="16"/>
          <w:szCs w:val="16"/>
        </w:rPr>
        <w:t xml:space="preserve">Eixo de maior alavancagem: reduzir eventos adversos corta custo e libera capacidade ao mesmo tempo. Premissas ilustrativas, a validar no baseline. IA assistiva com decisão clínica humana, sob enquadramento CFM/ANVISA. Não constitui aconselhamento clínico nem financeiro.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7 · Indicadores (KPIs)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Densidade de eventos adversos evitáveis e de IRAS.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Permanência média vs esperada (e leito-dias excedentes).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Reinternação em 30 dias e reabordagem cirúrgica.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Taxa de ocupação e giro de leitos; tempo médio de procedimento.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Adesão a bundles de prevenção e ao checklist de cirurgia segura.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8 · Integração ao roadmap &amp; investimento</w:t>
      </w:r>
    </w:p>
    <w:p>
      <w:pPr>
        <w:spacing w:after="120" w:before="0" w:line="276"/>
      </w:pPr>
      <w:r>
        <w:t xml:space="preserve">VitaCare entra após o núcleo operacional, integrando-se a prontuário e monitorização. Ordem de grandeza: implantação na faixa de R$ 150–190 mil e assinatura de R$ 9–11 mil/mês, a dimensionar conforme as integrações clínicas e o perfil de complexidade. Por ser o eixo de maior alavancagem (custo evitado somado a capacidade liberada), tende ao retorno mais expressivo — e também o mais sensível à qualidade dos dados clínicos.</w:t>
      </w:r>
    </w:p>
    <w:p>
      <w:pPr>
        <w:spacing w:after="120" w:before="0" w:line="276"/>
      </w:pPr>
      <w:r>
        <w:rPr>
          <w:i/>
          <w:iCs/>
          <w:color w:val="5A6A72"/>
          <w:sz w:val="17"/>
          <w:szCs w:val="17"/>
        </w:rPr>
        <w:t xml:space="preserve">Os valores são ilustrativos, incrementais e não vinculantes, a confirmar com dados reais do hospital. Este anexo não constitui aconselhamento financeiro, jurídico ou clínico.</w:t>
      </w:r>
    </w:p>
    <w:p>
      <w:pPr>
        <w:spacing w:before="120"/>
      </w:pPr>
      <w:r>
        <w:rPr>
          <w:color w:val="5A6A72"/>
          <w:sz w:val="15"/>
          <w:szCs w:val="15"/>
        </w:rPr>
        <w:t xml:space="preserve">Nichvs Tecnologia ME · CNPJ 28.954.962/0001-07 · contato@nichvs.tech · nichvs.studio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3" w:sz="4" w:space="4"/>
      </w:pBdr>
      <w:tabs>
        <w:tab w:val="right" w:pos="9360"/>
      </w:tabs>
    </w:pPr>
    <w:r>
      <w:rPr>
        <w:color w:val="5A6A72"/>
        <w:sz w:val="15"/>
        <w:szCs w:val="15"/>
      </w:rPr>
      <w:t xml:space="preserve">CONFIDENCIAL · Anexo Vita @ HEL</w:t>
    </w:r>
    <w:r>
      <w:rPr>
        <w:color w:val="5A6A72"/>
        <w:sz w:val="15"/>
        <w:szCs w:val="15"/>
      </w:rPr>
      <w:t xml:space="preserve">	Nichvs Tecnologia ME · CNPJ 28.954.962/0001-07 · pág. </w:t>
    </w:r>
    <w:r>
      <w:rPr>
        <w:color w:val="5A6A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  <w:spacing w:after="0"/>
    </w:pPr>
    <w:r>
      <w:rPr>
        <w:b/>
        <w:bCs/>
        <w:color w:val="0E3A43"/>
        <w:sz w:val="18"/>
        <w:szCs w:val="18"/>
      </w:rPr>
      <w:t xml:space="preserve">NICHVS</w:t>
    </w:r>
    <w:r>
      <w:rPr>
        <w:color w:val="5A6A72"/>
        <w:sz w:val="18"/>
        <w:szCs w:val="18"/>
      </w:rPr>
      <w:t xml:space="preserve"> STUDIO</w:t>
    </w:r>
    <w:r>
      <w:rPr>
        <w:color w:val="5A6A72"/>
        <w:sz w:val="16"/>
        <w:szCs w:val="16"/>
      </w:rPr>
      <w:t xml:space="preserve">	Anexos Técnicos · Vita @ HEL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2026-06-29T01:02:09.330Z</dcterms:created>
  <dcterms:modified xsi:type="dcterms:W3CDTF">2026-06-29T01:02:09.330Z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