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60"/>
      </w:pPr>
      <w:r>
        <w:rPr>
          <w:b/>
          <w:bCs/>
          <w:color w:val="0E3A43"/>
          <w:sz w:val="52"/>
          <w:szCs w:val="52"/>
        </w:rPr>
        <w:t xml:space="preserve">NICHVS</w:t>
      </w:r>
      <w:r>
        <w:rPr>
          <w:b/>
          <w:bCs/>
          <w:color w:val="B8860B"/>
          <w:sz w:val="52"/>
          <w:szCs w:val="52"/>
        </w:rPr>
        <w:t xml:space="preserve"> STUDIO</w:t>
      </w:r>
    </w:p>
    <w:p>
      <w:pPr>
        <w:pBdr>
          <w:bottom w:val="single" w:color="B8860B" w:sz="12" w:space="6"/>
        </w:pBdr>
        <w:spacing w:after="260"/>
      </w:pPr>
      <w:r>
        <w:rPr>
          <w:i/>
          <w:iCs/>
          <w:color w:val="5A6A72"/>
          <w:sz w:val="19"/>
          <w:szCs w:val="19"/>
        </w:rPr>
        <w:t xml:space="preserve">Vita · vertical de saúde — A inteligência em movimento perpétuo</w:t>
      </w:r>
    </w:p>
    <w:p>
      <w:pPr>
        <w:spacing w:after="60" w:before="200"/>
      </w:pPr>
      <w:r>
        <w:rPr>
          <w:b/>
          <w:bCs/>
          <w:color w:val="117A8B"/>
          <w:sz w:val="24"/>
          <w:szCs w:val="24"/>
        </w:rPr>
        <w:t xml:space="preserve">PROPOSTA COMERCIAL</w:t>
      </w:r>
    </w:p>
    <w:p>
      <w:pPr>
        <w:spacing w:after="30"/>
      </w:pPr>
      <w:r>
        <w:rPr>
          <w:b/>
          <w:bCs/>
          <w:color w:val="0E3A43"/>
          <w:sz w:val="29"/>
          <w:szCs w:val="29"/>
        </w:rPr>
        <w:t xml:space="preserve">Plataforma Vita + Consultoria de Modelagem da Jornada</w:t>
      </w:r>
    </w:p>
    <w:p>
      <w:pPr>
        <w:spacing w:after="40"/>
      </w:pPr>
      <w:r>
        <w:rPr>
          <w:b/>
          <w:bCs/>
          <w:color w:val="0E3A43"/>
          <w:sz w:val="27"/>
          <w:szCs w:val="27"/>
        </w:rPr>
        <w:t xml:space="preserve">para o Hospital Evangélico de Londrina</w:t>
      </w:r>
    </w:p>
    <w:p>
      <w:pPr>
        <w:spacing w:after="300"/>
      </w:pPr>
      <w:r>
        <w:rPr>
          <w:color w:val="5A6A72"/>
          <w:sz w:val="20"/>
          <w:szCs w:val="20"/>
        </w:rPr>
        <w:t xml:space="preserve">Evolução tecnológica de ponta a ponta, rumo à Inteligência Infraestrutural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624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Hospital Evangélico de Londrina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Preparada para</w:t>
            </w:r>
          </w:p>
        </w:tc>
        <w:tc>
          <w:tcPr>
            <w:tcW w:type="dxa" w:w="624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Superintendência e Diretoria Técnica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Preparada por</w:t>
            </w:r>
          </w:p>
        </w:tc>
        <w:tc>
          <w:tcPr>
            <w:tcW w:type="dxa" w:w="624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Nichvs Tecnologia 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624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Junho de 2026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Validade da proposta</w:t>
            </w:r>
          </w:p>
        </w:tc>
        <w:tc>
          <w:tcPr>
            <w:tcW w:type="dxa" w:w="624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30 dias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Versão</w:t>
            </w:r>
          </w:p>
        </w:tc>
        <w:tc>
          <w:tcPr>
            <w:tcW w:type="dxa" w:w="624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1 · Sumário Executivo</w:t>
      </w:r>
    </w:p>
    <w:p>
      <w:pPr>
        <w:spacing w:after="120" w:before="0" w:line="276"/>
      </w:pPr>
      <w:r>
        <w:t xml:space="preserve">O Hospital Evangélico de Londrina opera em larga escala — faturamento da ordem de R$ 18 milhões/mês entre SUS, convênios e plano próprio — e, como toda operação hospitalar dessa complexidade, convive com perdas estruturais difusas em três frentes: a operação e o ciclo de receita (glosa, no-show, salas e exames); os materiais, medicamentos e OPME; e a segurança do paciente. Individualmente parecem pequenas; somadas, decidem a margem do hospital.</w:t>
      </w:r>
    </w:p>
    <w:p>
      <w:pPr>
        <w:spacing w:after="120" w:before="0" w:line="276"/>
      </w:pPr>
      <w:r>
        <w:t xml:space="preserve">A plataforma </w:t>
      </w:r>
      <w:r>
        <w:rPr>
          <w:b/>
          <w:bCs/>
        </w:rPr>
        <w:t xml:space="preserve">Vita</w:t>
      </w:r>
      <w:r>
        <w:t xml:space="preserve"> (família NICHVS STUDIO), combinada à consultoria de modelagem da jornada, ataca as três frentes com automação assistida e interoperabilidade. O núcleo operacional, já modelado, projeta </w:t>
      </w:r>
      <w:r>
        <w:rPr>
          <w:b/>
          <w:bCs/>
        </w:rPr>
        <w:t xml:space="preserve">R$ 270,5 mil/mês</w:t>
      </w:r>
      <w:r>
        <w:t xml:space="preserve"> com </w:t>
      </w:r>
      <w:r>
        <w:rPr>
          <w:b/>
          <w:bCs/>
        </w:rPr>
        <w:t xml:space="preserve">payback de 7 meses e ROI de 3,66× em 36 meses</w:t>
      </w:r>
      <w:r>
        <w:t xml:space="preserve">. As extensões verticais VitaMed e VitaCare adicionam um potencial incremental de </w:t>
      </w:r>
      <w:r>
        <w:rPr>
          <w:b/>
          <w:bCs/>
        </w:rPr>
        <w:t xml:space="preserve">~R$ 335,7 mil/mês</w:t>
      </w:r>
      <w:r>
        <w:t xml:space="preserve">, elevando o benefício potencial consolidado a </w:t>
      </w:r>
      <w:r>
        <w:rPr>
          <w:b/>
          <w:bCs/>
        </w:rPr>
        <w:t xml:space="preserve">~R$ 606 mil/mês</w:t>
      </w:r>
      <w:r>
        <w:t xml:space="preserve"> — sobre premissas a validar na Fase 0.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2 · Entendimento do Desafio</w:t>
      </w:r>
    </w:p>
    <w:p>
      <w:pPr>
        <w:spacing w:after="120" w:before="0" w:line="276"/>
      </w:pPr>
      <w:r>
        <w:t xml:space="preserve">As frentes de perda são as premissas de trabalho do modelo de valor, a confirmar com os números reais da instituição no diagnóstico (Fase 0):</w:t>
      </w:r>
    </w:p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2.1 · Operação &amp; ciclo de receita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Glosa: </w:t>
      </w:r>
      <w:r>
        <w:t xml:space="preserve">~4% sobre o faturamento (~R$ 720 mil/mês), com parcela técnica evitável por estruturação TISS e auditoria assistida.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Faturamento manual: </w:t>
      </w:r>
      <w:r>
        <w:t xml:space="preserve">~2.000 horas/mês em auditoria e montagem de contas.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No-show: </w:t>
      </w:r>
      <w:r>
        <w:t xml:space="preserve">~18% sobre ~12.000 agendamentos/mês — receita não realizada e capacidade ociosa.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Salas &amp; exames: </w:t>
      </w:r>
      <w:r>
        <w:t xml:space="preserve">8 salas com utilização aquém do potencial e ~6% de exames duplicados sobre ~20.000/mês.</w:t>
      </w:r>
    </w:p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2.2 · Materiais, medicamentos &amp; OPME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Subfaturamento e glosa de material/OPME, </w:t>
      </w:r>
      <w:r>
        <w:t xml:space="preserve">rastreabilidade incompleta, ruptura e desperdício de estoque, e o ciclo manual de autorização e consignação. Detalhado no Anexo A.</w:t>
      </w:r>
    </w:p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2.3 · Segurança do paciente &amp; desfechos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rPr>
          <w:b/>
          <w:bCs/>
        </w:rPr>
        <w:t xml:space="preserve">O custo invisível: </w:t>
      </w:r>
      <w:r>
        <w:t xml:space="preserve">eventos adversos evitáveis que prolongam internação, travam a rotatividade de leitos e geram reinternação, reabordagem cirúrgica e procedimentos mais longos. Detalhado no Anexo B.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3 · Solução Proposta</w:t>
      </w:r>
    </w:p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3.1 · Núcleo operacional — plataforma Vita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resolve no HEL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VitaScrape · Interoperabilidade</w:t>
            </w:r>
          </w:p>
        </w:tc>
        <w:tc>
          <w:tcPr>
            <w:tcW w:type="dxa" w:w="66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HL7/FHIR, RNDS e TISS; conexão a HIS/ERP, laboratórios e convênios — eventos clínicos e administrativos sem digitação dupla.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VitaDoc · Ciclo de Receita</w:t>
            </w:r>
          </w:p>
        </w:tc>
        <w:tc>
          <w:tcPr>
            <w:tcW w:type="dxa" w:w="66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Leitura de guias, laudos e contas; estruturação TISS, prevenção de glosas e auditoria documental com validação humana.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VitaMatch · Alocação &amp; Priorização</w:t>
            </w:r>
          </w:p>
        </w:tc>
        <w:tc>
          <w:tcPr>
            <w:tcW w:type="dxa" w:w="66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Priorização de leitos, filas cirúrgicas e exames por critérios clínicos e operacionais — apoio à decisão, palavra final humana.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VitaFlow · Torre de Comando</w:t>
            </w:r>
          </w:p>
        </w:tc>
        <w:tc>
          <w:tcPr>
            <w:tcW w:type="dxa" w:w="66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Ocupação, no-show e indicadores em tempo real; alertas, RBAC e auditoria imutável por papel.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3.2 · Extensões verticais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Eixo de valor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VitaMed · Materiais, Medicamentos &amp; OPME</w:t>
            </w:r>
          </w:p>
        </w:tc>
        <w:tc>
          <w:tcPr>
            <w:tcW w:type="dxa" w:w="66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Fecha o elo entre consumo físico e receita líquida: anti-subfaturamento, glosa de material/OPME, rastreabilidade, estoque e consignação. (Anexo A)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VitaCare · Segurança do Paciente &amp; Desfechos</w:t>
            </w:r>
          </w:p>
        </w:tc>
        <w:tc>
          <w:tcPr>
            <w:tcW w:type="dxa" w:w="66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Vigilância assistiva de risco (deterioração, queda, LPP, sepse), bundles de prevenção e gestão de desfechos — menos permanência, reinternação e reabordagem. (Anexo B)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3.3 · Consultoria — Modelagem da Jornada</w:t>
      </w:r>
    </w:p>
    <w:p>
      <w:pPr>
        <w:spacing w:after="120" w:before="0" w:line="276"/>
      </w:pPr>
      <w:r>
        <w:t xml:space="preserve">Desenho metodológico da transição da operação atual até a Inteligência Infraestrutural, com governança, segurança e conformidade (CFM, ANVISA, ANS/TISS, RNDS e ONA) tratadas como engenharia. A IA é assistiva e opera com humano no comando: apoia decisões, nunca as substitui.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4 · Abordagem &amp; Metodologia</w:t>
      </w:r>
    </w:p>
    <w:p>
      <w:pPr>
        <w:spacing w:after="120" w:before="0" w:line="276"/>
      </w:pPr>
      <w:r>
        <w:t xml:space="preserve">Condução sob as melhores práticas e frameworks globais, adaptados à realidade regulatória da saúde brasileira:</w:t>
      </w:r>
    </w:p>
    <w:p>
      <w:pPr>
        <w:spacing w:after="120" w:before="0" w:line="276"/>
      </w:pPr>
      <w:r>
        <w:t xml:space="preserve">COBIT · ISO/IEC 27001 · NIST CSF · DAMA-DMBOK · MLOps · DevSecOps · SAFe · Scrum/Kanban · Responsible AI · HL7 FHIR · IEC 62304 / ISO 13485 (SaMD).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5 · Escopo &amp; Entregáveis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Fase 0 — Diagnóstico, governança e segurança: baseline das premissas, RACI, bases legais (LGPD), arquitetura de segurança e alta disponibilidade.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Fase 1 — VitaDoc: prova de valor no ciclo de receita (glosa e horas de faturamento).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Fase 2 — VitaFlow: torre de comando e redução de no-show.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Fase 3 — VitaMatch: alocação de leitos, salas e filas.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Fase 4 — VitaScrape: interoperabilidade plena (FHIR/RNDS/TISS).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Fase 5 — VitaMed: materiais, medicamentos &amp; OPME (Anexo A).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t xml:space="preserve">Fase 6 — VitaCare: segurança do paciente &amp; desfechos (Anexo B).</w:t>
      </w:r>
    </w:p>
    <w:p>
      <w:pPr>
        <w:spacing w:after="120" w:before="0" w:line="276"/>
      </w:pPr>
      <w:r>
        <w:t xml:space="preserve">Entregáveis-padrão por fase: matriz RACI, checklist ISO/IEC 27001, plano de continuidade (DR/HA), mapa de homologação, KPIs/SLAs, política de IA Responsável e cronograma detalhado.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6 · Roadmap / Cronograma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2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Escopo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Go-live (mês)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Diagnóstico, governança &amp; segurança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Mês 1 (início)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VitaDoc — ciclo de receita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Mês 3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VitaFlow — torre de comando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Mês 5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VitaMatch — alocação &amp; priorização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Mês 8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VitaScrape — interoperabilidade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Mês 11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VitaMed — materiais, medicamentos &amp; OPME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Mês 14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VitaCare — segurança do paciente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Mês 17</w:t>
            </w:r>
          </w:p>
        </w:tc>
      </w:tr>
    </w:tbl>
    <w:p>
      <w:pPr>
        <w:spacing w:after="120" w:before="0" w:line="276"/>
      </w:pPr>
      <w:r>
        <w:t xml:space="preserve">Rampa até run-rate pleno de aproximadamente 4 meses após cada go-live.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7 · Modelo de Investimento</w:t>
      </w:r>
    </w:p>
    <w:p>
      <w:pPr>
        <w:spacing w:after="120" w:before="0" w:line="276"/>
      </w:pPr>
      <w:r>
        <w:t xml:space="preserve">O investimento separa a implantação (única, por fase) da assinatura recorrente. A implantação é faturada por marco de entrega — go-live de cada fase — diluindo o capex do hospital; a recorrência escala à medida que cada módulo entra em operação.</w:t>
      </w:r>
    </w:p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7.1 · Implantação por fase (investimento único)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Escopo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Investimento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Fase 0</w:t>
            </w:r>
          </w:p>
        </w:tc>
        <w:tc>
          <w:tcPr>
            <w:tcW w:type="dxa" w:w="4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Diagnóstico · governança · segurança/HA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R$ 90.000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Fase 1</w:t>
            </w:r>
          </w:p>
        </w:tc>
        <w:tc>
          <w:tcPr>
            <w:tcW w:type="dxa" w:w="4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VitaDoc — ciclo de receita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R$ 150.000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Fase 2</w:t>
            </w:r>
          </w:p>
        </w:tc>
        <w:tc>
          <w:tcPr>
            <w:tcW w:type="dxa" w:w="4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VitaFlow — torre de comando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R$ 130.000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Fase 3</w:t>
            </w:r>
          </w:p>
        </w:tc>
        <w:tc>
          <w:tcPr>
            <w:tcW w:type="dxa" w:w="4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VitaMatch — alocação &amp; priorização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R$ 160.000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Fase 4</w:t>
            </w:r>
          </w:p>
        </w:tc>
        <w:tc>
          <w:tcPr>
            <w:tcW w:type="dxa" w:w="4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VitaScrape — interoperabilidade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R$ 180.000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Fase 5</w:t>
            </w:r>
          </w:p>
        </w:tc>
        <w:tc>
          <w:tcPr>
            <w:tcW w:type="dxa" w:w="4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VitaMed — materiais, medicamentos &amp; OPME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R$ 160.000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Fase 6</w:t>
            </w:r>
          </w:p>
        </w:tc>
        <w:tc>
          <w:tcPr>
            <w:tcW w:type="dxa" w:w="4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VitaCare — segurança do paciente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R$ 170.000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47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Implantação ponta a ponta (6 módulos)</w:t>
            </w:r>
          </w:p>
        </w:tc>
        <w:tc>
          <w:tcPr>
            <w:tcW w:type="dxa" w:w="26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R$ 1.040.000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7.2 · Assinatura — bundle institucional (mensal)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3200"/>
        <w:gridCol w:w="3200"/>
      </w:tblGrid>
      <w:tr>
        <w:trPr>
          <w:tblHeader/>
        </w:trPr>
        <w:tc>
          <w:tcPr>
            <w:tcW w:type="dxa" w:w="2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Mensal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Anual</w:t>
            </w:r>
          </w:p>
        </w:tc>
      </w:tr>
      <w:tr>
        <w:trPr>
          <w:tblHeader w:val="false"/>
        </w:trPr>
        <w:tc>
          <w:tcPr>
            <w:tcW w:type="dxa" w:w="2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VitaScrape · Interop (FHIR/RNDS/HL7)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R$ 10.000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R$ 120.000</w:t>
            </w:r>
          </w:p>
        </w:tc>
      </w:tr>
      <w:tr>
        <w:trPr>
          <w:tblHeader w:val="false"/>
        </w:trPr>
        <w:tc>
          <w:tcPr>
            <w:tcW w:type="dxa" w:w="2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VitaDoc · ciclo de receita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R$ 8.000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R$ 96.000</w:t>
            </w:r>
          </w:p>
        </w:tc>
      </w:tr>
      <w:tr>
        <w:trPr>
          <w:tblHeader w:val="false"/>
        </w:trPr>
        <w:tc>
          <w:tcPr>
            <w:tcW w:type="dxa" w:w="2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VitaMatch · alocação &amp; priorização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R$ 8.000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R$ 96.000</w:t>
            </w:r>
          </w:p>
        </w:tc>
      </w:tr>
      <w:tr>
        <w:trPr>
          <w:tblHeader w:val="false"/>
        </w:trPr>
        <w:tc>
          <w:tcPr>
            <w:tcW w:type="dxa" w:w="2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VitaFlow · torre de comando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R$ 9.000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R$ 108.000</w:t>
            </w:r>
          </w:p>
        </w:tc>
      </w:tr>
      <w:tr>
        <w:trPr>
          <w:tblHeader w:val="false"/>
        </w:trPr>
        <w:tc>
          <w:tcPr>
            <w:tcW w:type="dxa" w:w="2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VitaMed · materiais &amp; OPME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R$ 9.000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R$ 108.000</w:t>
            </w:r>
          </w:p>
        </w:tc>
      </w:tr>
      <w:tr>
        <w:trPr>
          <w:tblHeader w:val="false"/>
        </w:trPr>
        <w:tc>
          <w:tcPr>
            <w:tcW w:type="dxa" w:w="2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VitaCare · segurança do paciente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R$ 10.000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R$ 120.000</w:t>
            </w:r>
          </w:p>
        </w:tc>
      </w:tr>
      <w:tr>
        <w:trPr>
          <w:tblHeader w:val="false"/>
        </w:trPr>
        <w:tc>
          <w:tcPr>
            <w:tcW w:type="dxa" w:w="296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Bundle institucional (6 módulos)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R$ 49.000</w:t>
            </w:r>
          </w:p>
        </w:tc>
        <w:tc>
          <w:tcPr>
            <w:tcW w:type="dxa" w:w="32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R$ 588.000</w:t>
            </w:r>
          </w:p>
        </w:tc>
      </w:tr>
    </w:tbl>
    <w:p>
      <w:pPr>
        <w:spacing w:after="120" w:before="0" w:line="276"/>
      </w:pPr>
      <w:r>
        <w:t xml:space="preserve">Ativação modular: o hospital liga cada módulo conforme comprova valor — sem contrato monolítico. Alternativa institucional: contrato anual único (implantação + recorrente) com desconto de volume.</w:t>
      </w:r>
    </w:p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7.3 · Potencial de benefício consolidado (run-rate pleno)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Eixo de valor</w:t>
            </w:r>
          </w:p>
        </w:tc>
        <w:tc>
          <w:tcPr>
            <w:tcW w:type="dxa" w:w="198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R$/mês</w:t>
            </w:r>
          </w:p>
        </w:tc>
        <w:tc>
          <w:tcPr>
            <w:tcW w:type="dxa" w:w="198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0E3A4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R$/ano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Núcleo operacional (4 módulos) — modelado</w:t>
            </w:r>
          </w:p>
        </w:tc>
        <w:tc>
          <w:tcPr>
            <w:tcW w:type="dxa" w:w="198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270.500</w:t>
            </w:r>
          </w:p>
        </w:tc>
        <w:tc>
          <w:tcPr>
            <w:tcW w:type="dxa" w:w="198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3,25 mi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VitaMed — materiais, medicamentos &amp; OPME</w:t>
            </w:r>
          </w:p>
        </w:tc>
        <w:tc>
          <w:tcPr>
            <w:tcW w:type="dxa" w:w="198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141.750</w:t>
            </w:r>
          </w:p>
        </w:tc>
        <w:tc>
          <w:tcPr>
            <w:tcW w:type="dxa" w:w="198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1,70 mi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VitaCare — segurança do paciente &amp; desfechos</w:t>
            </w:r>
          </w:p>
        </w:tc>
        <w:tc>
          <w:tcPr>
            <w:tcW w:type="dxa" w:w="198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194.000</w:t>
            </w:r>
          </w:p>
        </w:tc>
        <w:tc>
          <w:tcPr>
            <w:tcW w:type="dxa" w:w="198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2,33 mi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Potencial consolidado</w:t>
            </w:r>
          </w:p>
        </w:tc>
        <w:tc>
          <w:tcPr>
            <w:tcW w:type="dxa" w:w="198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606.250</w:t>
            </w:r>
          </w:p>
        </w:tc>
        <w:tc>
          <w:tcPr>
            <w:tcW w:type="dxa" w:w="1980"/>
            <w:tcBorders>
              <w:top w:val="single" w:color="C9CFD3" w:sz="1"/>
              <w:left w:val="single" w:color="C9CFD3" w:sz="1"/>
              <w:bottom w:val="single" w:color="C9CFD3" w:sz="1"/>
              <w:right w:val="single" w:color="C9CFD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color w:val="1A1A1A"/>
                <w:sz w:val="19"/>
                <w:szCs w:val="19"/>
              </w:rPr>
              <w:t xml:space="preserve">7,28 mi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17A8B"/>
          <w:sz w:val="23"/>
          <w:szCs w:val="23"/>
        </w:rPr>
        <w:t xml:space="preserve">7.4 · Retorno</w:t>
      </w:r>
    </w:p>
    <w:p>
      <w:pPr>
        <w:spacing w:after="120" w:before="0" w:line="276"/>
      </w:pPr>
      <w:r>
        <w:t xml:space="preserve">O núcleo operacional já está modelado e ancora a decisão: </w:t>
      </w:r>
      <w:r>
        <w:rPr>
          <w:b/>
          <w:bCs/>
        </w:rPr>
        <w:t xml:space="preserve">ROI de 3,66× em 36 meses, payback de 7 meses e VPL de R$ 5,21 mi</w:t>
      </w:r>
      <w:r>
        <w:t xml:space="preserve"> (cenário base). VitaMed e VitaCare são incrementais e melhoram esse retorno; mantidas as proporções de rampa e cenário do modelo, o programa consolidado projeta payback inferior a 12 meses e ROI na ordem de 3–5× — a ser consolidado na planilha atualizada com os dois novos eixos.</w:t>
      </w:r>
    </w:p>
    <w:p>
      <w:pPr>
        <w:pBdr>
          <w:left w:val="single" w:color="B8860B" w:sz="16" w:space="8"/>
        </w:pBdr>
        <w:shd w:fill="F6EDD6" w:val="clear"/>
        <w:spacing w:before="120"/>
      </w:pPr>
      <w:r>
        <w:rPr>
          <w:i/>
          <w:iCs/>
          <w:color w:val="5A4A12"/>
          <w:sz w:val="17"/>
          <w:szCs w:val="17"/>
        </w:rPr>
        <w:t xml:space="preserve">Os indicadores derivam do modelo de valor Vita @ HEL. As premissas operacionais (faturamento, glosa, no-show, salas, exames, materiais/OPME e eventos de segurança) são ilustrativas e serão validadas com os números reais do hospital no baseline (Fase 0). Não constituem oferta vinculante nem aconselhamento financeiro. Funções clínicas permanecem assistivas, sob decisão humana e enquadramento CFM/ANVISA.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8 · Premissas &amp; Exclusões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Acessos, dados e pontos focais (TI, faturamento, corpo clínico e diretoria) fornecidos em tempo hábil.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Integrações dependem de cooperação dos fornecedores dos sistemas legados (HIS/ERP/PACS) do hospital.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Licenças de terceiros e infraestrutura on-premise, quando aplicáveis, não estão inclusas salvo indicação expressa.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Funções com componente clínico dependem de enquadramento regulatório (CFM/ANVISA) e aprovação institucional antes de qualquer operação.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9 · Termos Comerciais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Validade desta proposta: 30 dias a partir da data de emissão.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Implantação faturada por marco (go-live de cada fase); assinatura mensal por nota fiscal.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Reajuste anual pelo IPCA; tributos conforme legislação.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Contratação formalizada por Contrato de Prestação de Serviços e respectiva Ordem de Serviço (SOW).</w:t>
      </w:r>
    </w:p>
    <w:p>
      <w:pPr>
        <w:pStyle w:val="ListParagraph"/>
        <w:numPr>
          <w:ilvl w:val="0"/>
          <w:numId w:val="2"/>
        </w:numPr>
        <w:spacing w:after="70" w:before="0" w:line="276"/>
      </w:pPr>
      <w:r>
        <w:t xml:space="preserve">Metas e benefícios são projeções de planejamento, confirmados após o baseline na Fase 0.</w:t>
      </w:r>
    </w:p>
    <w:p>
      <w:pPr>
        <w:pStyle w:val="Heading1"/>
        <w:pBdr>
          <w:bottom w:val="single" w:color="B8860B" w:sz="8" w:space="4"/>
        </w:pBdr>
        <w:spacing w:after="140" w:before="300"/>
      </w:pPr>
      <w:r>
        <w:rPr>
          <w:b/>
          <w:bCs/>
          <w:color w:val="0E3A43"/>
          <w:sz w:val="26"/>
          <w:szCs w:val="26"/>
        </w:rPr>
        <w:t xml:space="preserve">10 · Próximos Passos</w:t>
      </w:r>
    </w:p>
    <w:p>
      <w:pPr>
        <w:pStyle w:val="ListParagraph"/>
        <w:numPr>
          <w:ilvl w:val="0"/>
          <w:numId w:val="4"/>
        </w:numPr>
        <w:spacing w:after="90" w:before="0" w:line="276"/>
      </w:pPr>
      <w:r>
        <w:t xml:space="preserve">Aprovação desta proposta e assinatura do contrato / Ordem de Serviço.</w:t>
      </w:r>
    </w:p>
    <w:p>
      <w:pPr>
        <w:pStyle w:val="ListParagraph"/>
        <w:numPr>
          <w:ilvl w:val="0"/>
          <w:numId w:val="4"/>
        </w:numPr>
        <w:spacing w:after="90" w:before="0" w:line="276"/>
      </w:pPr>
      <w:r>
        <w:t xml:space="preserve">Workshop de Diagnóstico (Fase 0) com TI, faturamento, corpo clínico e diretoria.</w:t>
      </w:r>
    </w:p>
    <w:p>
      <w:pPr>
        <w:pStyle w:val="ListParagraph"/>
        <w:numPr>
          <w:ilvl w:val="0"/>
          <w:numId w:val="4"/>
        </w:numPr>
        <w:spacing w:after="90" w:before="0" w:line="276"/>
      </w:pPr>
      <w:r>
        <w:t xml:space="preserve">Kickoff do VitaDoc e início da prova de valor no ciclo de receita.</w:t>
      </w:r>
    </w:p>
    <w:p>
      <w:pPr>
        <w:spacing w:before="260"/>
      </w:pPr>
      <w:r>
        <w:rPr>
          <w:b/>
          <w:bCs/>
        </w:rPr>
        <w:t xml:space="preserve">Contato: </w:t>
      </w:r>
      <w:r>
        <w:rPr>
          <w:color w:val="117A8B"/>
        </w:rPr>
        <w:t xml:space="preserve">contato@nichvs.tech · nichvs.studio · nichvs.tech</w:t>
      </w:r>
    </w:p>
    <w:p>
      <w:pPr>
        <w:spacing w:before="60"/>
      </w:pPr>
      <w:r>
        <w:rPr>
          <w:color w:val="5A6A72"/>
          <w:sz w:val="16"/>
          <w:szCs w:val="16"/>
        </w:rPr>
        <w:t xml:space="preserve">Nichvs Tecnologia ME · CNPJ 28.954.962/0001-07 · Florianópolis/SC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3" w:sz="4" w:space="4"/>
      </w:pBdr>
      <w:tabs>
        <w:tab w:val="right" w:pos="9360"/>
      </w:tabs>
    </w:pPr>
    <w:r>
      <w:rPr>
        <w:color w:val="5A6A72"/>
        <w:sz w:val="15"/>
        <w:szCs w:val="15"/>
      </w:rPr>
      <w:t xml:space="preserve">CONFIDENCIAL · Vita @ HEL</w:t>
    </w:r>
    <w:r>
      <w:rPr>
        <w:color w:val="5A6A72"/>
        <w:sz w:val="15"/>
        <w:szCs w:val="15"/>
      </w:rPr>
      <w:t xml:space="preserve">	Nichvs Tecnologia ME · CNPJ 28.954.962/0001-07 · pág. </w:t>
    </w:r>
    <w:r>
      <w:rPr>
        <w:color w:val="5A6A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9360"/>
      </w:tabs>
      <w:spacing w:after="0"/>
    </w:pPr>
    <w:r>
      <w:rPr>
        <w:b/>
        <w:bCs/>
        <w:color w:val="0E3A43"/>
        <w:sz w:val="18"/>
        <w:szCs w:val="18"/>
      </w:rPr>
      <w:t xml:space="preserve">NICHVS</w:t>
    </w:r>
    <w:r>
      <w:rPr>
        <w:color w:val="5A6A72"/>
        <w:sz w:val="18"/>
        <w:szCs w:val="18"/>
      </w:rPr>
      <w:t xml:space="preserve"> STUDIO</w:t>
    </w:r>
    <w:r>
      <w:rPr>
        <w:color w:val="5A6A72"/>
        <w:sz w:val="16"/>
        <w:szCs w:val="16"/>
      </w:rPr>
      <w:t xml:space="preserve">	Proposta · Hospital Evangélico de Londrina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2026-06-29T01:02:09.310Z</dcterms:created>
  <dcterms:modified xsi:type="dcterms:W3CDTF">2026-06-29T01:02:09.310Z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