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0"/>
      </w:pPr>
    </w:p>
    <w:p>
      <w:pPr>
        <w:spacing w:before="0" w:after="160"/>
        <w:jc w:val="center"/>
      </w:pPr>
      <w:r>
        <w:rPr>
          <w:rFonts w:ascii="Calibri" w:hAnsi="Calibri"/>
          <w:b/>
          <w:color w:val="1F4D78"/>
          <w:sz w:val="52"/>
        </w:rPr>
        <w:t>Kassabuch</w:t>
      </w:r>
    </w:p>
    <w:p>
      <w:pPr>
        <w:pStyle w:val="Subtitle"/>
        <w:jc w:val="center"/>
      </w:pPr>
      <w:r>
        <w:t>Benutzerhandbuch</w:t>
      </w:r>
    </w:p>
    <w:p>
      <w:pPr>
        <w:spacing w:before="240" w:after="0"/>
        <w:jc w:val="center"/>
      </w:pPr>
      <w:r>
        <w:rPr>
          <w:rFonts w:ascii="Calibri" w:hAnsi="Calibri"/>
          <w:color w:val="646464"/>
          <w:sz w:val="20"/>
        </w:rPr>
        <w:t>C# / ASP.NET Core</w:t>
      </w:r>
    </w:p>
    <w:p>
      <w:r>
        <w:br w:type="page"/>
      </w:r>
    </w:p>
    <w:p>
      <w:pPr>
        <w:pStyle w:val="Heading1"/>
      </w:pPr>
      <w:r>
        <w:t>Programm starten</w:t>
      </w:r>
    </w:p>
    <w:p>
      <w:r>
        <w:t xml:space="preserve">Öffnen Sie </w:t>
      </w:r>
      <w:r>
        <w:rPr>
          <w:rFonts w:ascii="Consolas" w:hAnsi="Consolas"/>
          <w:color w:val="1F4D78"/>
          <w:sz w:val="19"/>
        </w:rPr>
        <w:t>Kassabuch.sln</w:t>
      </w:r>
      <w:r>
        <w:t xml:space="preserve"> in Visual Studio und drücken Sie </w:t>
      </w:r>
      <w:r>
        <w:rPr>
          <w:rFonts w:ascii="Consolas" w:hAnsi="Consolas"/>
          <w:color w:val="1F4D78"/>
          <w:sz w:val="19"/>
        </w:rPr>
        <w:t>F5</w:t>
      </w:r>
      <w:r>
        <w:t>. Beim ersten Start wird die lokale Datenbank automatisch erstellt. Eine Internetverbindung ist nicht erforderlich.</w:t>
      </w:r>
    </w:p>
    <w:p>
      <w:pPr>
        <w:pStyle w:val="Heading1"/>
      </w:pPr>
      <w:r>
        <w:t>Neue Buchung anlegen</w:t>
      </w:r>
    </w:p>
    <w:p>
      <w:pPr>
        <w:pStyle w:val="ListNumber"/>
      </w:pPr>
      <w:r>
        <w:t xml:space="preserve">Rechts bei </w:t>
      </w:r>
      <w:r>
        <w:rPr>
          <w:b/>
        </w:rPr>
        <w:t>Buchung hinzufügen</w:t>
      </w:r>
      <w:r>
        <w:t xml:space="preserve"> eine eindeutige Belegnummer eintragen.</w:t>
      </w:r>
    </w:p>
    <w:p>
      <w:pPr>
        <w:pStyle w:val="ListNumber"/>
      </w:pPr>
      <w:r>
        <w:t xml:space="preserve">Ein Datum bis einschließlich </w:t>
      </w:r>
      <w:r>
        <w:rPr>
          <w:b/>
        </w:rPr>
        <w:t>26.08.2026</w:t>
      </w:r>
      <w:r>
        <w:t xml:space="preserve"> wählen.</w:t>
      </w:r>
    </w:p>
    <w:p>
      <w:pPr>
        <w:pStyle w:val="ListNumber"/>
      </w:pPr>
      <w:r>
        <w:t>Beschreibung und Kategorie eintragen.</w:t>
      </w:r>
    </w:p>
    <w:p>
      <w:pPr>
        <w:pStyle w:val="ListNumber"/>
      </w:pPr>
      <w:r>
        <w:t>Entweder Einnahme oder Ausgabe ausfüllen. Das jeweils andere Feld bleibt null.</w:t>
      </w:r>
    </w:p>
    <w:p>
      <w:pPr>
        <w:pStyle w:val="ListNumber"/>
      </w:pPr>
      <w:r>
        <w:rPr>
          <w:b/>
        </w:rPr>
        <w:t>Buchung speichern</w:t>
      </w:r>
      <w:r>
        <w:t xml:space="preserve"> auswählen.</w:t>
      </w:r>
    </w:p>
    <w:p>
      <w:pPr>
        <w:pStyle w:val="Heading1"/>
      </w:pPr>
      <w:r>
        <w:t>Buchung bearbeiten oder löschen</w:t>
      </w:r>
    </w:p>
    <w:p>
      <w:r>
        <w:t xml:space="preserve">Bei einer Tabellenzeile führt </w:t>
      </w:r>
      <w:r>
        <w:rPr>
          <w:b/>
        </w:rPr>
        <w:t>Bearbeiten</w:t>
      </w:r>
      <w:r>
        <w:t xml:space="preserve"> zum vorausgefüllten Formular. Nach der Änderung </w:t>
      </w:r>
      <w:r>
        <w:rPr>
          <w:b/>
        </w:rPr>
        <w:t>Änderungen speichern</w:t>
      </w:r>
      <w:r>
        <w:t xml:space="preserve"> auswählen. Mit </w:t>
      </w:r>
      <w:r>
        <w:rPr>
          <w:b/>
        </w:rPr>
        <w:t>Löschen</w:t>
      </w:r>
      <w:r>
        <w:t xml:space="preserve"> wird der Eintrag nach einer Sicherheitsfrage entfernt und der Kontostand neu berechnet.</w:t>
      </w:r>
    </w:p>
    <w:p>
      <w:pPr>
        <w:pStyle w:val="Heading1"/>
      </w:pPr>
      <w:r>
        <w:t>Kategorien verwalten</w:t>
      </w:r>
    </w:p>
    <w:p>
      <w:r>
        <w:t xml:space="preserve">Unter </w:t>
      </w:r>
      <w:r>
        <w:rPr>
          <w:b/>
        </w:rPr>
        <w:t>Kategorien</w:t>
      </w:r>
      <w:r>
        <w:t xml:space="preserve"> Namen und Farbe auswählen und </w:t>
      </w:r>
      <w:r>
        <w:rPr>
          <w:b/>
        </w:rPr>
        <w:t>Hinzufügen</w:t>
      </w:r>
      <w:r>
        <w:t xml:space="preserve"> drücken. Die Kategorie steht sofort im Buchungsformular und im Filter zur Verfügung. Eine bereits verwendete Kategorie kann erst gelöscht werden, wenn keine Buchung mehr darauf verweist.</w:t>
      </w:r>
    </w:p>
    <w:p>
      <w:pPr>
        <w:pStyle w:val="Heading1"/>
      </w:pPr>
      <w:r>
        <w:t>Suchen, filtern und sortieren</w:t>
      </w:r>
    </w:p>
    <w:p>
      <w:r>
        <w:t xml:space="preserve">Im Filter können Text/Belegnummer, Zeitraum, Kategorie sowie Mindest- und Höchstbetrag kombiniert werden. Die Sortierung ist nach Datum oder Betrag auf- und absteigend möglich. </w:t>
      </w:r>
      <w:r>
        <w:rPr>
          <w:b/>
        </w:rPr>
        <w:t>Alle Filter löschen</w:t>
      </w:r>
      <w:r>
        <w:t xml:space="preserve"> stellt die Gesamtansicht wieder her.</w:t>
      </w:r>
    </w:p>
    <w:p>
      <w:r>
        <w:t>Die Kennzahlen beziehen sich auf die aktuelle Filterauswahl. Wird nur ein Tag ausgewählt, werden daher auch Durchschnitt und größter Betrag genau für diesen Tag berechnet.</w:t>
      </w:r>
    </w:p>
    <w:p>
      <w:pPr>
        <w:pStyle w:val="Heading1"/>
      </w:pPr>
      <w:r>
        <w:t>Berichte</w:t>
      </w:r>
    </w:p>
    <w:p>
      <w:r>
        <w:t>Unter der Tabelle kann zwischen täglicher, wöchentlicher und monatlicher Auswertung gewechselt werden. Der Bericht übernimmt die gesetzten Filter und zeigt Einnahmen, Ausgaben und Ergebnis.</w:t>
      </w:r>
    </w:p>
    <w:p>
      <w:pPr>
        <w:pStyle w:val="Heading1"/>
      </w:pPr>
      <w:r>
        <w:t>Häufige Fehlermeldungen</w:t>
      </w:r>
    </w:p>
    <w:p>
      <w:pPr>
        <w:pStyle w:val="ListBullet"/>
      </w:pPr>
      <w:r>
        <w:rPr>
          <w:b/>
        </w:rPr>
        <w:t>Belegnummer bereits vorhanden:</w:t>
      </w:r>
      <w:r>
        <w:t xml:space="preserve"> eine andere Belegnummer verwenden.</w:t>
      </w:r>
    </w:p>
    <w:p>
      <w:pPr>
        <w:pStyle w:val="ListBullet"/>
      </w:pPr>
      <w:r>
        <w:rPr>
          <w:b/>
        </w:rPr>
        <w:t>Entweder Einnahme oder Ausgabe:</w:t>
      </w:r>
      <w:r>
        <w:t xml:space="preserve"> nur eines der beiden Betragsfelder ausfüllen.</w:t>
      </w:r>
    </w:p>
    <w:p>
      <w:pPr>
        <w:pStyle w:val="ListBullet"/>
      </w:pPr>
      <w:r>
        <w:rPr>
          <w:b/>
        </w:rPr>
        <w:t>Datum darf höchstens ... sein:</w:t>
      </w:r>
      <w:r>
        <w:t xml:space="preserve"> ein Datum bis 26.08.2026 wählen.</w:t>
      </w:r>
    </w:p>
    <w:p>
      <w:pPr>
        <w:pStyle w:val="ListBullet"/>
      </w:pPr>
      <w:r>
        <w:rPr>
          <w:b/>
        </w:rPr>
        <w:t>Kategorie wird verwendet:</w:t>
      </w:r>
      <w:r>
        <w:t xml:space="preserve"> zugehörige Buchungen zuerst ändern oder löschen.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/>
        <w:color w:val="646464"/>
        <w:sz w:val="18"/>
      </w:rPr>
      <w:t xml:space="preserve">Benutzerhandbuch  |  Seite </w:t>
    </w:r>
    <w:r>
      <w:rPr>
        <w:rFonts w:ascii="Calibri" w:hAnsi="Calibri"/>
        <w:color w:val="646464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color w:val="646464"/>
        <w:sz w:val="18"/>
      </w:rPr>
      <w:t>Kassabuch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/>
      <w:i/>
      <w:iCs/>
      <w:color w:val="646464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Kassabuch – Benutzerhandbuch</dc:title>
  <dc:subject>Schulprojekt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