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9214" w:type="dxa"/>
        <w:tblInd w:w="279" w:type="dxa"/>
        <w:tblLook w:val="04A0" w:firstRow="1" w:lastRow="0" w:firstColumn="1" w:lastColumn="0" w:noHBand="0" w:noVBand="1"/>
      </w:tblPr>
      <w:tblGrid>
        <w:gridCol w:w="1921"/>
        <w:gridCol w:w="3749"/>
        <w:gridCol w:w="3544"/>
      </w:tblGrid>
      <w:tr w:rsidR="00B83E76" w:rsidTr="00B83E76">
        <w:tc>
          <w:tcPr>
            <w:tcW w:w="1921" w:type="dxa"/>
            <w:vAlign w:val="center"/>
          </w:tcPr>
          <w:p w:rsidR="00B83E76" w:rsidRPr="00833070" w:rsidRDefault="00B83E76" w:rsidP="00B83E7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bookmarkStart w:id="0" w:name="_GoBack"/>
            <w:bookmarkEnd w:id="0"/>
          </w:p>
        </w:tc>
        <w:tc>
          <w:tcPr>
            <w:tcW w:w="3749" w:type="dxa"/>
            <w:vAlign w:val="center"/>
          </w:tcPr>
          <w:p w:rsidR="00B83E76" w:rsidRPr="00833070" w:rsidRDefault="00B83E76" w:rsidP="00B83E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833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Actions clés</w:t>
            </w:r>
          </w:p>
        </w:tc>
        <w:tc>
          <w:tcPr>
            <w:tcW w:w="3544" w:type="dxa"/>
            <w:vAlign w:val="center"/>
          </w:tcPr>
          <w:p w:rsidR="00B83E76" w:rsidRPr="00833070" w:rsidRDefault="00B83E76" w:rsidP="00B83E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</w:pPr>
            <w:r w:rsidRPr="008330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Résultats attendus</w:t>
            </w:r>
          </w:p>
        </w:tc>
      </w:tr>
      <w:tr w:rsidR="00B83E76" w:rsidTr="00B83E76">
        <w:tc>
          <w:tcPr>
            <w:tcW w:w="1921" w:type="dxa"/>
            <w:vAlign w:val="center"/>
          </w:tcPr>
          <w:p w:rsidR="00B83E76" w:rsidRPr="00833070" w:rsidRDefault="00B83E76" w:rsidP="00B83E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833070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Gouvernance</w:t>
            </w:r>
          </w:p>
        </w:tc>
        <w:tc>
          <w:tcPr>
            <w:tcW w:w="3749" w:type="dxa"/>
            <w:vAlign w:val="center"/>
          </w:tcPr>
          <w:p w:rsidR="00B83E76" w:rsidRPr="00833070" w:rsidRDefault="00B83E76" w:rsidP="00B83E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833070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Mise en place des représentations nationales (Togo, Sénégal, Côte d’Ivoire, Bénin)</w:t>
            </w:r>
          </w:p>
        </w:tc>
        <w:tc>
          <w:tcPr>
            <w:tcW w:w="3544" w:type="dxa"/>
            <w:vAlign w:val="center"/>
          </w:tcPr>
          <w:p w:rsidR="00B83E76" w:rsidRPr="00833070" w:rsidRDefault="00B83E76" w:rsidP="00B83E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833070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Organisation légalement reconnue et opérationnelle</w:t>
            </w:r>
          </w:p>
        </w:tc>
      </w:tr>
      <w:tr w:rsidR="00B83E76" w:rsidTr="00B83E76">
        <w:tc>
          <w:tcPr>
            <w:tcW w:w="1921" w:type="dxa"/>
            <w:vAlign w:val="center"/>
          </w:tcPr>
          <w:p w:rsidR="00B83E76" w:rsidRPr="00833070" w:rsidRDefault="00B83E76" w:rsidP="00B83E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833070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Diagnostic</w:t>
            </w:r>
          </w:p>
        </w:tc>
        <w:tc>
          <w:tcPr>
            <w:tcW w:w="3749" w:type="dxa"/>
            <w:vAlign w:val="center"/>
          </w:tcPr>
          <w:p w:rsidR="00B83E76" w:rsidRPr="00833070" w:rsidRDefault="00B83E76" w:rsidP="00B83E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833070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Études participatives sur les besoins des personnes handicapées par pays</w:t>
            </w:r>
          </w:p>
        </w:tc>
        <w:tc>
          <w:tcPr>
            <w:tcW w:w="3544" w:type="dxa"/>
            <w:vAlign w:val="center"/>
          </w:tcPr>
          <w:p w:rsidR="00B83E76" w:rsidRPr="00833070" w:rsidRDefault="00B83E76" w:rsidP="00B83E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833070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Cartographie claire des besoins et priorités</w:t>
            </w:r>
          </w:p>
        </w:tc>
      </w:tr>
      <w:tr w:rsidR="00B83E76" w:rsidTr="00B83E76">
        <w:tc>
          <w:tcPr>
            <w:tcW w:w="1921" w:type="dxa"/>
            <w:vAlign w:val="center"/>
          </w:tcPr>
          <w:p w:rsidR="00B83E76" w:rsidRPr="00833070" w:rsidRDefault="00B83E76" w:rsidP="00B83E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833070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Inclusion sociale</w:t>
            </w:r>
          </w:p>
        </w:tc>
        <w:tc>
          <w:tcPr>
            <w:tcW w:w="3749" w:type="dxa"/>
            <w:vAlign w:val="center"/>
          </w:tcPr>
          <w:p w:rsidR="00B83E76" w:rsidRPr="00833070" w:rsidRDefault="00B83E76" w:rsidP="00B83E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833070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Campagnes de sensibilisation communautaires et scolaires</w:t>
            </w:r>
          </w:p>
        </w:tc>
        <w:tc>
          <w:tcPr>
            <w:tcW w:w="3544" w:type="dxa"/>
            <w:vAlign w:val="center"/>
          </w:tcPr>
          <w:p w:rsidR="00B83E76" w:rsidRPr="00833070" w:rsidRDefault="00B83E76" w:rsidP="00B83E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833070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Réduction des stéréotypes et meilleure acceptation sociale</w:t>
            </w:r>
          </w:p>
        </w:tc>
      </w:tr>
      <w:tr w:rsidR="00B83E76" w:rsidTr="00B83E76">
        <w:tc>
          <w:tcPr>
            <w:tcW w:w="1921" w:type="dxa"/>
            <w:vAlign w:val="center"/>
          </w:tcPr>
          <w:p w:rsidR="00B83E76" w:rsidRPr="00833070" w:rsidRDefault="00B83E76" w:rsidP="00B83E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833070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Sport inclusif</w:t>
            </w:r>
          </w:p>
        </w:tc>
        <w:tc>
          <w:tcPr>
            <w:tcW w:w="3749" w:type="dxa"/>
            <w:vAlign w:val="center"/>
          </w:tcPr>
          <w:p w:rsidR="00B83E76" w:rsidRPr="00833070" w:rsidRDefault="00B83E76" w:rsidP="00B83E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833070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Lancement de clubs pilotes de sport</w:t>
            </w:r>
            <w:r w:rsidR="006017D1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</w:t>
            </w:r>
            <w:r w:rsidRPr="00833070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adapté</w:t>
            </w:r>
          </w:p>
        </w:tc>
        <w:tc>
          <w:tcPr>
            <w:tcW w:w="3544" w:type="dxa"/>
            <w:vAlign w:val="center"/>
          </w:tcPr>
          <w:p w:rsidR="00B83E76" w:rsidRPr="00833070" w:rsidRDefault="00B83E76" w:rsidP="00B83E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833070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Accès initial au sport</w:t>
            </w:r>
            <w:r w:rsidR="006017D1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</w:t>
            </w:r>
            <w:r w:rsidRPr="00833070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pour les personnes handicapées</w:t>
            </w:r>
          </w:p>
        </w:tc>
      </w:tr>
      <w:tr w:rsidR="00B83E76" w:rsidTr="00B83E76">
        <w:tc>
          <w:tcPr>
            <w:tcW w:w="1921" w:type="dxa"/>
            <w:vAlign w:val="center"/>
          </w:tcPr>
          <w:p w:rsidR="00B83E76" w:rsidRPr="00833070" w:rsidRDefault="00B83E76" w:rsidP="00B83E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833070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Culture &amp; talents</w:t>
            </w:r>
          </w:p>
        </w:tc>
        <w:tc>
          <w:tcPr>
            <w:tcW w:w="3749" w:type="dxa"/>
            <w:vAlign w:val="center"/>
          </w:tcPr>
          <w:p w:rsidR="00B83E76" w:rsidRPr="00833070" w:rsidRDefault="00B83E76" w:rsidP="00B83E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833070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Identification et accompagnement de talents artistiques</w:t>
            </w:r>
          </w:p>
        </w:tc>
        <w:tc>
          <w:tcPr>
            <w:tcW w:w="3544" w:type="dxa"/>
            <w:vAlign w:val="center"/>
          </w:tcPr>
          <w:p w:rsidR="00B83E76" w:rsidRPr="00833070" w:rsidRDefault="00B83E76" w:rsidP="00B83E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833070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Premiers bénéficiaires valorisés</w:t>
            </w:r>
          </w:p>
        </w:tc>
      </w:tr>
      <w:tr w:rsidR="00B83E76" w:rsidTr="00B83E76">
        <w:tc>
          <w:tcPr>
            <w:tcW w:w="1921" w:type="dxa"/>
            <w:vAlign w:val="center"/>
          </w:tcPr>
          <w:p w:rsidR="00B83E76" w:rsidRPr="00833070" w:rsidRDefault="00B83E76" w:rsidP="00B83E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833070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Partenariats</w:t>
            </w:r>
          </w:p>
        </w:tc>
        <w:tc>
          <w:tcPr>
            <w:tcW w:w="3749" w:type="dxa"/>
            <w:vAlign w:val="center"/>
          </w:tcPr>
          <w:p w:rsidR="00B83E76" w:rsidRPr="00833070" w:rsidRDefault="00B83E76" w:rsidP="00B83E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833070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Signature de partenariats avec ONG,</w:t>
            </w:r>
            <w:r w:rsidR="006017D1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ONU,</w:t>
            </w:r>
            <w:r w:rsidRPr="00833070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collectivités et médias</w:t>
            </w:r>
          </w:p>
        </w:tc>
        <w:tc>
          <w:tcPr>
            <w:tcW w:w="3544" w:type="dxa"/>
            <w:vAlign w:val="center"/>
          </w:tcPr>
          <w:p w:rsidR="00B83E76" w:rsidRPr="00833070" w:rsidRDefault="00B83E76" w:rsidP="00B83E7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833070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Réseau de partenaires fonctionnel</w:t>
            </w:r>
          </w:p>
        </w:tc>
      </w:tr>
    </w:tbl>
    <w:p w:rsidR="008F282D" w:rsidRDefault="008F282D"/>
    <w:p w:rsidR="00B83E76" w:rsidRDefault="00B83E76"/>
    <w:sectPr w:rsidR="00B83E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42A5" w:rsidRDefault="006B42A5" w:rsidP="00B83E76">
      <w:pPr>
        <w:spacing w:after="0" w:line="240" w:lineRule="auto"/>
      </w:pPr>
      <w:r>
        <w:separator/>
      </w:r>
    </w:p>
  </w:endnote>
  <w:endnote w:type="continuationSeparator" w:id="0">
    <w:p w:rsidR="006B42A5" w:rsidRDefault="006B42A5" w:rsidP="00B83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42A5" w:rsidRDefault="006B42A5" w:rsidP="00B83E76">
      <w:pPr>
        <w:spacing w:after="0" w:line="240" w:lineRule="auto"/>
      </w:pPr>
      <w:r>
        <w:separator/>
      </w:r>
    </w:p>
  </w:footnote>
  <w:footnote w:type="continuationSeparator" w:id="0">
    <w:p w:rsidR="006B42A5" w:rsidRDefault="006B42A5" w:rsidP="00B83E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E76"/>
    <w:rsid w:val="005D281A"/>
    <w:rsid w:val="006017D1"/>
    <w:rsid w:val="006B42A5"/>
    <w:rsid w:val="008F282D"/>
    <w:rsid w:val="00B8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1CF3B"/>
  <w15:chartTrackingRefBased/>
  <w15:docId w15:val="{271A3AB6-1A8B-4A15-BD65-D26CB4A30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T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83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83E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3E76"/>
  </w:style>
  <w:style w:type="paragraph" w:styleId="Pieddepage">
    <w:name w:val="footer"/>
    <w:basedOn w:val="Normal"/>
    <w:link w:val="PieddepageCar"/>
    <w:uiPriority w:val="99"/>
    <w:unhideWhenUsed/>
    <w:rsid w:val="00B83E7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3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120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Shamsia ADJEMINI</dc:creator>
  <cp:keywords/>
  <dc:description/>
  <cp:lastModifiedBy>Shamsia ADJEMINI</cp:lastModifiedBy>
  <cp:revision>1</cp:revision>
  <dcterms:created xsi:type="dcterms:W3CDTF">2026-01-14T17:22:00Z</dcterms:created>
  <dcterms:modified xsi:type="dcterms:W3CDTF">2026-01-14T18:10:00Z</dcterms:modified>
</cp:coreProperties>
</file>