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gif" ContentType="image/gif"/>
  <Override PartName="/word/media/image5.png" ContentType="image/png"/>
  <Override PartName="/word/media/image4.png" ContentType="image/png"/>
  <Override PartName="/word/media/image6.png" ContentType="image/png"/>
  <Override PartName="/word/media/image7.png" ContentType="image/png"/>
  <Override PartName="/word/media/image3.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2487"/>
        <w:gridCol w:w="1309"/>
        <w:gridCol w:w="1695"/>
        <w:gridCol w:w="1689"/>
        <w:gridCol w:w="1832"/>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9"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The elements of multiset are ordered before they are entered into mset-trie. Experiments show that we achieve the best performance if the elements are ordered by the increasing/decreasing frequency. 2) While the insert, find and delete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m={1,4,7},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number of visited nodes of mset-trie for the existance queries (for example)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Matjaž?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Mogoče lahko vprašamo Mikito, da napiše en ali dva odstavka o implementaciji.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Matjaž.</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Lemma 2: What is a "generating function"?</w:t>
      </w:r>
    </w:p>
    <w:p>
      <w:pPr>
        <w:pStyle w:val="Normal"/>
        <w:spacing w:beforeAutospacing="1" w:afterAutospacing="1"/>
        <w:rPr/>
      </w:pPr>
      <w:r>
        <w:rPr>
          <w:rFonts w:eastAsia="Times New Roman" w:cs="Arial" w:ascii="Arial" w:hAnsi="Arial"/>
          <w:b/>
          <w:bCs/>
          <w:color w:val="0A0A0A"/>
          <w:sz w:val="20"/>
          <w:szCs w:val="20"/>
          <w:lang w:val="sl-SI" w:eastAsia="en-GB"/>
        </w:rPr>
        <w:t>Response:</w:t>
      </w:r>
      <w:r>
        <w:rPr/>
        <w:t xml:space="preserv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Just before first usage we added a paragraph which provides definition of the probability generating functions.</w:t>
      </w:r>
    </w:p>
    <w:p>
      <w:pPr>
        <w:pStyle w:val="Normal"/>
        <w:spacing w:beforeAutospacing="1" w:afterAutospacing="1"/>
        <w:rPr>
          <w:rFonts w:ascii="Arial" w:hAnsi="Arial" w:eastAsia="Times New Roman" w:cs="Arial"/>
          <w:b/>
          <w:b/>
          <w:bCs/>
          <w:color w:val="0A0A0A"/>
          <w:sz w:val="20"/>
          <w:szCs w:val="20"/>
          <w:lang w:val="sl-SI" w:eastAsia="en-GB"/>
        </w:rPr>
      </w:pPr>
      <w:r>
        <w:rPr/>
        <w:drawing>
          <wp:inline distT="0" distB="0" distL="0" distR="0">
            <wp:extent cx="6033135" cy="1831340"/>
            <wp:effectExtent l="0" t="0" r="0" b="0"/>
            <wp:docPr id="1"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 letter&#10;&#10;Description automatically generated"/>
                    <pic:cNvPicPr>
                      <a:picLocks noChangeAspect="1" noChangeArrowheads="1"/>
                    </pic:cNvPicPr>
                  </pic:nvPicPr>
                  <pic:blipFill>
                    <a:blip r:embed="rId2"/>
                    <a:stretch>
                      <a:fillRect/>
                    </a:stretch>
                  </pic:blipFill>
                  <pic:spPr bwMode="auto">
                    <a:xfrm>
                      <a:off x="0" y="0"/>
                      <a:ext cx="6033135" cy="1831340"/>
                    </a:xfrm>
                    <a:prstGeom prst="rect">
                      <a:avLst/>
                    </a:prstGeom>
                  </pic:spPr>
                </pic:pic>
              </a:graphicData>
            </a:graphic>
          </wp:inline>
        </w:drawing>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Page 10: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 could not follow the proofs since it seems that some notations have not been introduced in a sufficiently detailed way: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does $\tilde$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represents the so-called »equality in distribution«. </w:t>
        <w:br/>
        <w:t xml:space="preserve">While tilde symbol can be found use in this context, there is another, more explicit operator to indicate the equality in distribution, so we replaced the symbol in question with </w:t>
      </w:r>
      <w:r>
        <w:rPr/>
        <w:drawing>
          <wp:inline distT="0" distB="0" distL="0" distR="0">
            <wp:extent cx="228600" cy="317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28600" cy="317500"/>
                    </a:xfrm>
                    <a:prstGeom prst="rect">
                      <a:avLst/>
                    </a:prstGeom>
                  </pic:spPr>
                </pic:pic>
              </a:graphicData>
            </a:graphic>
          </wp:inline>
        </w:drawing>
      </w:r>
      <w:r>
        <w:rPr>
          <w:rFonts w:eastAsia="Times New Roman" w:cs="Arial" w:ascii="Arial" w:hAnsi="Arial"/>
          <w:color w:val="0A0A0A"/>
          <w:sz w:val="20"/>
          <w:szCs w:val="20"/>
          <w:lang w:val="sl-SI" w:eastAsia="en-GB"/>
        </w:rPr>
        <w: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We also explain this within the text. The replacement was done consistently.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$\mathcal{B}_0$?</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val="sl-SI" w:eastAsia="en-GB"/>
        </w:rPr>
        <w:t>Response:</w:t>
      </w:r>
      <w:r>
        <w:rPr>
          <w:rFonts w:eastAsia="Times New Roman" w:cs="Arial" w:ascii="Arial" w:hAnsi="Arial"/>
          <w:color w:val="0A0A0A"/>
          <w:sz w:val="20"/>
          <w:szCs w:val="20"/>
          <w:lang w:val="sl-SI" w:eastAsia="en-GB"/>
        </w:rPr>
        <w:br/>
        <w:t>It is a zero-truncated binomially distributed random variable on parameters $n$ and $p_{i+1}$. In revised version we include this description just before stating Lemma 2.</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$Bernoulli()$?</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eastAsia="en-GB"/>
        </w:rPr>
        <w:t>$Bernoulli()$</w:t>
      </w:r>
      <w:r>
        <w:rPr>
          <w:rFonts w:eastAsia="Times New Roman" w:cs="Arial" w:ascii="Arial" w:hAnsi="Arial"/>
          <w:color w:val="0A0A0A"/>
          <w:sz w:val="20"/>
          <w:szCs w:val="20"/>
          <w:lang w:val="sl-SI" w:eastAsia="en-GB"/>
        </w:rPr>
        <w:t xml:space="preserve"> stands for the Bernoulli distributed random variable with the corresponding parameter.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As per reviewer's commend, we added the definition of Bernoulli to the section.</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829300" cy="863600"/>
            <wp:effectExtent l="0" t="0" r="0" b="0"/>
            <wp:docPr id="3"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Text&#10;&#10;Description automatically generated"/>
                    <pic:cNvPicPr>
                      <a:picLocks noChangeAspect="1" noChangeArrowheads="1"/>
                    </pic:cNvPicPr>
                  </pic:nvPicPr>
                  <pic:blipFill>
                    <a:blip r:embed="rId4"/>
                    <a:stretch>
                      <a:fillRect/>
                    </a:stretch>
                  </pic:blipFill>
                  <pic:spPr bwMode="auto">
                    <a:xfrm>
                      <a:off x="0" y="0"/>
                      <a:ext cx="5829300" cy="863600"/>
                    </a:xfrm>
                    <a:prstGeom prst="rect">
                      <a:avLst/>
                    </a:prstGeom>
                  </pic:spPr>
                </pic:pic>
              </a:graphicData>
            </a:graphic>
          </wp:inline>
        </w:drawing>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We equipped the mathematical section with additional examples, explanations, definitions, so that it is now accessible to wider audience.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a probability generating function?</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As stated in the comment above, current version now precisely give definition of a probability generating function. Furthermore we give an elaborate example which illustrates the generating functions in general.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930900" cy="2616200"/>
            <wp:effectExtent l="0" t="0" r="0" b="0"/>
            <wp:docPr id="4"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pic:cNvPicPr>
                      <a:picLocks noChangeAspect="1" noChangeArrowheads="1"/>
                    </pic:cNvPicPr>
                  </pic:nvPicPr>
                  <pic:blipFill>
                    <a:blip r:embed="rId5"/>
                    <a:stretch>
                      <a:fillRect/>
                    </a:stretch>
                  </pic:blipFill>
                  <pic:spPr bwMode="auto">
                    <a:xfrm>
                      <a:off x="0" y="0"/>
                      <a:ext cx="5930900" cy="2616200"/>
                    </a:xfrm>
                    <a:prstGeom prst="rect">
                      <a:avLst/>
                    </a:prstGeom>
                  </pic:spPr>
                </pic:pic>
              </a:graphicData>
            </a:graphic>
          </wp:inline>
        </w:drawing>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$1^-$?</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Following reviewer's suggestion, we explain this in detail, in this new version.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570220" cy="835025"/>
            <wp:effectExtent l="0" t="0" r="0" b="0"/>
            <wp:docPr id="5"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 letter&#10;&#10;Description automatically generated"/>
                    <pic:cNvPicPr>
                      <a:picLocks noChangeAspect="1" noChangeArrowheads="1"/>
                    </pic:cNvPicPr>
                  </pic:nvPicPr>
                  <pic:blipFill>
                    <a:blip r:embed="rId6"/>
                    <a:stretch>
                      <a:fillRect/>
                    </a:stretch>
                  </pic:blipFill>
                  <pic:spPr bwMode="auto">
                    <a:xfrm>
                      <a:off x="0" y="0"/>
                      <a:ext cx="5570220" cy="835025"/>
                    </a:xfrm>
                    <a:prstGeom prst="rect">
                      <a:avLst/>
                    </a:prstGeom>
                  </pic:spPr>
                </pic:pic>
              </a:graphicData>
            </a:graphic>
          </wp:inline>
        </w:drawing>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$G'_X$?</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The above is the consequence of:</w:t>
      </w:r>
    </w:p>
    <w:p>
      <w:pPr>
        <w:pStyle w:val="ListParagraph"/>
        <w:numPr>
          <w:ilvl w:val="0"/>
          <w:numId w:val="1"/>
        </w:numPr>
        <w:spacing w:beforeAutospacing="1" w:after="0"/>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function F(z), we denote by F'(z) its derivative.</w:t>
      </w:r>
    </w:p>
    <w:p>
      <w:pPr>
        <w:pStyle w:val="ListParagraph"/>
        <w:numPr>
          <w:ilvl w:val="0"/>
          <w:numId w:val="1"/>
        </w:numPr>
        <w:spacing w:before="0" w:afterAutospacing="1"/>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random variable X, we denote its PGF by G_X</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We believe that in the revised version this was made clear enough.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Definition 1: What are the intuitions behind $\alpha$ and $\beta$?</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Response:</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Mostly, they aid us in making equation in Corollary 1 better readable.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321: previous Definition 1 -&gt; Definition 1</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Response:</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fixed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336: Here, the time bound of $O(|M|)$ is fine with me since this is also the number of elements we report, so we are output-sensitive for this query.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However, if we have a query like ${1^n, 2^n, ..., \sigma^0}$, then the time stays the same with fewer up to none elements to report, which is not optimal.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340: Can you give some informal conclusion on what the cumbersomely long equations for the time complexities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It would be also good to make a distinction between expected and worst case scenarios. Currently, the analysis seems to mix both worlds.</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With this in mind, we wrote an informal conclusion where we communicated the above.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739765" cy="1981200"/>
            <wp:effectExtent l="0" t="0" r="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7"/>
                    <a:stretch>
                      <a:fillRect/>
                    </a:stretch>
                  </pic:blipFill>
                  <pic:spPr bwMode="auto">
                    <a:xfrm>
                      <a:off x="0" y="0"/>
                      <a:ext cx="5739765" cy="1981200"/>
                    </a:xfrm>
                    <a:prstGeom prst="rect">
                      <a:avLst/>
                    </a:prstGeom>
                  </pic:spPr>
                </pic:pic>
              </a:graphicData>
            </a:graphic>
          </wp:inline>
        </w:drawing>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345: on the -&gt; the</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fixed</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399: the relation : with respect to what?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we rephrased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2: I have not understood what probability is addressed in this figure.</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we rephrased</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616575" cy="2188845"/>
            <wp:effectExtent l="0" t="0" r="0" b="0"/>
            <wp:docPr id="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pic:cNvPicPr>
                      <a:picLocks noChangeAspect="1" noChangeArrowheads="1"/>
                    </pic:cNvPicPr>
                  </pic:nvPicPr>
                  <pic:blipFill>
                    <a:blip r:embed="rId8"/>
                    <a:stretch>
                      <a:fillRect/>
                    </a:stretch>
                  </pic:blipFill>
                  <pic:spPr bwMode="auto">
                    <a:xfrm>
                      <a:off x="0" y="0"/>
                      <a:ext cx="5616575" cy="2188845"/>
                    </a:xfrm>
                    <a:prstGeom prst="rect">
                      <a:avLst/>
                    </a:prstGeom>
                  </pic:spPr>
                </pic:pic>
              </a:graphicData>
            </a:graphic>
          </wp:inline>
        </w:drawing>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3: I would rename the y-axis to the ratio you compute.</w:t>
      </w:r>
    </w:p>
    <w:p>
      <w:pPr>
        <w:pStyle w:val="Normal"/>
        <w:spacing w:beforeAutospacing="1" w:afterAutospacing="1"/>
        <w:rPr>
          <w:rFonts w:ascii="Arial" w:hAnsi="Arial" w:eastAsia="Times New Roman" w:cs="Arial"/>
          <w:color w:val="0A0A0A"/>
          <w:sz w:val="20"/>
          <w:szCs w:val="20"/>
          <w:lang w:eastAsia="en-GB"/>
        </w:rPr>
      </w:pPr>
      <w:r>
        <w:rPr/>
        <w:drawing>
          <wp:inline distT="0" distB="0" distL="0" distR="0">
            <wp:extent cx="5655310" cy="2204085"/>
            <wp:effectExtent l="0" t="0" r="0" b="0"/>
            <wp:docPr id="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 diagram&#10;&#10;Description automatically generated"/>
                    <pic:cNvPicPr>
                      <a:picLocks noChangeAspect="1" noChangeArrowheads="1"/>
                    </pic:cNvPicPr>
                  </pic:nvPicPr>
                  <pic:blipFill>
                    <a:blip r:embed="rId9"/>
                    <a:stretch>
                      <a:fillRect/>
                    </a:stretch>
                  </pic:blipFill>
                  <pic:spPr bwMode="auto">
                    <a:xfrm>
                      <a:off x="0" y="0"/>
                      <a:ext cx="5655310" cy="2204085"/>
                    </a:xfrm>
                    <a:prstGeom prst="rect">
                      <a:avLst/>
                    </a:prstGeom>
                  </pic:spPr>
                </pic:pic>
              </a:graphicData>
            </a:graphic>
          </wp:inline>
        </w:drawing>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We expanded the caption to make it more accessible to the reader.</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398: Note that analyzing -&gt; Analyzing</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fixed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(15): What is $p$ in this equation? It seems to be only used in the limit?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Note that </w:t>
      </w:r>
      <w:r>
        <w:rPr>
          <w:rFonts w:eastAsia="Times New Roman" w:cs="Arial" w:ascii="Arial" w:hAnsi="Arial"/>
          <w:color w:val="0A0A0A"/>
          <w:sz w:val="20"/>
          <w:szCs w:val="20"/>
          <w:lang w:eastAsia="en-GB"/>
        </w:rPr>
        <w:t>\xi_i</w:t>
      </w:r>
      <w:r>
        <w:rPr>
          <w:rFonts w:eastAsia="Times New Roman" w:cs="Arial" w:ascii="Arial" w:hAnsi="Arial"/>
          <w:color w:val="0A0A0A"/>
          <w:sz w:val="20"/>
          <w:szCs w:val="20"/>
          <w:lang w:val="sl-SI" w:eastAsia="en-GB"/>
        </w:rPr>
        <w:t xml:space="preserve"> can only be defined after setting basic parameters such as n, \sigma, and p. The first two are already set to 10, and 26, respectively. </w:t>
      </w:r>
    </w:p>
    <w:p>
      <w:pPr>
        <w:pStyle w:val="Normal"/>
        <w:rPr>
          <w:sz w:val="96"/>
          <w:szCs w:val="96"/>
        </w:rPr>
      </w:pPr>
      <w:r>
        <w:rPr>
          <w:sz w:val="96"/>
          <w:szCs w:val="96"/>
        </w:rPr>
      </w:r>
    </w:p>
    <w:p>
      <w:pPr>
        <w:pStyle w:val="Normal"/>
        <w:rPr>
          <w:sz w:val="96"/>
          <w:szCs w:val="96"/>
          <w:lang w:val="sl-SI"/>
        </w:rPr>
      </w:pPr>
      <w:r>
        <w:rPr>
          <w:sz w:val="96"/>
          <w:szCs w:val="96"/>
          <w:lang w:val="sl-SI"/>
        </w:rPr>
      </w:r>
    </w:p>
    <w:p>
      <w:pPr>
        <w:pStyle w:val="Normal"/>
        <w:rPr>
          <w:sz w:val="96"/>
          <w:szCs w:val="96"/>
        </w:rPr>
      </w:pPr>
      <w:r>
        <w:rPr>
          <w:sz w:val="96"/>
          <w:szCs w:val="96"/>
        </w:rPr>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8 caption: Exsitence -&gt; Existence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638: Why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Jan 2023 07:59:48</w:t>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5"/>
      <w:numFmt w:val="bullet"/>
      <w:lvlText w:val="-"/>
      <w:lvlJc w:val="left"/>
      <w:pPr>
        <w:tabs>
          <w:tab w:val="num" w:pos="0"/>
        </w:tabs>
        <w:ind w:left="500" w:hanging="360"/>
      </w:pPr>
      <w:rPr>
        <w:rFonts w:ascii="Arial" w:hAnsi="Arial" w:cs="Arial" w:hint="default"/>
      </w:rPr>
    </w:lvl>
    <w:lvl w:ilvl="1">
      <w:start w:val="1"/>
      <w:numFmt w:val="bullet"/>
      <w:lvlText w:val="o"/>
      <w:lvlJc w:val="left"/>
      <w:pPr>
        <w:tabs>
          <w:tab w:val="num" w:pos="0"/>
        </w:tabs>
        <w:ind w:left="1220" w:hanging="360"/>
      </w:pPr>
      <w:rPr>
        <w:rFonts w:ascii="Courier New" w:hAnsi="Courier New" w:cs="Courier New" w:hint="default"/>
      </w:rPr>
    </w:lvl>
    <w:lvl w:ilvl="2">
      <w:start w:val="1"/>
      <w:numFmt w:val="bullet"/>
      <w:lvlText w:val=""/>
      <w:lvlJc w:val="left"/>
      <w:pPr>
        <w:tabs>
          <w:tab w:val="num" w:pos="0"/>
        </w:tabs>
        <w:ind w:left="1940" w:hanging="360"/>
      </w:pPr>
      <w:rPr>
        <w:rFonts w:ascii="Wingdings" w:hAnsi="Wingdings" w:cs="Wingdings" w:hint="default"/>
      </w:rPr>
    </w:lvl>
    <w:lvl w:ilvl="3">
      <w:start w:val="1"/>
      <w:numFmt w:val="bullet"/>
      <w:lvlText w:val=""/>
      <w:lvlJc w:val="left"/>
      <w:pPr>
        <w:tabs>
          <w:tab w:val="num" w:pos="0"/>
        </w:tabs>
        <w:ind w:left="2660" w:hanging="360"/>
      </w:pPr>
      <w:rPr>
        <w:rFonts w:ascii="Symbol" w:hAnsi="Symbol" w:cs="Symbol" w:hint="default"/>
      </w:rPr>
    </w:lvl>
    <w:lvl w:ilvl="4">
      <w:start w:val="1"/>
      <w:numFmt w:val="bullet"/>
      <w:lvlText w:val="o"/>
      <w:lvlJc w:val="left"/>
      <w:pPr>
        <w:tabs>
          <w:tab w:val="num" w:pos="0"/>
        </w:tabs>
        <w:ind w:left="3380" w:hanging="360"/>
      </w:pPr>
      <w:rPr>
        <w:rFonts w:ascii="Courier New" w:hAnsi="Courier New" w:cs="Courier New" w:hint="default"/>
      </w:rPr>
    </w:lvl>
    <w:lvl w:ilvl="5">
      <w:start w:val="1"/>
      <w:numFmt w:val="bullet"/>
      <w:lvlText w:val=""/>
      <w:lvlJc w:val="left"/>
      <w:pPr>
        <w:tabs>
          <w:tab w:val="num" w:pos="0"/>
        </w:tabs>
        <w:ind w:left="4100" w:hanging="360"/>
      </w:pPr>
      <w:rPr>
        <w:rFonts w:ascii="Wingdings" w:hAnsi="Wingdings" w:cs="Wingdings" w:hint="default"/>
      </w:rPr>
    </w:lvl>
    <w:lvl w:ilvl="6">
      <w:start w:val="1"/>
      <w:numFmt w:val="bullet"/>
      <w:lvlText w:val=""/>
      <w:lvlJc w:val="left"/>
      <w:pPr>
        <w:tabs>
          <w:tab w:val="num" w:pos="0"/>
        </w:tabs>
        <w:ind w:left="4820" w:hanging="360"/>
      </w:pPr>
      <w:rPr>
        <w:rFonts w:ascii="Symbol" w:hAnsi="Symbol" w:cs="Symbol" w:hint="default"/>
      </w:rPr>
    </w:lvl>
    <w:lvl w:ilvl="7">
      <w:start w:val="1"/>
      <w:numFmt w:val="bullet"/>
      <w:lvlText w:val="o"/>
      <w:lvlJc w:val="left"/>
      <w:pPr>
        <w:tabs>
          <w:tab w:val="num" w:pos="0"/>
        </w:tabs>
        <w:ind w:left="5540" w:hanging="360"/>
      </w:pPr>
      <w:rPr>
        <w:rFonts w:ascii="Courier New" w:hAnsi="Courier New" w:cs="Courier New" w:hint="default"/>
      </w:rPr>
    </w:lvl>
    <w:lvl w:ilvl="8">
      <w:start w:val="1"/>
      <w:numFmt w:val="bullet"/>
      <w:lvlText w:val=""/>
      <w:lvlJc w:val="left"/>
      <w:pPr>
        <w:tabs>
          <w:tab w:val="num" w:pos="0"/>
        </w:tabs>
        <w:ind w:left="62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paragraph" w:styleId="ListParagraph">
    <w:name w:val="List Paragraph"/>
    <w:basedOn w:val="Normal"/>
    <w:uiPriority w:val="34"/>
    <w:qFormat/>
    <w:rsid w:val="00db392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Application>LibreOffice/7.4.3.2$MacOSX_X86_64 LibreOffice_project/1048a8393ae2eeec98dff31b5c133c5f1d08b890</Application>
  <AppVersion>15.0000</AppVersion>
  <Pages>10</Pages>
  <Words>3466</Words>
  <Characters>17722</Characters>
  <CharactersWithSpaces>21020</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2023-02-21T11:40:18Z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