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epic-60-submission-detail-interface"/>
    <w:p>
      <w:pPr>
        <w:pStyle w:val="Heading1"/>
      </w:pPr>
      <w:r>
        <w:t xml:space="preserve">Epic 60: Submission Detail Interface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Submission Detail page (</w:t>
      </w:r>
      <w:r>
        <w:rPr>
          <w:rStyle w:val="VerbatimChar"/>
        </w:rPr>
        <w:t xml:space="preserve">/submissions/[id]</w:t>
      </w:r>
      <w:r>
        <w:t xml:space="preserve">) is the primary workspace for reviewing a single insurance submission. It is organized into four distinct sections: a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section that is always visible regardless of which tab is selected, and three tab panels —</w:t>
      </w:r>
      <w:r>
        <w:t xml:space="preserve"> </w:t>
      </w:r>
      <w:r>
        <w:rPr>
          <w:b/>
          <w:bCs/>
        </w:rPr>
        <w:t xml:space="preserve">Overview</w:t>
      </w:r>
      <w:r>
        <w:t xml:space="preserve">,</w:t>
      </w:r>
      <w:r>
        <w:t xml:space="preserve"> </w:t>
      </w:r>
      <w:r>
        <w:rPr>
          <w:b/>
          <w:bCs/>
        </w:rPr>
        <w:t xml:space="preserve">Loss Runs</w:t>
      </w:r>
      <w:r>
        <w:t xml:space="preserve">, and</w:t>
      </w:r>
      <w:r>
        <w:t xml:space="preserve"> </w:t>
      </w:r>
      <w:r>
        <w:rPr>
          <w:b/>
          <w:bCs/>
        </w:rPr>
        <w:t xml:space="preserve">Structured Data</w:t>
      </w:r>
      <w:r>
        <w:t xml:space="preserve"> </w:t>
      </w:r>
      <w:r>
        <w:t xml:space="preserve">— that the user switches between.</w:t>
      </w:r>
    </w:p>
    <w:p>
      <w:pPr>
        <w:pStyle w:val="BodyText"/>
      </w:pPr>
      <w:r>
        <w:t xml:space="preserve">The page supports the full seven-status AI underwriting pipeline (</w:t>
      </w:r>
      <w:r>
        <w:rPr>
          <w:rStyle w:val="VerbatimChar"/>
        </w:rPr>
        <w:t xml:space="preserve">preparing_to_uw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). Submissions in pre-review statuses display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for the underwriter.</w:t>
      </w:r>
    </w:p>
    <w:p>
      <w:r>
        <w:pict>
          <v:rect style="width:0;height:1.5pt" o:hralign="center" o:hrstd="t" o:hr="t"/>
        </w:pict>
      </w:r>
    </w:p>
    <w:bookmarkEnd w:id="9"/>
    <w:bookmarkStart w:id="19" w:name="page-sections"/>
    <w:p>
      <w:pPr>
        <w:pStyle w:val="Heading2"/>
      </w:pPr>
      <w:r>
        <w:t xml:space="preserve">2. Page Sections</w:t>
      </w:r>
    </w:p>
    <w:bookmarkStart w:id="13" w:name="primary-always-visible"/>
    <w:p>
      <w:pPr>
        <w:pStyle w:val="Heading3"/>
      </w:pPr>
      <w:r>
        <w:t xml:space="preserve">2.1 Primary (Always Visible)</w:t>
      </w:r>
    </w:p>
    <w:p>
      <w:pPr>
        <w:pStyle w:val="FirstParagraph"/>
      </w:pPr>
      <w:r>
        <w:t xml:space="preserve">The Primary section remains on screen at all times, above the tab bar. It contains three sub-components stacked vertically.</w:t>
      </w:r>
    </w:p>
    <w:bookmarkStart w:id="10" w:name="submission-header"/>
    <w:p>
      <w:pPr>
        <w:pStyle w:val="Heading4"/>
      </w:pPr>
      <w:r>
        <w:t xml:space="preserve">2.1.1 Submission Header</w:t>
      </w:r>
    </w:p>
    <w:p>
      <w:pPr>
        <w:pStyle w:val="FirstParagraph"/>
      </w:pPr>
      <w:r>
        <w:t xml:space="preserve">Displays the core identity and assignment information for the 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button</w:t>
            </w:r>
          </w:p>
        </w:tc>
        <w:tc>
          <w:tcPr/>
          <w:p>
            <w:pPr>
              <w:pStyle w:val="Compact"/>
            </w:pPr>
            <w:r>
              <w:t xml:space="preserve">“Back to Submissions”</w:t>
            </w:r>
            <w:r>
              <w:t xml:space="preserve"> </w:t>
            </w:r>
            <w:r>
              <w:t xml:space="preserve">— navigates to</w:t>
            </w:r>
            <w:r>
              <w:t xml:space="preserve"> </w:t>
            </w:r>
            <w:r>
              <w:rPr>
                <w:rStyle w:val="VerbatimChar"/>
              </w:rPr>
              <w:t xml:space="preserve">/submissions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Insured name (e.g.,</w:t>
            </w:r>
            <w:r>
              <w:t xml:space="preserve"> </w:t>
            </w:r>
            <w:r>
              <w:t xml:space="preserve">“Pacific Coast Builders LLC”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t xml:space="preserve">Color-coded badge reflecting current submission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badges</w:t>
            </w:r>
          </w:p>
        </w:tc>
        <w:tc>
          <w:tcPr/>
          <w:p>
            <w:pPr>
              <w:pStyle w:val="Compact"/>
            </w:pPr>
            <w:r>
              <w:t xml:space="preserve">Reference number (monospace), Line of Business, NAICS code + description,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buttons</w:t>
            </w:r>
          </w:p>
        </w:tc>
        <w:tc>
          <w:tcPr/>
          <w:p>
            <w:pPr>
              <w:pStyle w:val="Compact"/>
            </w:pPr>
            <w:r>
              <w:t xml:space="preserve">“Change Status”</w:t>
            </w:r>
            <w:r>
              <w:t xml:space="preserve"> </w:t>
            </w:r>
            <w:r>
              <w:t xml:space="preserve">(outline, conditional) and</w:t>
            </w:r>
            <w:r>
              <w:t xml:space="preserve"> </w:t>
            </w:r>
            <w:r>
              <w:t xml:space="preserve">“Generate Proposal”</w:t>
            </w:r>
            <w:r>
              <w:t xml:space="preserve"> </w:t>
            </w:r>
            <w:r>
              <w:t xml:space="preserve">(primary, conditional)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Assignment grid</w:t>
      </w:r>
      <w:r>
        <w:t xml:space="preserve"> </w:t>
      </w:r>
      <w:r>
        <w:t xml:space="preserve">(up to 4 columns):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Underwriter</w:t>
            </w:r>
          </w:p>
        </w:tc>
        <w:tc>
          <w:tcPr/>
          <w:p>
            <w:pPr>
              <w:pStyle w:val="Compact"/>
            </w:pPr>
            <w:r>
              <w:t xml:space="preserve">UserCircle</w:t>
            </w:r>
          </w:p>
        </w:tc>
        <w:tc>
          <w:tcPr/>
          <w:p>
            <w:pPr>
              <w:pStyle w:val="Compact"/>
            </w:pPr>
            <w:r>
              <w:t xml:space="preserve">Shows name or</w:t>
            </w:r>
            <w:r>
              <w:t xml:space="preserve"> </w:t>
            </w:r>
            <w:r>
              <w:t xml:space="preserve">“Unassigned”</w:t>
            </w:r>
            <w:r>
              <w:t xml:space="preserve"> </w:t>
            </w:r>
            <w:r>
              <w:t xml:space="preserve">for pre-review statuses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UserCircle</w:t>
            </w:r>
          </w:p>
        </w:tc>
        <w:tc>
          <w:tcPr/>
          <w:p>
            <w:pPr>
              <w:pStyle w:val="Compact"/>
            </w:pPr>
            <w:r>
              <w:t xml:space="preserve">Only shown if an approver is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</w:pPr>
            <w:r>
              <w:t xml:space="preserve">Calendar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Address</w:t>
      </w:r>
      <w:r>
        <w:t xml:space="preserve"> </w:t>
      </w:r>
      <w:r>
        <w:t xml:space="preserve">(conditional): Shown below the grid with a MapPin icon if the submission has a</w:t>
      </w:r>
      <w:r>
        <w:t xml:space="preserve"> </w:t>
      </w:r>
      <w:r>
        <w:rPr>
          <w:rStyle w:val="VerbatimChar"/>
        </w:rPr>
        <w:t xml:space="preserve">primaryAddress</w:t>
      </w:r>
      <w:r>
        <w:t xml:space="preserve"> </w:t>
      </w:r>
      <w:r>
        <w:t xml:space="preserve">value.</w:t>
      </w:r>
    </w:p>
    <w:bookmarkEnd w:id="10"/>
    <w:bookmarkStart w:id="11" w:name="key-information-card"/>
    <w:p>
      <w:pPr>
        <w:pStyle w:val="Heading4"/>
      </w:pPr>
      <w:r>
        <w:t xml:space="preserve">2.1.2 Key Information Card</w:t>
      </w:r>
    </w:p>
    <w:p>
      <w:pPr>
        <w:pStyle w:val="FirstParagraph"/>
      </w:pPr>
      <w:r>
        <w:t xml:space="preserve">A card displaying extracted structured fields from the Insured Information and Operations field groups, plus system-level fields.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PortalStructuredField</w:t>
            </w:r>
            <w:r>
              <w:t xml:space="preserve"> </w:t>
            </w:r>
            <w:r>
              <w:t xml:space="preserve">entries where</w:t>
            </w:r>
            <w:r>
              <w:t xml:space="preserve"> </w:t>
            </w:r>
            <w:r>
              <w:rPr>
                <w:rStyle w:val="VerbatimChar"/>
              </w:rPr>
              <w:t xml:space="preserve">fieldGroup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“Insured Information”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“Operations”</w:t>
            </w:r>
            <w:r>
              <w:t xml:space="preserve"> </w:t>
            </w:r>
            <w:r>
              <w:t xml:space="preserve">(e.g., Named Insured, DBA, FEIN, Entity Type, Primary Operations, Years in Business, Number of Employees, Annual Revenue, Subcontractor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NAICS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submission.naicsCode</w:t>
            </w:r>
            <w:r>
              <w:t xml:space="preserve"> </w:t>
            </w:r>
            <w:r>
              <w:t xml:space="preserve">— displayed as</w:t>
            </w:r>
            <w:r>
              <w:t xml:space="preserve"> </w:t>
            </w:r>
            <w:r>
              <w:t xml:space="preserve">“code — description”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submission.companyUrl</w:t>
            </w:r>
            <w:r>
              <w:t xml:space="preserve"> </w:t>
            </w:r>
            <w:r>
              <w:t xml:space="preserve">— clickable external link opening in a new tab</w:t>
            </w:r>
          </w:p>
        </w:tc>
      </w:tr>
    </w:tbl>
    <w:p>
      <w:pPr>
        <w:pStyle w:val="BodyText"/>
      </w:pPr>
      <w:r>
        <w:t xml:space="preserve">Fields are rendered in a responsive 2–3 column grid. Override values (from Structured Data tab) take precedence over extracted values.</w:t>
      </w:r>
    </w:p>
    <w:bookmarkEnd w:id="11"/>
    <w:bookmarkStart w:id="12" w:name="broker-details-card"/>
    <w:p>
      <w:pPr>
        <w:pStyle w:val="Heading4"/>
      </w:pPr>
      <w:r>
        <w:t xml:space="preserve">2.1.3 Broker Details Card</w:t>
      </w:r>
    </w:p>
    <w:p>
      <w:pPr>
        <w:pStyle w:val="FirstParagraph"/>
      </w:pPr>
      <w:r>
        <w:t xml:space="preserve">A card displayed beside Key Information in a 2-column layout.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Brokerage</w:t>
            </w:r>
          </w:p>
        </w:tc>
        <w:tc>
          <w:tcPr/>
          <w:p>
            <w:pPr>
              <w:pStyle w:val="Compact"/>
            </w:pPr>
            <w:r>
              <w:t xml:space="preserve">Company name (e.g.,</w:t>
            </w:r>
            <w:r>
              <w:t xml:space="preserve"> </w:t>
            </w:r>
            <w:r>
              <w:t xml:space="preserve">“Marsh McLennan”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Broker</w:t>
            </w:r>
          </w:p>
        </w:tc>
        <w:tc>
          <w:tcPr/>
          <w:p>
            <w:pPr>
              <w:pStyle w:val="Compact"/>
            </w:pPr>
            <w:r>
              <w:t xml:space="preserve">Contact person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Broker email address with Mail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Broker phone number with Phone icon</w:t>
            </w:r>
          </w:p>
        </w:tc>
      </w:tr>
    </w:tbl>
    <w:p>
      <w:pPr>
        <w:pStyle w:val="BodyText"/>
      </w:pPr>
      <w:r>
        <w:t xml:space="preserve">All broker fields except Brokerage are conditional — only displayed when present.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overview-tab-default"/>
    <w:p>
      <w:pPr>
        <w:pStyle w:val="Heading3"/>
      </w:pPr>
      <w:r>
        <w:t xml:space="preserve">2.2 Overview Tab (Default)</w:t>
      </w:r>
    </w:p>
    <w:p>
      <w:pPr>
        <w:pStyle w:val="FirstParagraph"/>
      </w:pPr>
      <w:r>
        <w:t xml:space="preserve">A two-column layout (2/3 left, 1/3 right) containing the working content for the submission.</w:t>
      </w:r>
    </w:p>
    <w:bookmarkStart w:id="14" w:name="left-column"/>
    <w:p>
      <w:pPr>
        <w:pStyle w:val="Heading4"/>
      </w:pPr>
      <w:r>
        <w:t xml:space="preserve">Left Column</w:t>
      </w:r>
    </w:p>
    <w:p>
      <w:pPr>
        <w:pStyle w:val="FirstParagraph"/>
      </w:pPr>
      <w:r>
        <w:rPr>
          <w:b/>
          <w:bCs/>
        </w:rPr>
        <w:t xml:space="preserve">Proposals Card</w:t>
      </w:r>
    </w:p>
    <w:p>
      <w:pPr>
        <w:pStyle w:val="BodyText"/>
      </w:pPr>
      <w:r>
        <w:t xml:space="preserve">Displays all proposals linked to this submission with selection, action buttons, and navigation.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t xml:space="preserve">“Proposals (N)”</w:t>
      </w:r>
      <w:r>
        <w:t xml:space="preserve"> </w:t>
      </w:r>
      <w:r>
        <w:t xml:space="preserve">with a</w:t>
      </w:r>
      <w:r>
        <w:t xml:space="preserve"> </w:t>
      </w:r>
      <w:r>
        <w:t xml:space="preserve">“Generate Proposal”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Checkboxes</w:t>
      </w:r>
      <w:r>
        <w:t xml:space="preserve">: Each proposal row has a checkbox on the left. Maximum of 2 can be selected at a time; additional checkboxes are disabled when 2 are checked.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buttons</w:t>
      </w:r>
      <w:r>
        <w:t xml:space="preserve"> </w:t>
      </w:r>
      <w:r>
        <w:t xml:space="preserve">(appear contextually when proposals are selected):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Copy</w:t>
      </w:r>
      <w:r>
        <w:t xml:space="preserve"> </w:t>
      </w:r>
      <w:r>
        <w:t xml:space="preserve">— appears when 1+ selected; duplicates the selected proposal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— appears when exactly 2 selected; opens a comparison view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Delete</w:t>
      </w:r>
      <w:r>
        <w:t xml:space="preserve"> </w:t>
      </w:r>
      <w:r>
        <w:t xml:space="preserve">— appears when 1+ selected; hidden if all selected proposals are AI-generated (immutable)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AI-generated badge</w:t>
      </w:r>
      <w:r>
        <w:t xml:space="preserve">: Proposals with</w:t>
      </w:r>
      <w:r>
        <w:t xml:space="preserve"> </w:t>
      </w:r>
      <w:r>
        <w:rPr>
          <w:rStyle w:val="VerbatimChar"/>
        </w:rPr>
        <w:t xml:space="preserve">aiGenerated: true</w:t>
      </w:r>
      <w:r>
        <w:t xml:space="preserve"> </w:t>
      </w:r>
      <w:r>
        <w:t xml:space="preserve">display a violet</w:t>
      </w:r>
      <w:r>
        <w:t xml:space="preserve"> </w:t>
      </w:r>
      <w:r>
        <w:t xml:space="preserve">“AI Generated”</w:t>
      </w:r>
      <w:r>
        <w:t xml:space="preserve"> </w:t>
      </w:r>
      <w:r>
        <w:t xml:space="preserve">badge with Bot and Lock icons. These proposals cannot be deleted, only copied.</w:t>
      </w:r>
    </w:p>
    <w:p>
      <w:pPr>
        <w:pStyle w:val="FirstParagraph"/>
      </w:pPr>
      <w:r>
        <w:t xml:space="preserve">Each proposal row displays: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Selection control (max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Proposal name (e.g.,</w:t>
            </w:r>
            <w:r>
              <w:t xml:space="preserve"> </w:t>
            </w:r>
            <w:r>
              <w:t xml:space="preserve">“Standard GL Program”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badge</w:t>
            </w:r>
          </w:p>
        </w:tc>
        <w:tc>
          <w:tcPr/>
          <w:p>
            <w:pPr>
              <w:pStyle w:val="Compact"/>
            </w:pPr>
            <w:r>
              <w:t xml:space="preserve">“v1”</w:t>
            </w:r>
            <w:r>
              <w:t xml:space="preserve">,</w:t>
            </w:r>
            <w:r>
              <w:t xml:space="preserve"> </w:t>
            </w:r>
            <w:r>
              <w:t xml:space="preserve">“v2”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t xml:space="preserve">Color-coded: draft (zinc), pending_approval (amber), approved (green), declined (red)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badge</w:t>
            </w:r>
          </w:p>
        </w:tc>
        <w:tc>
          <w:tcPr/>
          <w:p>
            <w:pPr>
              <w:pStyle w:val="Compact"/>
            </w:pPr>
            <w:r>
              <w:t xml:space="preserve">Violet badge with Bot + Lock icons (only for AI-generated proposals)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1–2 line description text (truncated with line-clamp)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line</w:t>
            </w:r>
          </w:p>
        </w:tc>
        <w:tc>
          <w:tcPr/>
          <w:p>
            <w:pPr>
              <w:pStyle w:val="Compact"/>
            </w:pPr>
            <w:r>
              <w:t xml:space="preserve">“Created {date} — {N} forms”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Formatted as USD on the right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Arrow</w:t>
            </w:r>
          </w:p>
        </w:tc>
        <w:tc>
          <w:tcPr/>
          <w:p>
            <w:pPr>
              <w:pStyle w:val="Compact"/>
            </w:pPr>
            <w:r>
              <w:t xml:space="preserve">Navigation arrow; clicking the row navigates to</w:t>
            </w:r>
            <w:r>
              <w:t xml:space="preserve"> </w:t>
            </w:r>
            <w:r>
              <w:rPr>
                <w:rStyle w:val="VerbatimChar"/>
              </w:rPr>
              <w:t xml:space="preserve">/submissions/[id]/proposals/[proposalId]</w:t>
            </w:r>
          </w:p>
        </w:tc>
      </w:tr>
    </w:tbl>
    <w:p>
      <w:pPr>
        <w:pStyle w:val="BodyText"/>
      </w:pPr>
      <w:r>
        <w:t xml:space="preserve">Selected rows receive a highlighted border and background.</w:t>
      </w:r>
    </w:p>
    <w:p>
      <w:pPr>
        <w:pStyle w:val="BodyText"/>
      </w:pPr>
      <w:r>
        <w:rPr>
          <w:b/>
          <w:bCs/>
        </w:rPr>
        <w:t xml:space="preserve">Empty state</w:t>
      </w:r>
      <w:r>
        <w:t xml:space="preserve">:</w:t>
      </w:r>
      <w:r>
        <w:t xml:space="preserve"> </w:t>
      </w:r>
      <w:r>
        <w:t xml:space="preserve">“No proposals yet.”</w:t>
      </w:r>
    </w:p>
    <w:p>
      <w:pPr>
        <w:pStyle w:val="BodyText"/>
      </w:pPr>
      <w:r>
        <w:rPr>
          <w:b/>
          <w:bCs/>
        </w:rPr>
        <w:t xml:space="preserve">Insured Locations Card</w:t>
      </w:r>
      <w:r>
        <w:t xml:space="preserve"> </w:t>
      </w:r>
      <w:r>
        <w:t xml:space="preserve">(conditional)</w:t>
      </w:r>
    </w:p>
    <w:p>
      <w:pPr>
        <w:pStyle w:val="BodyText"/>
      </w:pPr>
      <w:r>
        <w:t xml:space="preserve">Shown when the submission has one or more</w:t>
      </w:r>
      <w:r>
        <w:t xml:space="preserve"> </w:t>
      </w:r>
      <w:r>
        <w:rPr>
          <w:rStyle w:val="VerbatimChar"/>
        </w:rPr>
        <w:t xml:space="preserve">insuredLocations</w:t>
      </w:r>
      <w:r>
        <w:t xml:space="preserve">. Displays a MapPin icon and count in the header.</w:t>
      </w:r>
    </w:p>
    <w:p>
      <w:pPr>
        <w:pStyle w:val="BodyText"/>
      </w:pPr>
      <w:r>
        <w:t xml:space="preserve">Each location is rendered as a bordered row with:</w:t>
      </w:r>
      <w:r>
        <w:t xml:space="preserve"> </w:t>
      </w:r>
      <w:r>
        <w:t xml:space="preserve">- Address text</w:t>
      </w:r>
      <w:r>
        <w:t xml:space="preserve"> </w:t>
      </w:r>
      <w:r>
        <w:t xml:space="preserve">- Type badge (e.g.,</w:t>
      </w:r>
      <w:r>
        <w:t xml:space="preserve"> </w:t>
      </w:r>
      <w:r>
        <w:t xml:space="preserve">“Primary”</w:t>
      </w:r>
      <w:r>
        <w:t xml:space="preserve">,</w:t>
      </w:r>
      <w:r>
        <w:t xml:space="preserve"> </w:t>
      </w:r>
      <w:r>
        <w:t xml:space="preserve">“Branch”</w:t>
      </w:r>
      <w:r>
        <w:t xml:space="preserve">,</w:t>
      </w:r>
      <w:r>
        <w:t xml:space="preserve"> </w:t>
      </w:r>
      <w:r>
        <w:t xml:space="preserve">“Warehouse”</w:t>
      </w:r>
      <w:r>
        <w:t xml:space="preserve">)</w:t>
      </w:r>
    </w:p>
    <w:p>
      <w:pPr>
        <w:pStyle w:val="BodyText"/>
      </w:pPr>
      <w:r>
        <w:t xml:space="preserve">Locations are displayed in a responsive 1–2 column grid.</w:t>
      </w:r>
    </w:p>
    <w:p>
      <w:pPr>
        <w:pStyle w:val="BodyText"/>
      </w:pPr>
      <w:r>
        <w:rPr>
          <w:b/>
          <w:bCs/>
        </w:rPr>
        <w:t xml:space="preserve">Documents Card</w:t>
      </w:r>
    </w:p>
    <w:p>
      <w:pPr>
        <w:pStyle w:val="BodyText"/>
      </w:pPr>
      <w:r>
        <w:t xml:space="preserve">Manages uploaded documents with AI extraction status tracking.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</w:t>
      </w:r>
      <w:r>
        <w:t xml:space="preserve">:</w:t>
      </w:r>
      <w:r>
        <w:t xml:space="preserve"> </w:t>
      </w:r>
      <w:r>
        <w:t xml:space="preserve">“Documents”</w:t>
      </w:r>
      <w:r>
        <w:t xml:space="preserve"> </w:t>
      </w:r>
      <w:r>
        <w:t xml:space="preserve">title with an</w:t>
      </w:r>
      <w:r>
        <w:t xml:space="preserve"> </w:t>
      </w:r>
      <w:r>
        <w:t xml:space="preserve">“Upload”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Upload action</w:t>
      </w:r>
      <w:r>
        <w:t xml:space="preserve">: Creates a new document entry with type</w:t>
      </w:r>
      <w:r>
        <w:t xml:space="preserve"> </w:t>
      </w:r>
      <w:r>
        <w:t xml:space="preserve">“supplemental”</w:t>
      </w:r>
      <w:r>
        <w:t xml:space="preserve"> </w:t>
      </w:r>
      <w:r>
        <w:t xml:space="preserve">and extraction status</w:t>
      </w:r>
      <w:r>
        <w:t xml:space="preserve"> </w:t>
      </w:r>
      <w:r>
        <w:t xml:space="preserve">“pending”</w:t>
      </w:r>
      <w:r>
        <w:t xml:space="preserve">.</w:t>
      </w:r>
    </w:p>
    <w:p>
      <w:pPr>
        <w:pStyle w:val="FirstParagraph"/>
      </w:pPr>
      <w:r>
        <w:t xml:space="preserve">Documents table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Name</w:t>
            </w:r>
          </w:p>
        </w:tc>
        <w:tc>
          <w:tcPr/>
          <w:p>
            <w:pPr>
              <w:pStyle w:val="Compact"/>
            </w:pPr>
            <w:r>
              <w:t xml:space="preserve">Document name with FileText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Badge — application, loss_runs, schedule, endorsement, supplemental, correspondence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</w:t>
            </w:r>
          </w:p>
        </w:tc>
        <w:tc>
          <w:tcPr/>
          <w:p>
            <w:pPr>
              <w:pStyle w:val="Compact"/>
            </w:pPr>
            <w:r>
              <w:t xml:space="preserve">Date in YYYY-MM-DD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File size (e.g.,</w:t>
            </w:r>
            <w:r>
              <w:t xml:space="preserve"> </w:t>
            </w:r>
            <w:r>
              <w:t xml:space="preserve">“2.4 MB”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</w:t>
            </w:r>
          </w:p>
        </w:tc>
        <w:tc>
          <w:tcPr/>
          <w:p>
            <w:pPr>
              <w:pStyle w:val="Compact"/>
            </w:pPr>
            <w:r>
              <w:t xml:space="preserve">Status badge — complete (green), in_progress (amber), failed (red), pending (zinc)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Chevron icon; only shown for documents with Satora extraction output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Expandable rows</w:t>
      </w:r>
      <w:r>
        <w:t xml:space="preserve">: Clicking a row with extraction output expands it to show the Satora extraction summary text (e.g.,</w:t>
      </w:r>
      <w:r>
        <w:t xml:space="preserve"> </w:t>
      </w:r>
      <w:r>
        <w:t xml:space="preserve">“Extracted 42 fields. Key findings: Named insured confirmed, 3 locations, annual revenue $4.2M.”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Empty state</w:t>
      </w:r>
      <w:r>
        <w:t xml:space="preserve">:</w:t>
      </w:r>
      <w:r>
        <w:t xml:space="preserve"> </w:t>
      </w:r>
      <w:r>
        <w:t xml:space="preserve">“No documents uploaded.”</w:t>
      </w:r>
    </w:p>
    <w:p>
      <w:pPr>
        <w:pStyle w:val="BodyText"/>
      </w:pPr>
      <w:r>
        <w:rPr>
          <w:b/>
          <w:bCs/>
        </w:rPr>
        <w:t xml:space="preserve">Status Timeline Card</w:t>
      </w:r>
    </w:p>
    <w:p>
      <w:pPr>
        <w:pStyle w:val="BodyText"/>
      </w:pPr>
      <w:r>
        <w:t xml:space="preserve">Vertical timeline showing chronological status progression.</w:t>
      </w:r>
    </w:p>
    <w:p>
      <w:pPr>
        <w:pStyle w:val="BodyText"/>
      </w:pPr>
      <w:r>
        <w:t xml:space="preserve">Each entry displays: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Dot</w:t>
      </w:r>
      <w:r>
        <w:t xml:space="preserve">: Filled circle for the latest entry, hollow circle for prior entries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label</w:t>
      </w:r>
      <w:r>
        <w:t xml:space="preserve">: Color-coded text matching the status palette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Timestamp</w:t>
      </w:r>
      <w:r>
        <w:t xml:space="preserve">: Formatted as</w:t>
      </w:r>
      <w:r>
        <w:t xml:space="preserve"> </w:t>
      </w:r>
      <w:r>
        <w:t xml:space="preserve">“Mar 10, 2026, 2:30 PM”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</w:t>
      </w:r>
      <w:r>
        <w:t xml:space="preserve">: Who made the status change (or</w:t>
      </w:r>
      <w:r>
        <w:t xml:space="preserve"> </w:t>
      </w:r>
      <w:r>
        <w:t xml:space="preserve">“System”</w:t>
      </w:r>
      <w:r>
        <w:t xml:space="preserve"> </w:t>
      </w:r>
      <w:r>
        <w:t xml:space="preserve">for automated transitions)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(optional): Additional context for the transition</w:t>
      </w:r>
    </w:p>
    <w:p>
      <w:pPr>
        <w:pStyle w:val="BodyText"/>
      </w:pPr>
      <w:r>
        <w:t xml:space="preserve">The timeline reads top-to-bottom with the most recent entry showing a filled primary-colored dot and earlier entries showing hollow dots connected by a vertical line.</w:t>
      </w:r>
    </w:p>
    <w:bookmarkEnd w:id="14"/>
    <w:bookmarkStart w:id="15" w:name="right-column"/>
    <w:p>
      <w:pPr>
        <w:pStyle w:val="Heading4"/>
      </w:pPr>
      <w:r>
        <w:t xml:space="preserve">Right Column</w:t>
      </w:r>
    </w:p>
    <w:p>
      <w:pPr>
        <w:pStyle w:val="FirstParagraph"/>
      </w:pPr>
      <w:r>
        <w:rPr>
          <w:b/>
          <w:bCs/>
        </w:rPr>
        <w:t xml:space="preserve">Generative Submission Summary Card</w:t>
      </w:r>
      <w:r>
        <w:t xml:space="preserve"> </w:t>
      </w:r>
      <w:r>
        <w:t xml:space="preserve">(conditional)</w:t>
      </w:r>
    </w:p>
    <w:p>
      <w:pPr>
        <w:pStyle w:val="BodyText"/>
      </w:pPr>
      <w:r>
        <w:t xml:space="preserve">Shown when the submission has an AI-generated</w:t>
      </w:r>
      <w:r>
        <w:t xml:space="preserve"> </w:t>
      </w:r>
      <w:r>
        <w:rPr>
          <w:rStyle w:val="VerbatimChar"/>
        </w:rPr>
        <w:t xml:space="preserve">submissionSummary</w:t>
      </w:r>
      <w:r>
        <w:t xml:space="preserve">. Read-only.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</w:t>
      </w:r>
      <w:r>
        <w:t xml:space="preserve">: Sparkles icon with</w:t>
      </w:r>
      <w:r>
        <w:t xml:space="preserve"> </w:t>
      </w:r>
      <w:r>
        <w:t xml:space="preserve">“Generative Submission Summary”</w:t>
      </w:r>
      <w:r>
        <w:t xml:space="preserve"> </w:t>
      </w:r>
      <w:r>
        <w:t xml:space="preserve">title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Body</w:t>
      </w:r>
      <w:r>
        <w:t xml:space="preserve">: Multi-sentence AI-generated narrative summarizing the submission (insured profile, loss history highlights, broker, coverage requested)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Footer</w:t>
      </w:r>
      <w:r>
        <w:t xml:space="preserve">: Bot icon with</w:t>
      </w:r>
      <w:r>
        <w:t xml:space="preserve"> </w:t>
      </w:r>
      <w:r>
        <w:t xml:space="preserve">“AI-generated summary — read only”</w:t>
      </w:r>
      <w:r>
        <w:t xml:space="preserve"> </w:t>
      </w:r>
      <w:r>
        <w:t xml:space="preserve">in violet text</w:t>
      </w:r>
    </w:p>
    <w:p>
      <w:pPr>
        <w:pStyle w:val="FirstParagraph"/>
      </w:pPr>
      <w:r>
        <w:rPr>
          <w:b/>
          <w:bCs/>
        </w:rPr>
        <w:t xml:space="preserve">Notes &amp; Emails Card</w:t>
      </w:r>
    </w:p>
    <w:p>
      <w:pPr>
        <w:pStyle w:val="BodyText"/>
      </w:pPr>
      <w:r>
        <w:t xml:space="preserve">Chronological feed of internal notes and email correspondence.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Note</w:t>
      </w:r>
      <w:r>
        <w:t xml:space="preserve"> </w:t>
      </w:r>
      <w:r>
        <w:t xml:space="preserve">section (top): Textarea (</w:t>
      </w:r>
      <w:r>
        <w:t xml:space="preserve">“Add a note…”</w:t>
      </w:r>
      <w:r>
        <w:t xml:space="preserve">) with Send button. Disabled when empty. Hidden when in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Feed</w:t>
      </w:r>
      <w:r>
        <w:t xml:space="preserve">: Sorted newest-first. Each entry shows: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Icon</w:t>
      </w:r>
      <w:r>
        <w:t xml:space="preserve">: Blue MessageSquare for notes, purple Mail for emails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Type badge</w:t>
      </w:r>
      <w:r>
        <w:t xml:space="preserve">:</w:t>
      </w:r>
      <w:r>
        <w:t xml:space="preserve"> </w:t>
      </w:r>
      <w:r>
        <w:t xml:space="preserve">“note”</w:t>
      </w:r>
      <w:r>
        <w:t xml:space="preserve"> </w:t>
      </w:r>
      <w:r>
        <w:t xml:space="preserve">or</w:t>
      </w:r>
      <w:r>
        <w:t xml:space="preserve"> </w:t>
      </w:r>
      <w:r>
        <w:t xml:space="preserve">“email”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Author</w:t>
      </w:r>
      <w:r>
        <w:t xml:space="preserve">: Bold name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Timestamp</w:t>
      </w:r>
      <w:r>
        <w:t xml:space="preserve">: Right-aligned, formatted date/time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Content</w:t>
      </w:r>
      <w:r>
        <w:t xml:space="preserve">: For notes — plain text with whitespace preserved. For emails — collapsible section showing subject line, from/to addresses, and expandable body.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 state</w:t>
      </w:r>
      <w:r>
        <w:t xml:space="preserve">:</w:t>
      </w:r>
      <w:r>
        <w:t xml:space="preserve"> </w:t>
      </w:r>
      <w:r>
        <w:t xml:space="preserve">“No notes or emails yet.”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ss-runs-tab"/>
    <w:p>
      <w:pPr>
        <w:pStyle w:val="Heading3"/>
      </w:pPr>
      <w:r>
        <w:t xml:space="preserve">2.3 Loss Runs Tab</w:t>
      </w:r>
    </w:p>
    <w:p>
      <w:pPr>
        <w:pStyle w:val="FirstParagraph"/>
      </w:pPr>
      <w:r>
        <w:t xml:space="preserve">Displays historical loss data with summary calculations.</w:t>
      </w:r>
    </w:p>
    <w:p>
      <w:pPr>
        <w:pStyle w:val="BodyText"/>
      </w:pPr>
      <w:r>
        <w:rPr>
          <w:b/>
          <w:bCs/>
        </w:rPr>
        <w:t xml:space="preserve">Summary Cards</w:t>
      </w:r>
      <w:r>
        <w:t xml:space="preserve"> </w:t>
      </w:r>
      <w:r>
        <w:t xml:space="preserve">(2-column grid at top):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3-Year Weighted Avg Loss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totalIncurred / totalPremium</w:t>
            </w:r>
            <w:r>
              <w:t xml:space="preserve"> </w:t>
            </w:r>
            <w:r>
              <w:t xml:space="preserve">for first 3 policy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5-Year Weighted Avg Loss Ratio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totalIncurred / totalPremium</w:t>
            </w:r>
            <w:r>
              <w:t xml:space="preserve"> </w:t>
            </w:r>
            <w:r>
              <w:t xml:space="preserve">for first 5 policy years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Loss History Table</w:t>
      </w:r>
      <w:r>
        <w:t xml:space="preserve"> </w:t>
      </w:r>
      <w:r>
        <w:t xml:space="preserve">(8 columns):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Year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e.g.,</w:t>
            </w:r>
            <w:r>
              <w:t xml:space="preserve"> </w:t>
            </w:r>
            <w:r>
              <w:t xml:space="preserve">“2023-2024”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Insurance carrier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No decimal places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Claim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Incurred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Total incurred losses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Paid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Reserves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Outstanding reserves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Ratio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  <w:tc>
          <w:tcPr/>
          <w:p>
            <w:pPr>
              <w:pStyle w:val="Compact"/>
            </w:pPr>
            <w:r>
              <w:t xml:space="preserve">Color-coded: red (&gt;60%), amber (&gt;40%), green (&lt;=40%)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Large Losses Section</w:t>
      </w:r>
      <w:r>
        <w:t xml:space="preserve"> </w:t>
      </w:r>
      <w:r>
        <w:t xml:space="preserve">(conditional — only shown if large losses exist):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Year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Loss description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Badge —</w:t>
            </w:r>
            <w:r>
              <w:t xml:space="preserve"> </w:t>
            </w:r>
            <w:r>
              <w:t xml:space="preserve">“open”</w:t>
            </w:r>
            <w:r>
              <w:t xml:space="preserve"> </w:t>
            </w:r>
            <w:r>
              <w:t xml:space="preserve">(amber) or</w:t>
            </w:r>
            <w:r>
              <w:t xml:space="preserve"> </w:t>
            </w:r>
            <w:r>
              <w:t xml:space="preserve">“closed”</w:t>
            </w:r>
            <w:r>
              <w:t xml:space="preserve"> </w:t>
            </w:r>
            <w:r>
              <w:t xml:space="preserve">(zinc)</w:t>
            </w:r>
          </w:p>
        </w:tc>
      </w:tr>
    </w:tbl>
    <w:p>
      <w:pPr>
        <w:pStyle w:val="BodyText"/>
      </w:pPr>
      <w:r>
        <w:rPr>
          <w:b/>
          <w:bCs/>
        </w:rPr>
        <w:t xml:space="preserve">GL-specific variant</w:t>
      </w:r>
      <w:r>
        <w:t xml:space="preserve">: When the submission’s Line of Business is</w:t>
      </w:r>
      <w:r>
        <w:t xml:space="preserve"> </w:t>
      </w:r>
      <w:r>
        <w:t xml:space="preserve">“General Liability”</w:t>
      </w:r>
      <w:r>
        <w:t xml:space="preserve">, the tab renders a specialized Experience Modifier component instead of the standard loss run table.</w:t>
      </w:r>
    </w:p>
    <w:p>
      <w:pPr>
        <w:pStyle w:val="BodyText"/>
      </w:pPr>
      <w:r>
        <w:rPr>
          <w:b/>
          <w:bCs/>
        </w:rPr>
        <w:t xml:space="preserve">Empty state</w:t>
      </w:r>
      <w:r>
        <w:t xml:space="preserve">:</w:t>
      </w:r>
      <w:r>
        <w:t xml:space="preserve"> </w:t>
      </w:r>
      <w:r>
        <w:t xml:space="preserve">“No loss run data available.”</w:t>
      </w:r>
    </w:p>
    <w:p>
      <w:r>
        <w:pict>
          <v:rect style="width:0;height:1.5pt" o:hralign="center" o:hrstd="t" o:hr="t"/>
        </w:pict>
      </w:r>
    </w:p>
    <w:bookmarkEnd w:id="17"/>
    <w:bookmarkStart w:id="18" w:name="structured-data-tab"/>
    <w:p>
      <w:pPr>
        <w:pStyle w:val="Heading3"/>
      </w:pPr>
      <w:r>
        <w:t xml:space="preserve">2.4 Structured Data Tab</w:t>
      </w:r>
    </w:p>
    <w:p>
      <w:pPr>
        <w:pStyle w:val="FirstParagraph"/>
      </w:pPr>
      <w:r>
        <w:t xml:space="preserve">Displays AI-extracted fields organized by category with confidence scores and manual override capability.</w:t>
      </w:r>
    </w:p>
    <w:p>
      <w:pPr>
        <w:pStyle w:val="BodyText"/>
      </w:pPr>
      <w:r>
        <w:rPr>
          <w:b/>
          <w:bCs/>
        </w:rPr>
        <w:t xml:space="preserve">Field Groups</w:t>
      </w:r>
      <w:r>
        <w:t xml:space="preserve"> </w:t>
      </w:r>
      <w:r>
        <w:t xml:space="preserve">(collapsible sections):</w:t>
      </w:r>
      <w:r>
        <w:t xml:space="preserve"> </w:t>
      </w:r>
      <w:r>
        <w:t xml:space="preserve">- Groups are created dynamically from the</w:t>
      </w:r>
      <w:r>
        <w:t xml:space="preserve"> </w:t>
      </w:r>
      <w:r>
        <w:rPr>
          <w:rStyle w:val="VerbatimChar"/>
        </w:rPr>
        <w:t xml:space="preserve">fieldGroup</w:t>
      </w:r>
      <w:r>
        <w:t xml:space="preserve"> </w:t>
      </w:r>
      <w:r>
        <w:t xml:space="preserve">property on each field</w:t>
      </w:r>
      <w:r>
        <w:t xml:space="preserve"> </w:t>
      </w:r>
      <w:r>
        <w:t xml:space="preserve">- Default expanded groups:</w:t>
      </w:r>
      <w:r>
        <w:t xml:space="preserve"> </w:t>
      </w:r>
      <w:r>
        <w:t xml:space="preserve">“Insured Information”</w:t>
      </w:r>
      <w:r>
        <w:t xml:space="preserve">,</w:t>
      </w:r>
      <w:r>
        <w:t xml:space="preserve"> </w:t>
      </w:r>
      <w:r>
        <w:t xml:space="preserve">“Operations”</w:t>
      </w:r>
      <w:r>
        <w:t xml:space="preserve">,</w:t>
      </w:r>
      <w:r>
        <w:t xml:space="preserve"> </w:t>
      </w:r>
      <w:r>
        <w:t xml:space="preserve">“Coverage”</w:t>
      </w:r>
      <w:r>
        <w:t xml:space="preserve">,</w:t>
      </w:r>
      <w:r>
        <w:t xml:space="preserve"> </w:t>
      </w:r>
      <w:r>
        <w:t xml:space="preserve">“Locations”</w:t>
      </w:r>
      <w:r>
        <w:t xml:space="preserve"> </w:t>
      </w:r>
      <w:r>
        <w:t xml:space="preserve">- Each group header shows: group name + field count (e.g.,</w:t>
      </w:r>
      <w:r>
        <w:t xml:space="preserve"> </w:t>
      </w:r>
      <w:r>
        <w:t xml:space="preserve">“Insured Information (5)”</w:t>
      </w:r>
      <w:r>
        <w:t xml:space="preserve">)</w:t>
      </w:r>
      <w:r>
        <w:t xml:space="preserve"> </w:t>
      </w:r>
      <w:r>
        <w:t xml:space="preserve">- Clicking the header toggles expansion; ChevronDown icon rotates 180 degrees when open</w:t>
      </w:r>
    </w:p>
    <w:p>
      <w:pPr>
        <w:pStyle w:val="BodyText"/>
      </w:pPr>
      <w:r>
        <w:rPr>
          <w:b/>
          <w:bCs/>
        </w:rPr>
        <w:t xml:space="preserve">Fields Table</w:t>
      </w:r>
      <w:r>
        <w:t xml:space="preserve"> </w:t>
      </w:r>
      <w:r>
        <w:t xml:space="preserve">(within each group, 4 columns):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Field name (e.g.,</w:t>
            </w:r>
            <w:r>
              <w:t xml:space="preserve"> </w:t>
            </w:r>
            <w:r>
              <w:t xml:space="preserve">“Named Insured”</w:t>
            </w:r>
            <w:r>
              <w:t xml:space="preserve">,</w:t>
            </w:r>
            <w:r>
              <w:t xml:space="preserve"> </w:t>
            </w:r>
            <w:r>
              <w:t xml:space="preserve">“Annual Revenue”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 Value</w:t>
            </w:r>
          </w:p>
        </w:tc>
        <w:tc>
          <w:tcPr/>
          <w:p>
            <w:pPr>
              <w:pStyle w:val="Compact"/>
            </w:pPr>
            <w:r>
              <w:t xml:space="preserve">Original AI-extracted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Visual confidence bar + percentage (e.g., 98%). Uses</w:t>
            </w:r>
            <w:r>
              <w:t xml:space="preserve"> </w:t>
            </w:r>
            <w:r>
              <w:rPr>
                <w:rStyle w:val="VerbatimChar"/>
              </w:rPr>
              <w:t xml:space="preserve">ConfidenceScore</w:t>
            </w:r>
            <w:r>
              <w:t xml:space="preserve"> </w:t>
            </w: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Text input field for manual corrections. Shows amber Pencil icon when an override value exists. Placeholder:</w:t>
            </w:r>
            <w:r>
              <w:t xml:space="preserve"> </w:t>
            </w:r>
            <w:r>
              <w:t xml:space="preserve">“—”</w:t>
            </w:r>
          </w:p>
        </w:tc>
      </w:tr>
    </w:tbl>
    <w:p>
      <w:pPr>
        <w:pStyle w:val="BodyText"/>
      </w:pPr>
      <w:r>
        <w:t xml:space="preserve">Override values are stored separately and do not replace the original extracted value — both are preserved.</w:t>
      </w:r>
    </w:p>
    <w:p>
      <w:pPr>
        <w:pStyle w:val="BodyText"/>
      </w:pPr>
      <w:r>
        <w:rPr>
          <w:b/>
          <w:bCs/>
        </w:rPr>
        <w:t xml:space="preserve">Empty state</w:t>
      </w:r>
      <w:r>
        <w:t xml:space="preserve">:</w:t>
      </w:r>
      <w:r>
        <w:t xml:space="preserve"> </w:t>
      </w:r>
      <w:r>
        <w:t xml:space="preserve">“No structured data available.”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interaction-points"/>
    <w:p>
      <w:pPr>
        <w:pStyle w:val="Heading2"/>
      </w:pPr>
      <w:r>
        <w:t xml:space="preserve">3. Interaction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 button click</w:t>
            </w:r>
          </w:p>
        </w:tc>
        <w:tc>
          <w:tcPr/>
          <w:p>
            <w:pPr>
              <w:pStyle w:val="Compact"/>
            </w:pPr>
            <w:r>
              <w:t xml:space="preserve">Primary — Header</w:t>
            </w:r>
          </w:p>
        </w:tc>
        <w:tc>
          <w:tcPr/>
          <w:p>
            <w:pPr>
              <w:pStyle w:val="Compact"/>
            </w:pPr>
            <w:r>
              <w:t xml:space="preserve">Navigates to</w:t>
            </w:r>
            <w:r>
              <w:t xml:space="preserve"> </w:t>
            </w:r>
            <w:r>
              <w:rPr>
                <w:rStyle w:val="VerbatimChar"/>
              </w:rPr>
              <w:t xml:space="preserve">/submissions</w:t>
            </w:r>
            <w:r>
              <w:t xml:space="preserve"> </w:t>
            </w:r>
            <w:r>
              <w:t xml:space="preserve">list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 Status button</w:t>
            </w:r>
          </w:p>
        </w:tc>
        <w:tc>
          <w:tcPr/>
          <w:p>
            <w:pPr>
              <w:pStyle w:val="Compact"/>
            </w:pPr>
            <w:r>
              <w:t xml:space="preserve">Primary — Header</w:t>
            </w:r>
          </w:p>
        </w:tc>
        <w:tc>
          <w:tcPr/>
          <w:p>
            <w:pPr>
              <w:pStyle w:val="Compact"/>
            </w:pPr>
            <w:r>
              <w:t xml:space="preserve">Opens status transition dialog (conditional — only shown when handler provided)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Generate Proposal button</w:t>
            </w:r>
          </w:p>
        </w:tc>
        <w:tc>
          <w:tcPr/>
          <w:p>
            <w:pPr>
              <w:pStyle w:val="Compact"/>
            </w:pPr>
            <w:r>
              <w:t xml:space="preserve">Primary — Header / Overview — Proposals</w:t>
            </w:r>
          </w:p>
        </w:tc>
        <w:tc>
          <w:tcPr/>
          <w:p>
            <w:pPr>
              <w:pStyle w:val="Compact"/>
            </w:pPr>
            <w:r>
              <w:t xml:space="preserve">Initiates AI or manual proposal creation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Company URL click</w:t>
            </w:r>
          </w:p>
        </w:tc>
        <w:tc>
          <w:tcPr/>
          <w:p>
            <w:pPr>
              <w:pStyle w:val="Compact"/>
            </w:pPr>
            <w:r>
              <w:t xml:space="preserve">Primary — Key Information</w:t>
            </w:r>
          </w:p>
        </w:tc>
        <w:tc>
          <w:tcPr/>
          <w:p>
            <w:pPr>
              <w:pStyle w:val="Compact"/>
            </w:pPr>
            <w:r>
              <w:t xml:space="preserve">Opens company website in a new browser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Tab switch</w:t>
            </w:r>
          </w:p>
        </w:tc>
        <w:tc>
          <w:tcPr/>
          <w:p>
            <w:pPr>
              <w:pStyle w:val="Compact"/>
            </w:pPr>
            <w:r>
              <w:t xml:space="preserve">Tab bar</w:t>
            </w:r>
          </w:p>
        </w:tc>
        <w:tc>
          <w:tcPr/>
          <w:p>
            <w:pPr>
              <w:pStyle w:val="Compact"/>
            </w:pPr>
            <w:r>
              <w:t xml:space="preserve">Switches visible content between Overview, Loss Runs, and Structured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Proposal checkbox toggle</w:t>
            </w:r>
          </w:p>
        </w:tc>
        <w:tc>
          <w:tcPr/>
          <w:p>
            <w:pPr>
              <w:pStyle w:val="Compact"/>
            </w:pPr>
            <w:r>
              <w:t xml:space="preserve">Overview — Proposals</w:t>
            </w:r>
          </w:p>
        </w:tc>
        <w:tc>
          <w:tcPr/>
          <w:p>
            <w:pPr>
              <w:pStyle w:val="Compact"/>
            </w:pPr>
            <w:r>
              <w:t xml:space="preserve">Selects/deselects a proposal (max 2); enables contextual action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Copy button</w:t>
            </w:r>
          </w:p>
        </w:tc>
        <w:tc>
          <w:tcPr/>
          <w:p>
            <w:pPr>
              <w:pStyle w:val="Compact"/>
            </w:pPr>
            <w:r>
              <w:t xml:space="preserve">Overview — Proposals</w:t>
            </w:r>
          </w:p>
        </w:tc>
        <w:tc>
          <w:tcPr/>
          <w:p>
            <w:pPr>
              <w:pStyle w:val="Compact"/>
            </w:pPr>
            <w:r>
              <w:t xml:space="preserve">Duplicates the selected proposal(s) as a new editable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Compare button</w:t>
            </w:r>
          </w:p>
        </w:tc>
        <w:tc>
          <w:tcPr/>
          <w:p>
            <w:pPr>
              <w:pStyle w:val="Compact"/>
            </w:pPr>
            <w:r>
              <w:t xml:space="preserve">Overview — Proposals</w:t>
            </w:r>
          </w:p>
        </w:tc>
        <w:tc>
          <w:tcPr/>
          <w:p>
            <w:pPr>
              <w:pStyle w:val="Compact"/>
            </w:pPr>
            <w:r>
              <w:t xml:space="preserve">Opens side-by-side comparison of 2 selected proposals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Delete button</w:t>
            </w:r>
          </w:p>
        </w:tc>
        <w:tc>
          <w:tcPr/>
          <w:p>
            <w:pPr>
              <w:pStyle w:val="Compact"/>
            </w:pPr>
            <w:r>
              <w:t xml:space="preserve">Overview — Proposals</w:t>
            </w:r>
          </w:p>
        </w:tc>
        <w:tc>
          <w:tcPr/>
          <w:p>
            <w:pPr>
              <w:pStyle w:val="Compact"/>
            </w:pPr>
            <w:r>
              <w:t xml:space="preserve">Deletes selected proposals (hidden for AI-generated proposals)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Proposal row click</w:t>
            </w:r>
          </w:p>
        </w:tc>
        <w:tc>
          <w:tcPr/>
          <w:p>
            <w:pPr>
              <w:pStyle w:val="Compact"/>
            </w:pPr>
            <w:r>
              <w:t xml:space="preserve">Overview — Proposals</w:t>
            </w:r>
          </w:p>
        </w:tc>
        <w:tc>
          <w:tcPr/>
          <w:p>
            <w:pPr>
              <w:pStyle w:val="Compact"/>
            </w:pPr>
            <w:r>
              <w:t xml:space="preserve">Navigates to proposal detail page at</w:t>
            </w:r>
            <w:r>
              <w:t xml:space="preserve"> </w:t>
            </w:r>
            <w:r>
              <w:rPr>
                <w:rStyle w:val="VerbatimChar"/>
              </w:rPr>
              <w:t xml:space="preserve">/submissions/[id]/proposals/[proposalId]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Upload button</w:t>
            </w:r>
          </w:p>
        </w:tc>
        <w:tc>
          <w:tcPr/>
          <w:p>
            <w:pPr>
              <w:pStyle w:val="Compact"/>
            </w:pPr>
            <w:r>
              <w:t xml:space="preserve">Overview — Documents</w:t>
            </w:r>
          </w:p>
        </w:tc>
        <w:tc>
          <w:tcPr/>
          <w:p>
            <w:pPr>
              <w:pStyle w:val="Compact"/>
            </w:pPr>
            <w:r>
              <w:t xml:space="preserve">Creates a new pending document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Document row expand</w:t>
            </w:r>
          </w:p>
        </w:tc>
        <w:tc>
          <w:tcPr/>
          <w:p>
            <w:pPr>
              <w:pStyle w:val="Compact"/>
            </w:pPr>
            <w:r>
              <w:t xml:space="preserve">Overview — Documents</w:t>
            </w:r>
          </w:p>
        </w:tc>
        <w:tc>
          <w:tcPr/>
          <w:p>
            <w:pPr>
              <w:pStyle w:val="Compact"/>
            </w:pPr>
            <w:r>
              <w:t xml:space="preserve">Expands to show Satora AI extraction output (only for documents with extraction results)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Add Note submit</w:t>
            </w:r>
          </w:p>
        </w:tc>
        <w:tc>
          <w:tcPr/>
          <w:p>
            <w:pPr>
              <w:pStyle w:val="Compact"/>
            </w:pPr>
            <w:r>
              <w:t xml:space="preserve">Overview — Notes &amp; Emails</w:t>
            </w:r>
          </w:p>
        </w:tc>
        <w:tc>
          <w:tcPr/>
          <w:p>
            <w:pPr>
              <w:pStyle w:val="Compact"/>
            </w:pPr>
            <w:r>
              <w:t xml:space="preserve">Appends a new internal note to the feed with current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Email entry expand</w:t>
            </w:r>
          </w:p>
        </w:tc>
        <w:tc>
          <w:tcPr/>
          <w:p>
            <w:pPr>
              <w:pStyle w:val="Compact"/>
            </w:pPr>
            <w:r>
              <w:t xml:space="preserve">Overview — Notes &amp; Emails</w:t>
            </w:r>
          </w:p>
        </w:tc>
        <w:tc>
          <w:tcPr/>
          <w:p>
            <w:pPr>
              <w:pStyle w:val="Compact"/>
            </w:pPr>
            <w:r>
              <w:t xml:space="preserve">Expands to reveal email subject, from/to addresses, and full body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Structured field override</w:t>
            </w:r>
          </w:p>
        </w:tc>
        <w:tc>
          <w:tcPr/>
          <w:p>
            <w:pPr>
              <w:pStyle w:val="Compac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</w:pPr>
            <w:r>
              <w:t xml:space="preserve">Enters a manual correction value for an AI-extracted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Group expand/collapse</w:t>
            </w:r>
          </w:p>
        </w:tc>
        <w:tc>
          <w:tcPr/>
          <w:p>
            <w:pPr>
              <w:pStyle w:val="Compact"/>
            </w:pPr>
            <w:r>
              <w:t xml:space="preserve">Structured Data</w:t>
            </w:r>
          </w:p>
        </w:tc>
        <w:tc>
          <w:tcPr/>
          <w:p>
            <w:pPr>
              <w:pStyle w:val="Compact"/>
            </w:pPr>
            <w:r>
              <w:t xml:space="preserve">Toggles visibility of a field group’s contents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ey-inputs"/>
    <w:p>
      <w:pPr>
        <w:pStyle w:val="Heading2"/>
      </w:pPr>
      <w:r>
        <w:t xml:space="preserve">4. Key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intake data</w:t>
            </w:r>
          </w:p>
        </w:tc>
        <w:tc>
          <w:tcPr/>
          <w:p>
            <w:pPr>
              <w:pStyle w:val="Compact"/>
            </w:pPr>
            <w:r>
              <w:t xml:space="preserve">Broker / external system</w:t>
            </w:r>
          </w:p>
        </w:tc>
        <w:tc>
          <w:tcPr/>
          <w:p>
            <w:pPr>
              <w:pStyle w:val="Compact"/>
            </w:pPr>
            <w:r>
              <w:t xml:space="preserve">Insured name, NAICS, coverage line, effective/expiration dates, broker details, primary address, company URL, insured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documents</w:t>
            </w:r>
          </w:p>
        </w:tc>
        <w:tc>
          <w:tcPr/>
          <w:p>
            <w:pPr>
              <w:pStyle w:val="Compact"/>
            </w:pPr>
            <w:r>
              <w:t xml:space="preserve">Broker / underwriter</w:t>
            </w:r>
          </w:p>
        </w:tc>
        <w:tc>
          <w:tcPr/>
          <w:p>
            <w:pPr>
              <w:pStyle w:val="Compact"/>
            </w:pPr>
            <w:r>
              <w:t xml:space="preserve">PDFs (applications, loss runs, supplements) uploaded via the Documents card; trigger AI extraction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extraction outputs</w:t>
            </w:r>
          </w:p>
        </w:tc>
        <w:tc>
          <w:tcPr/>
          <w:p>
            <w:pPr>
              <w:pStyle w:val="Compact"/>
            </w:pPr>
            <w:r>
              <w:t xml:space="preserve">Satora extraction engine</w:t>
            </w:r>
          </w:p>
        </w:tc>
        <w:tc>
          <w:tcPr/>
          <w:p>
            <w:pPr>
              <w:pStyle w:val="Compact"/>
            </w:pPr>
            <w:r>
              <w:t xml:space="preserve">Structured fields with field group, field name, extracted value, and confidence score per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submission summary</w:t>
            </w:r>
          </w:p>
        </w:tc>
        <w:tc>
          <w:tcPr/>
          <w:p>
            <w:pPr>
              <w:pStyle w:val="Compact"/>
            </w:pPr>
            <w:r>
              <w:t xml:space="preserve">AI pipeline</w:t>
            </w:r>
          </w:p>
        </w:tc>
        <w:tc>
          <w:tcPr/>
          <w:p>
            <w:pPr>
              <w:pStyle w:val="Compact"/>
            </w:pPr>
            <w:r>
              <w:t xml:space="preserve">Narrative summary generated from submission data and extracted fields; displayed read-only in the Generative Submission Summary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proposals</w:t>
            </w:r>
          </w:p>
        </w:tc>
        <w:tc>
          <w:tcPr/>
          <w:p>
            <w:pPr>
              <w:pStyle w:val="Compact"/>
            </w:pPr>
            <w:r>
              <w:t xml:space="preserve">AI pipeline</w:t>
            </w:r>
          </w:p>
        </w:tc>
        <w:tc>
          <w:tcPr/>
          <w:p>
            <w:pPr>
              <w:pStyle w:val="Compact"/>
            </w:pPr>
            <w:r>
              <w:t xml:space="preserve">Proposals with</w:t>
            </w:r>
            <w:r>
              <w:t xml:space="preserve"> </w:t>
            </w:r>
            <w:r>
              <w:rPr>
                <w:rStyle w:val="VerbatimChar"/>
              </w:rPr>
              <w:t xml:space="preserve">aiGenerated: true</w:t>
            </w:r>
            <w:r>
              <w:t xml:space="preserve">; immutable, can only be copied to create editable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Underwriter overrides</w:t>
            </w:r>
          </w:p>
        </w:tc>
        <w:tc>
          <w:tcPr/>
          <w:p>
            <w:pPr>
              <w:pStyle w:val="Compact"/>
            </w:pPr>
            <w:r>
              <w:t xml:space="preserve">Human underwriter</w:t>
            </w:r>
          </w:p>
        </w:tc>
        <w:tc>
          <w:tcPr/>
          <w:p>
            <w:pPr>
              <w:pStyle w:val="Compact"/>
            </w:pPr>
            <w:r>
              <w:t xml:space="preserve">Manual corrections to extracted structured fields via the Override column in the Structured Data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notes</w:t>
            </w:r>
          </w:p>
        </w:tc>
        <w:tc>
          <w:tcPr/>
          <w:p>
            <w:pPr>
              <w:pStyle w:val="Compact"/>
            </w:pPr>
            <w:r>
              <w:t xml:space="preserve">Underwriter</w:t>
            </w:r>
          </w:p>
        </w:tc>
        <w:tc>
          <w:tcPr/>
          <w:p>
            <w:pPr>
              <w:pStyle w:val="Compact"/>
            </w:pPr>
            <w:r>
              <w:t xml:space="preserve">Free-text notes added via the Notes &amp; Emails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correspondence</w:t>
            </w:r>
          </w:p>
        </w:tc>
        <w:tc>
          <w:tcPr/>
          <w:p>
            <w:pPr>
              <w:pStyle w:val="Compact"/>
            </w:pPr>
            <w:r>
              <w:t xml:space="preserve">Email integration</w:t>
            </w:r>
          </w:p>
        </w:tc>
        <w:tc>
          <w:tcPr/>
          <w:p>
            <w:pPr>
              <w:pStyle w:val="Compact"/>
            </w:pPr>
            <w:r>
              <w:t xml:space="preserve">Inbound/outbound emails with subject, from/to, and body displayed in the Notes &amp; Emails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run data</w:t>
            </w:r>
          </w:p>
        </w:tc>
        <w:tc>
          <w:tcPr/>
          <w:p>
            <w:pPr>
              <w:pStyle w:val="Compact"/>
            </w:pPr>
            <w:r>
              <w:t xml:space="preserve">Broker / carrier</w:t>
            </w:r>
          </w:p>
        </w:tc>
        <w:tc>
          <w:tcPr/>
          <w:p>
            <w:pPr>
              <w:pStyle w:val="Compact"/>
            </w:pPr>
            <w:r>
              <w:t xml:space="preserve">Policy-year-level loss history including premium, claims, incurred, paid, reserves, and large losses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transitions</w:t>
            </w:r>
          </w:p>
        </w:tc>
        <w:tc>
          <w:tcPr/>
          <w:p>
            <w:pPr>
              <w:pStyle w:val="Compact"/>
            </w:pPr>
            <w:r>
              <w:t xml:space="preserve">AI pipeline / underwriter</w:t>
            </w:r>
          </w:p>
        </w:tc>
        <w:tc>
          <w:tcPr/>
          <w:p>
            <w:pPr>
              <w:pStyle w:val="Compact"/>
            </w:pPr>
            <w:r>
              <w:t xml:space="preserve">Automatic progression through AI stages; manual transitions from Under Review onward; recorded in Status Timeline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key-outputs"/>
    <w:p>
      <w:pPr>
        <w:pStyle w:val="Heading2"/>
      </w:pPr>
      <w:r>
        <w:t xml:space="preserve">5. Key Outputs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dossier</w:t>
            </w:r>
          </w:p>
        </w:tc>
        <w:tc>
          <w:tcPr/>
          <w:p>
            <w:pPr>
              <w:pStyle w:val="Compact"/>
            </w:pPr>
            <w:r>
              <w:t xml:space="preserve">Underwriter</w:t>
            </w:r>
          </w:p>
        </w:tc>
        <w:tc>
          <w:tcPr/>
          <w:p>
            <w:pPr>
              <w:pStyle w:val="Compact"/>
            </w:pPr>
            <w:r>
              <w:t xml:space="preserve">Complete view of the submission: insured profile, broker info, locations, documents, loss history, AI extractions, and status timeline — all accessible without leaving the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summary</w:t>
            </w:r>
          </w:p>
        </w:tc>
        <w:tc>
          <w:tcPr/>
          <w:p>
            <w:pPr>
              <w:pStyle w:val="Compact"/>
            </w:pPr>
            <w:r>
              <w:t xml:space="preserve">Underwriter / management</w:t>
            </w:r>
          </w:p>
        </w:tc>
        <w:tc>
          <w:tcPr/>
          <w:p>
            <w:pPr>
              <w:pStyle w:val="Compact"/>
            </w:pPr>
            <w:r>
              <w:t xml:space="preserve">AI-generated narrative summarizing the submission for quick triage and decision-making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list with selection</w:t>
            </w:r>
          </w:p>
        </w:tc>
        <w:tc>
          <w:tcPr/>
          <w:p>
            <w:pPr>
              <w:pStyle w:val="Compact"/>
            </w:pPr>
            <w:r>
              <w:t xml:space="preserve">Underwriter</w:t>
            </w:r>
          </w:p>
        </w:tc>
        <w:tc>
          <w:tcPr/>
          <w:p>
            <w:pPr>
              <w:pStyle w:val="Compact"/>
            </w:pPr>
            <w:r>
              <w:t xml:space="preserve">Actionable list of proposals with checkboxes enabling copy, compare (2 max), and delete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data with overrides</w:t>
            </w:r>
          </w:p>
        </w:tc>
        <w:tc>
          <w:tcPr/>
          <w:p>
            <w:pPr>
              <w:pStyle w:val="Compact"/>
            </w:pPr>
            <w:r>
              <w:t xml:space="preserve">Downstream systems / proposal generation</w:t>
            </w:r>
          </w:p>
        </w:tc>
        <w:tc>
          <w:tcPr/>
          <w:p>
            <w:pPr>
              <w:pStyle w:val="Compact"/>
            </w:pPr>
            <w:r>
              <w:t xml:space="preserve">AI-extracted fields with human corrections; both original and override values preserved for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ratio analysis</w:t>
            </w:r>
          </w:p>
        </w:tc>
        <w:tc>
          <w:tcPr/>
          <w:p>
            <w:pPr>
              <w:pStyle w:val="Compact"/>
            </w:pPr>
            <w:r>
              <w:t xml:space="preserve">Underwriter</w:t>
            </w:r>
          </w:p>
        </w:tc>
        <w:tc>
          <w:tcPr/>
          <w:p>
            <w:pPr>
              <w:pStyle w:val="Compact"/>
            </w:pPr>
            <w:r>
              <w:t xml:space="preserve">Weighted average loss ratios (3-year and 5-year) with color-coded thresholds for quick risk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timeline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Chronological record of every status transition with actor, timestamp, and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extraction summaries</w:t>
            </w:r>
          </w:p>
        </w:tc>
        <w:tc>
          <w:tcPr/>
          <w:p>
            <w:pPr>
              <w:pStyle w:val="Compact"/>
            </w:pPr>
            <w:r>
              <w:t xml:space="preserve">Underwriter</w:t>
            </w:r>
          </w:p>
        </w:tc>
        <w:tc>
          <w:tcPr/>
          <w:p>
            <w:pPr>
              <w:pStyle w:val="Compact"/>
            </w:pPr>
            <w:r>
              <w:t xml:space="preserve">Satora AI extraction output providing at-a-glance summaries of document 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&amp; email thread</w:t>
            </w:r>
          </w:p>
        </w:tc>
        <w:tc>
          <w:tcPr/>
          <w:p>
            <w:pPr>
              <w:pStyle w:val="Compact"/>
            </w:pPr>
            <w:r>
              <w:t xml:space="preserve">Underwriter / broker</w:t>
            </w:r>
          </w:p>
        </w:tc>
        <w:tc>
          <w:tcPr/>
          <w:p>
            <w:pPr>
              <w:pStyle w:val="Compact"/>
            </w:pPr>
            <w:r>
              <w:t xml:space="preserve">Complete correspondence and internal commentary history for the submission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acceptance-criteria"/>
    <w:p>
      <w:pPr>
        <w:pStyle w:val="Heading2"/>
      </w:pPr>
      <w:r>
        <w:t xml:space="preserve">6. Acceptance Criteria</w:t>
      </w:r>
    </w:p>
    <w:bookmarkStart w:id="23" w:name="primary-section-always-visible"/>
    <w:p>
      <w:pPr>
        <w:pStyle w:val="Heading3"/>
      </w:pPr>
      <w:r>
        <w:t xml:space="preserve">Primary Section (Always Visible)</w:t>
      </w:r>
    </w:p>
    <w:p>
      <w:pPr>
        <w:pStyle w:val="Compact"/>
        <w:numPr>
          <w:ilvl w:val="0"/>
          <w:numId w:val="1007"/>
        </w:numPr>
      </w:pPr>
      <w:r>
        <w:t xml:space="preserve">The header, Key Information card, and Broker Details card remain visible when switching between Overview, Loss Runs, and Structured Data tabs.</w:t>
      </w:r>
    </w:p>
    <w:p>
      <w:pPr>
        <w:pStyle w:val="Compact"/>
        <w:numPr>
          <w:ilvl w:val="0"/>
          <w:numId w:val="1008"/>
        </w:numPr>
      </w:pPr>
      <w:r>
        <w:t xml:space="preserve">Insured name and status badge display correctly; status badge uses the correct color from the seven-status palette.</w:t>
      </w:r>
    </w:p>
    <w:p>
      <w:pPr>
        <w:pStyle w:val="Compact"/>
        <w:numPr>
          <w:ilvl w:val="0"/>
          <w:numId w:val="1009"/>
        </w:numPr>
      </w:pPr>
      <w:r>
        <w:t xml:space="preserve">Reference number, Line of Business, NAICS code + description, and State appear as information badges below the title.</w:t>
      </w:r>
    </w:p>
    <w:p>
      <w:pPr>
        <w:pStyle w:val="Compact"/>
        <w:numPr>
          <w:ilvl w:val="0"/>
          <w:numId w:val="1010"/>
        </w:numPr>
      </w:pPr>
      <w:r>
        <w:t xml:space="preserve">Underwriter displays</w:t>
      </w:r>
      <w:r>
        <w:t xml:space="preserve"> </w:t>
      </w:r>
      <w:r>
        <w:t xml:space="preserve">“Unassigned”</w:t>
      </w:r>
      <w:r>
        <w:t xml:space="preserve"> </w:t>
      </w:r>
      <w:r>
        <w:t xml:space="preserve">for submissions in</w:t>
      </w:r>
      <w:r>
        <w:t xml:space="preserve"> </w:t>
      </w:r>
      <w:r>
        <w:rPr>
          <w:rStyle w:val="VerbatimChar"/>
        </w:rPr>
        <w:t xml:space="preserve">preparing_to_uw</w:t>
      </w:r>
      <w:r>
        <w:t xml:space="preserve">,</w:t>
      </w:r>
      <w:r>
        <w:t xml:space="preserve"> </w:t>
      </w:r>
      <w:r>
        <w:rPr>
          <w:rStyle w:val="VerbatimChar"/>
        </w:rPr>
        <w:t xml:space="preserve">ai_underwriting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ready_for_uw_review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Approver field is only displayed when an approver is assigned.</w:t>
      </w:r>
    </w:p>
    <w:p>
      <w:pPr>
        <w:pStyle w:val="Compact"/>
        <w:numPr>
          <w:ilvl w:val="0"/>
          <w:numId w:val="1012"/>
        </w:numPr>
      </w:pPr>
      <w:r>
        <w:t xml:space="preserve">Primary Address displays with MapPin icon when present; hidden when absent.</w:t>
      </w:r>
    </w:p>
    <w:p>
      <w:pPr>
        <w:pStyle w:val="Compact"/>
        <w:numPr>
          <w:ilvl w:val="0"/>
          <w:numId w:val="1013"/>
        </w:numPr>
      </w:pPr>
      <w:r>
        <w:t xml:space="preserve">Key Information card shows all extracted fields from</w:t>
      </w:r>
      <w:r>
        <w:t xml:space="preserve"> </w:t>
      </w:r>
      <w:r>
        <w:t xml:space="preserve">“Insured Information”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“Operations”</w:t>
      </w:r>
      <w:r>
        <w:t xml:space="preserve"> </w:t>
      </w:r>
      <w:r>
        <w:t xml:space="preserve">groups, plus NAICS Code and Company URL.</w:t>
      </w:r>
    </w:p>
    <w:p>
      <w:pPr>
        <w:pStyle w:val="Compact"/>
        <w:numPr>
          <w:ilvl w:val="0"/>
          <w:numId w:val="1014"/>
        </w:numPr>
      </w:pPr>
      <w:r>
        <w:t xml:space="preserve">Company URL opens in a new tab when clicked.</w:t>
      </w:r>
    </w:p>
    <w:p>
      <w:pPr>
        <w:pStyle w:val="Compact"/>
        <w:numPr>
          <w:ilvl w:val="0"/>
          <w:numId w:val="1015"/>
        </w:numPr>
      </w:pPr>
      <w:r>
        <w:t xml:space="preserve">Override values in Key Information take precedence over extracted values.</w:t>
      </w:r>
    </w:p>
    <w:p>
      <w:pPr>
        <w:pStyle w:val="Compact"/>
        <w:numPr>
          <w:ilvl w:val="0"/>
          <w:numId w:val="1016"/>
        </w:numPr>
      </w:pPr>
      <w:r>
        <w:t xml:space="preserve">Broker Details card shows Brokerage, Primary Broker, Email, and Phone; optional fields are hidden when empty.</w:t>
      </w:r>
    </w:p>
    <w:bookmarkEnd w:id="23"/>
    <w:bookmarkStart w:id="24" w:name="overview-tab"/>
    <w:p>
      <w:pPr>
        <w:pStyle w:val="Heading3"/>
      </w:pPr>
      <w:r>
        <w:t xml:space="preserve">Overview Tab</w:t>
      </w:r>
    </w:p>
    <w:p>
      <w:pPr>
        <w:pStyle w:val="Compact"/>
        <w:numPr>
          <w:ilvl w:val="0"/>
          <w:numId w:val="1017"/>
        </w:numPr>
      </w:pPr>
      <w:r>
        <w:t xml:space="preserve">Proposals card displays correct count and lists all proposals for this submission.</w:t>
      </w:r>
    </w:p>
    <w:p>
      <w:pPr>
        <w:pStyle w:val="Compact"/>
        <w:numPr>
          <w:ilvl w:val="0"/>
          <w:numId w:val="1018"/>
        </w:numPr>
      </w:pPr>
      <w:r>
        <w:t xml:space="preserve">Each proposal row shows label, version, status badge, description, creation date, form count, and premium.</w:t>
      </w:r>
    </w:p>
    <w:p>
      <w:pPr>
        <w:pStyle w:val="Compact"/>
        <w:numPr>
          <w:ilvl w:val="0"/>
          <w:numId w:val="1019"/>
        </w:numPr>
      </w:pPr>
      <w:r>
        <w:t xml:space="preserve">AI-generated proposals display a violet</w:t>
      </w:r>
      <w:r>
        <w:t xml:space="preserve"> </w:t>
      </w:r>
      <w:r>
        <w:t xml:space="preserve">“AI Generated”</w:t>
      </w:r>
      <w:r>
        <w:t xml:space="preserve"> </w:t>
      </w:r>
      <w:r>
        <w:t xml:space="preserve">badge with Bot and Lock icons.</w:t>
      </w:r>
    </w:p>
    <w:p>
      <w:pPr>
        <w:pStyle w:val="Compact"/>
        <w:numPr>
          <w:ilvl w:val="0"/>
          <w:numId w:val="1020"/>
        </w:numPr>
      </w:pPr>
      <w:r>
        <w:t xml:space="preserve">Checkboxes allow selecting up to 2 proposals; checkboxes are disabled when 2 are already selected.</w:t>
      </w:r>
    </w:p>
    <w:p>
      <w:pPr>
        <w:pStyle w:val="Compact"/>
        <w:numPr>
          <w:ilvl w:val="0"/>
          <w:numId w:val="1021"/>
        </w:numPr>
      </w:pPr>
      <w:r>
        <w:t xml:space="preserve">Copy button appears when 1+ proposals are selected.</w:t>
      </w:r>
    </w:p>
    <w:p>
      <w:pPr>
        <w:pStyle w:val="Compact"/>
        <w:numPr>
          <w:ilvl w:val="0"/>
          <w:numId w:val="1022"/>
        </w:numPr>
      </w:pPr>
      <w:r>
        <w:t xml:space="preserve">Compare button appears only when exactly 2 proposals are selected.</w:t>
      </w:r>
    </w:p>
    <w:p>
      <w:pPr>
        <w:pStyle w:val="Compact"/>
        <w:numPr>
          <w:ilvl w:val="0"/>
          <w:numId w:val="1023"/>
        </w:numPr>
      </w:pPr>
      <w:r>
        <w:t xml:space="preserve">Delete button appears when 1+ non-AI proposals are selected; hidden if all selected proposals are AI-generated.</w:t>
      </w:r>
    </w:p>
    <w:p>
      <w:pPr>
        <w:pStyle w:val="Compact"/>
        <w:numPr>
          <w:ilvl w:val="0"/>
          <w:numId w:val="1024"/>
        </w:numPr>
      </w:pPr>
      <w:r>
        <w:t xml:space="preserve">Clicking a proposal row navigates to the proposal detail page.</w:t>
      </w:r>
    </w:p>
    <w:p>
      <w:pPr>
        <w:pStyle w:val="Compact"/>
        <w:numPr>
          <w:ilvl w:val="0"/>
          <w:numId w:val="1025"/>
        </w:numPr>
      </w:pPr>
      <w:r>
        <w:t xml:space="preserve">Insured Locations card displays all locations with address and type badge; hidden when no locations exist.</w:t>
      </w:r>
    </w:p>
    <w:p>
      <w:pPr>
        <w:pStyle w:val="Compact"/>
        <w:numPr>
          <w:ilvl w:val="0"/>
          <w:numId w:val="1026"/>
        </w:numPr>
      </w:pPr>
      <w:r>
        <w:t xml:space="preserve">Documents card lists all documents with file name, type badge, upload date, size, and extraction status badge.</w:t>
      </w:r>
    </w:p>
    <w:p>
      <w:pPr>
        <w:pStyle w:val="Compact"/>
        <w:numPr>
          <w:ilvl w:val="0"/>
          <w:numId w:val="1027"/>
        </w:numPr>
      </w:pPr>
      <w:r>
        <w:t xml:space="preserve">Upload button creates a new document entry with</w:t>
      </w:r>
      <w:r>
        <w:t xml:space="preserve"> </w:t>
      </w:r>
      <w:r>
        <w:t xml:space="preserve">“pending”</w:t>
      </w:r>
      <w:r>
        <w:t xml:space="preserve"> </w:t>
      </w:r>
      <w:r>
        <w:t xml:space="preserve">extraction status.</w:t>
      </w:r>
    </w:p>
    <w:p>
      <w:pPr>
        <w:pStyle w:val="Compact"/>
        <w:numPr>
          <w:ilvl w:val="0"/>
          <w:numId w:val="1028"/>
        </w:numPr>
      </w:pPr>
      <w:r>
        <w:t xml:space="preserve">Document rows with Satora output expand to show extraction summary; rows without output have no expand control.</w:t>
      </w:r>
    </w:p>
    <w:p>
      <w:pPr>
        <w:pStyle w:val="Compact"/>
        <w:numPr>
          <w:ilvl w:val="0"/>
          <w:numId w:val="1029"/>
        </w:numPr>
      </w:pPr>
      <w:r>
        <w:t xml:space="preserve">Status Timeline displays all entries chronologically with correct status colors, timestamps, actors, and notes.</w:t>
      </w:r>
    </w:p>
    <w:p>
      <w:pPr>
        <w:pStyle w:val="Compact"/>
        <w:numPr>
          <w:ilvl w:val="0"/>
          <w:numId w:val="1030"/>
        </w:numPr>
      </w:pPr>
      <w:r>
        <w:t xml:space="preserve">Latest timeline entry has a filled dot; prior entries have hollow dots.</w:t>
      </w:r>
    </w:p>
    <w:p>
      <w:pPr>
        <w:pStyle w:val="Compact"/>
        <w:numPr>
          <w:ilvl w:val="0"/>
          <w:numId w:val="1031"/>
        </w:numPr>
      </w:pPr>
      <w:r>
        <w:t xml:space="preserve">Generative Submission Summary card displays the AI summary text when present; hidden when absent.</w:t>
      </w:r>
    </w:p>
    <w:p>
      <w:pPr>
        <w:pStyle w:val="Compact"/>
        <w:numPr>
          <w:ilvl w:val="0"/>
          <w:numId w:val="1032"/>
        </w:numPr>
      </w:pPr>
      <w:r>
        <w:t xml:space="preserve">Generative Summary is read-only with no edit controls.</w:t>
      </w:r>
    </w:p>
    <w:p>
      <w:pPr>
        <w:pStyle w:val="Compact"/>
        <w:numPr>
          <w:ilvl w:val="0"/>
          <w:numId w:val="1033"/>
        </w:numPr>
      </w:pPr>
      <w:r>
        <w:t xml:space="preserve">Notes &amp; Emails card sorts entries newest-first.</w:t>
      </w:r>
    </w:p>
    <w:p>
      <w:pPr>
        <w:pStyle w:val="Compact"/>
        <w:numPr>
          <w:ilvl w:val="0"/>
          <w:numId w:val="1034"/>
        </w:numPr>
      </w:pPr>
      <w:r>
        <w:t xml:space="preserve">Adding a note via the textarea appends it to the feed with current timestamp and</w:t>
      </w:r>
      <w:r>
        <w:t xml:space="preserve"> </w:t>
      </w:r>
      <w:r>
        <w:t xml:space="preserve">“Current User”</w:t>
      </w:r>
      <w:r>
        <w:t xml:space="preserve"> </w:t>
      </w:r>
      <w:r>
        <w:t xml:space="preserve">author.</w:t>
      </w:r>
    </w:p>
    <w:p>
      <w:pPr>
        <w:pStyle w:val="Compact"/>
        <w:numPr>
          <w:ilvl w:val="0"/>
          <w:numId w:val="1035"/>
        </w:numPr>
      </w:pPr>
      <w:r>
        <w:t xml:space="preserve">Email entries are expandable to show subject, from/to, and full body.</w:t>
      </w:r>
    </w:p>
    <w:bookmarkEnd w:id="24"/>
    <w:bookmarkStart w:id="25" w:name="loss-runs-tab-1"/>
    <w:p>
      <w:pPr>
        <w:pStyle w:val="Heading3"/>
      </w:pPr>
      <w:r>
        <w:t xml:space="preserve">Loss Runs Tab</w:t>
      </w:r>
    </w:p>
    <w:p>
      <w:pPr>
        <w:pStyle w:val="Compact"/>
        <w:numPr>
          <w:ilvl w:val="0"/>
          <w:numId w:val="1036"/>
        </w:numPr>
      </w:pPr>
      <w:r>
        <w:t xml:space="preserve">3-Year and 5-Year weighted average loss ratio cards display correct calculated values.</w:t>
      </w:r>
    </w:p>
    <w:p>
      <w:pPr>
        <w:pStyle w:val="Compact"/>
        <w:numPr>
          <w:ilvl w:val="0"/>
          <w:numId w:val="1037"/>
        </w:numPr>
      </w:pPr>
      <w:r>
        <w:t xml:space="preserve">Loss History table displays all columns: Policy Year, Carrier, Premium, Claims, Incurred, Paid, Reserves, Loss Ratio.</w:t>
      </w:r>
    </w:p>
    <w:p>
      <w:pPr>
        <w:pStyle w:val="Compact"/>
        <w:numPr>
          <w:ilvl w:val="0"/>
          <w:numId w:val="1038"/>
        </w:numPr>
      </w:pPr>
      <w:r>
        <w:t xml:space="preserve">Loss Ratio values are color-coded: red (&gt;60%), amber (&gt;40%), green (&lt;=40%).</w:t>
      </w:r>
    </w:p>
    <w:p>
      <w:pPr>
        <w:pStyle w:val="Compact"/>
        <w:numPr>
          <w:ilvl w:val="0"/>
          <w:numId w:val="1039"/>
        </w:numPr>
      </w:pPr>
      <w:r>
        <w:t xml:space="preserve">Large Losses section appears only when large losses exist for the submission.</w:t>
      </w:r>
    </w:p>
    <w:p>
      <w:pPr>
        <w:pStyle w:val="Compact"/>
        <w:numPr>
          <w:ilvl w:val="0"/>
          <w:numId w:val="1040"/>
        </w:numPr>
      </w:pPr>
      <w:r>
        <w:t xml:space="preserve">Large loss status badges use correct colors:</w:t>
      </w:r>
      <w:r>
        <w:t xml:space="preserve"> </w:t>
      </w:r>
      <w:r>
        <w:t xml:space="preserve">“open”</w:t>
      </w:r>
      <w:r>
        <w:t xml:space="preserve"> </w:t>
      </w:r>
      <w:r>
        <w:t xml:space="preserve">(amber),</w:t>
      </w:r>
      <w:r>
        <w:t xml:space="preserve"> </w:t>
      </w:r>
      <w:r>
        <w:t xml:space="preserve">“closed”</w:t>
      </w:r>
      <w:r>
        <w:t xml:space="preserve"> </w:t>
      </w:r>
      <w:r>
        <w:t xml:space="preserve">(zinc).</w:t>
      </w:r>
    </w:p>
    <w:p>
      <w:pPr>
        <w:pStyle w:val="Compact"/>
        <w:numPr>
          <w:ilvl w:val="0"/>
          <w:numId w:val="1041"/>
        </w:numPr>
      </w:pPr>
      <w:r>
        <w:t xml:space="preserve">GL submissions render the specialized Experience Modifier component instead of the standard loss run table.</w:t>
      </w:r>
    </w:p>
    <w:p>
      <w:pPr>
        <w:pStyle w:val="Compact"/>
        <w:numPr>
          <w:ilvl w:val="0"/>
          <w:numId w:val="1042"/>
        </w:numPr>
      </w:pPr>
      <w:r>
        <w:t xml:space="preserve">Empty state displays</w:t>
      </w:r>
      <w:r>
        <w:t xml:space="preserve"> </w:t>
      </w:r>
      <w:r>
        <w:t xml:space="preserve">“No loss run data available.”</w:t>
      </w:r>
      <w:r>
        <w:t xml:space="preserve"> </w:t>
      </w:r>
      <w:r>
        <w:t xml:space="preserve">when no loss runs exist.</w:t>
      </w:r>
    </w:p>
    <w:bookmarkEnd w:id="25"/>
    <w:bookmarkStart w:id="26" w:name="structured-data-tab-1"/>
    <w:p>
      <w:pPr>
        <w:pStyle w:val="Heading3"/>
      </w:pPr>
      <w:r>
        <w:t xml:space="preserve">Structured Data Tab</w:t>
      </w:r>
    </w:p>
    <w:p>
      <w:pPr>
        <w:pStyle w:val="Compact"/>
        <w:numPr>
          <w:ilvl w:val="0"/>
          <w:numId w:val="1043"/>
        </w:numPr>
      </w:pPr>
      <w:r>
        <w:t xml:space="preserve">Fields are grouped by</w:t>
      </w:r>
      <w:r>
        <w:t xml:space="preserve"> </w:t>
      </w:r>
      <w:r>
        <w:rPr>
          <w:rStyle w:val="VerbatimChar"/>
        </w:rPr>
        <w:t xml:space="preserve">fieldGroup</w:t>
      </w:r>
      <w:r>
        <w:t xml:space="preserve"> </w:t>
      </w:r>
      <w:r>
        <w:t xml:space="preserve">and displayed in collapsible sections.</w:t>
      </w:r>
    </w:p>
    <w:p>
      <w:pPr>
        <w:pStyle w:val="Compact"/>
        <w:numPr>
          <w:ilvl w:val="0"/>
          <w:numId w:val="1044"/>
        </w:numPr>
      </w:pPr>
      <w:r>
        <w:t xml:space="preserve">Default expanded groups:</w:t>
      </w:r>
      <w:r>
        <w:t xml:space="preserve"> </w:t>
      </w:r>
      <w:r>
        <w:t xml:space="preserve">“Insured Information”</w:t>
      </w:r>
      <w:r>
        <w:t xml:space="preserve">,</w:t>
      </w:r>
      <w:r>
        <w:t xml:space="preserve"> </w:t>
      </w:r>
      <w:r>
        <w:t xml:space="preserve">“Operations”</w:t>
      </w:r>
      <w:r>
        <w:t xml:space="preserve">,</w:t>
      </w:r>
      <w:r>
        <w:t xml:space="preserve"> </w:t>
      </w:r>
      <w:r>
        <w:t xml:space="preserve">“Coverage”</w:t>
      </w:r>
      <w:r>
        <w:t xml:space="preserve">,</w:t>
      </w:r>
      <w:r>
        <w:t xml:space="preserve"> </w:t>
      </w:r>
      <w:r>
        <w:t xml:space="preserve">“Locations”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Each group header shows group name and field count; clicking toggles expansion.</w:t>
      </w:r>
    </w:p>
    <w:p>
      <w:pPr>
        <w:pStyle w:val="Compact"/>
        <w:numPr>
          <w:ilvl w:val="0"/>
          <w:numId w:val="1046"/>
        </w:numPr>
      </w:pPr>
      <w:r>
        <w:t xml:space="preserve">Confidence column displays a visual bar and percentage via the</w:t>
      </w:r>
      <w:r>
        <w:t xml:space="preserve"> </w:t>
      </w:r>
      <w:r>
        <w:rPr>
          <w:rStyle w:val="VerbatimChar"/>
        </w:rPr>
        <w:t xml:space="preserve">ConfidenceScore</w:t>
      </w:r>
      <w:r>
        <w:t xml:space="preserve"> </w:t>
      </w:r>
      <w:r>
        <w:t xml:space="preserve">component.</w:t>
      </w:r>
    </w:p>
    <w:p>
      <w:pPr>
        <w:pStyle w:val="Compact"/>
        <w:numPr>
          <w:ilvl w:val="0"/>
          <w:numId w:val="1047"/>
        </w:numPr>
      </w:pPr>
      <w:r>
        <w:t xml:space="preserve">Override input accepts text input and shows an amber Pencil icon when a value is entered.</w:t>
      </w:r>
    </w:p>
    <w:p>
      <w:pPr>
        <w:pStyle w:val="Compact"/>
        <w:numPr>
          <w:ilvl w:val="0"/>
          <w:numId w:val="1048"/>
        </w:numPr>
      </w:pPr>
      <w:r>
        <w:t xml:space="preserve">Override values are stored separately and do not replace extracted values.</w:t>
      </w:r>
    </w:p>
    <w:p>
      <w:pPr>
        <w:pStyle w:val="Compact"/>
        <w:numPr>
          <w:ilvl w:val="0"/>
          <w:numId w:val="1049"/>
        </w:numPr>
      </w:pPr>
      <w:r>
        <w:t xml:space="preserve">Empty state displays</w:t>
      </w:r>
      <w:r>
        <w:t xml:space="preserve"> </w:t>
      </w:r>
      <w:r>
        <w:t xml:space="preserve">“No structured data available.”</w:t>
      </w:r>
      <w:r>
        <w:t xml:space="preserve"> </w:t>
      </w:r>
      <w:r>
        <w:t xml:space="preserve">when no fields exist.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ut-of-scope"/>
    <w:p>
      <w:pPr>
        <w:pStyle w:val="Heading2"/>
      </w:pPr>
      <w:r>
        <w:t xml:space="preserve">7. Out of Scope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Proposal detail page</w:t>
      </w:r>
      <w:r>
        <w:t xml:space="preserve"> </w:t>
      </w:r>
      <w:r>
        <w:t xml:space="preserve">— The proposal detail view (</w:t>
      </w:r>
      <w:r>
        <w:rPr>
          <w:rStyle w:val="VerbatimChar"/>
        </w:rPr>
        <w:t xml:space="preserve">/submissions/[id]/proposals/[proposalId]</w:t>
      </w:r>
      <w:r>
        <w:t xml:space="preserve">) with its Rates, Notes, and Forms tabs is covered by a separate epic.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Proposal comparison view</w:t>
      </w:r>
      <w:r>
        <w:t xml:space="preserve"> </w:t>
      </w:r>
      <w:r>
        <w:t xml:space="preserve">— The Compare button stubs navigation to a future comparison page; the comparison UI itself is not part of this epic.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Backend API integration</w:t>
      </w:r>
      <w:r>
        <w:t xml:space="preserve"> </w:t>
      </w:r>
      <w:r>
        <w:t xml:space="preserve">— The current implementation uses client-side mock data. REST/GraphQL endpoints for submissions, documents, notes, and structured data are a separate epic.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Document upload to storage</w:t>
      </w:r>
      <w:r>
        <w:t xml:space="preserve"> </w:t>
      </w:r>
      <w:r>
        <w:t xml:space="preserve">— The Upload button creates a local mock entry. Actual file upload to S3/blob storage with progress tracking is not implemented.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AI extraction pipeline</w:t>
      </w:r>
      <w:r>
        <w:t xml:space="preserve"> </w:t>
      </w:r>
      <w:r>
        <w:t xml:space="preserve">— The extraction status badges model the pipeline, but triggering, monitoring, and retrying extraction jobs is a separate system.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AI proposal generation</w:t>
      </w:r>
      <w:r>
        <w:t xml:space="preserve"> </w:t>
      </w:r>
      <w:r>
        <w:t xml:space="preserve">— The Generate Proposal button is a stub. The AI engine that produces proposals from submission data is out of scope.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 transition logic</w:t>
      </w:r>
      <w:r>
        <w:t xml:space="preserve"> </w:t>
      </w:r>
      <w:r>
        <w:t xml:space="preserve">— The Change Status button is a stub. Business rules governing valid transitions (e.g., preventing backwards movement from Bound) are not enforced.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Role-based access control</w:t>
      </w:r>
      <w:r>
        <w:t xml:space="preserve"> </w:t>
      </w:r>
      <w:r>
        <w:t xml:space="preserve">— All users can view and edit all submissions. Permission gating by role (underwriter, approver, admin) is deferred.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Real-time collaboration</w:t>
      </w:r>
      <w:r>
        <w:t xml:space="preserve"> </w:t>
      </w:r>
      <w:r>
        <w:t xml:space="preserve">— Multiple users editing the same submission concurrently (e.g., overrides, notes) is not supported.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No alerts when documents finish extraction, proposals are generated, or status changes occur.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Audit logging</w:t>
      </w:r>
      <w:r>
        <w:t xml:space="preserve"> </w:t>
      </w:r>
      <w:r>
        <w:t xml:space="preserve">— The Status Timeline provides a UI audit trail for status changes, but system-level logging (field edits, document views, login events) is not included.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Print / export</w:t>
      </w:r>
      <w:r>
        <w:t xml:space="preserve"> </w:t>
      </w:r>
      <w:r>
        <w:t xml:space="preserve">— No print-optimized view or PDF export of the submission detail page.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cs="Arial" w:eastAsia="Arial" w:hAnsi="Arial"/>
      <w:sz w:val="18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1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="Arial" w:cstheme="majorBidi" w:eastAsia="Arial" w:eastAsiaTheme="majorEastAsia" w:hAnsi="Arial" w:hAnsiTheme="majorHAnsi"/>
      <w:sz w:val="1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asciiTheme="majorHAnsi" w:cs="Arial" w:cstheme="majorBidi" w:eastAsia="Arial" w:eastAsiaTheme="majorEastAsia" w:hAnsi="Arial" w:hAnsiTheme="majorHAnsi"/>
      <w:sz w:val="18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cstheme="majorBidi" w:eastAsia="Arial" w:eastAsiaTheme="majorEastAsia" w:hAnsi="Arial"/>
      <w:spacing w:val="15"/>
      <w:sz w:val="1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Arial" w:cs="Arial" w:cstheme="majorBidi" w:eastAsia="Arial" w:eastAsiaTheme="majorEastAsia" w:hAnsi="Arial"/>
      <w:color w:themeColor="text1" w:themeTint="A6" w:val="595959"/>
      <w:spacing w:val="15"/>
      <w:sz w:val="1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18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18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rial" w:cs="Arial" w:eastAsia="Arial" w:hAnsi="Arial"/>
      <w:b/>
      <w:sz w:val="18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18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  <w:sz w:val="1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="Arial" w:cstheme="majorBidi" w:eastAsia="Arial" w:eastAsiaTheme="majorEastAsia" w:hAnsi="Arial" w:hAnsiTheme="majorHAnsi"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="Arial" w:cstheme="majorBidi" w:eastAsia="Arial" w:eastAsiaTheme="majorEastAsia" w:hAnsi="Arial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cstheme="majorBidi" w:eastAsia="Arial" w:eastAsiaTheme="majorEastAsia" w:hAnsi="Arial"/>
      <w:color w:themeColor="accent1" w:themeShade="BF" w:val="0F4761"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cstheme="majorBidi" w:eastAsia="Arial" w:eastAsiaTheme="majorEastAsia" w:hAnsi="Arial"/>
      <w:i/>
      <w:iCs/>
      <w:color w:themeColor="accent1" w:themeShade="BF" w:val="0F4761"/>
      <w:sz w:val="1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Arial" w:cs="Arial" w:cstheme="majorBidi" w:eastAsia="Arial" w:eastAsiaTheme="majorEastAsia" w:hAnsi="Arial"/>
      <w:color w:themeColor="accent1" w:themeShade="BF" w:val="0F4761"/>
      <w:sz w:val="1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Arial" w:cs="Arial" w:cstheme="majorBidi" w:eastAsia="Arial" w:eastAsiaTheme="majorEastAsia" w:hAnsi="Arial"/>
      <w:i/>
      <w:iCs/>
      <w:color w:themeColor="text1" w:themeTint="A6" w:val="595959"/>
      <w:sz w:val="1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Arial" w:cs="Arial" w:cstheme="majorBidi" w:eastAsia="Arial" w:eastAsiaTheme="majorEastAsia" w:hAnsi="Arial"/>
      <w:color w:themeColor="text1" w:themeTint="A6" w:val="595959"/>
      <w:sz w:val="1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cs="Arial" w:cstheme="majorBidi" w:eastAsia="Arial" w:eastAsiaTheme="majorEastAsia" w:hAnsi="Arial"/>
      <w:i/>
      <w:iCs/>
      <w:color w:themeColor="text1" w:themeTint="D8" w:val="272727"/>
      <w:sz w:val="1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cs="Arial" w:cstheme="majorBidi" w:eastAsia="Arial" w:eastAsiaTheme="majorEastAsia" w:hAnsi="Arial"/>
      <w:color w:themeColor="text1" w:themeTint="D8" w:val="272727"/>
      <w:sz w:val="1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asciiTheme="majorHAnsi" w:cs="Arial" w:cstheme="majorBidi" w:eastAsia="Arial" w:eastAsiaTheme="majorEastAsia" w:hAnsi="Arial" w:hAnsiTheme="majorHAnsi"/>
      <w:color w:themeColor="accent1" w:themeShade="BF" w:val="0F4761"/>
      <w:sz w:val="1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asciiTheme="majorHAnsi" w:cs="Arial" w:cstheme="majorBidi" w:eastAsia="Arial" w:eastAsiaTheme="majorEastAsia" w:hAnsi="Arial" w:hAnsiTheme="majorHAnsi"/>
      <w:color w:themeColor="accent1" w:themeShade="BF" w:val="0F4761"/>
      <w:sz w:val="1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Arial" w:cs="Arial" w:cstheme="majorBidi" w:eastAsia="Arial" w:eastAsiaTheme="majorEastAsia" w:hAnsi="Arial"/>
      <w:color w:themeColor="accent1" w:themeShade="BF" w:val="0F4761"/>
      <w:sz w:val="1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Arial" w:cs="Arial" w:cstheme="majorBidi" w:eastAsia="Arial" w:eastAsiaTheme="majorEastAsia" w:hAnsi="Arial"/>
      <w:i/>
      <w:iCs/>
      <w:color w:themeColor="accent1" w:themeShade="BF" w:val="0F4761"/>
      <w:sz w:val="1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Arial" w:cs="Arial" w:cstheme="majorBidi" w:eastAsia="Arial" w:eastAsiaTheme="majorEastAsia" w:hAnsi="Arial"/>
      <w:color w:themeColor="accent1" w:themeShade="BF" w:val="0F4761"/>
      <w:sz w:val="1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Arial" w:cs="Arial" w:cstheme="majorBidi" w:eastAsia="Arial" w:eastAsiaTheme="majorEastAsia" w:hAnsi="Arial"/>
      <w:i/>
      <w:iCs/>
      <w:color w:themeColor="text1" w:themeTint="A6" w:val="595959"/>
      <w:sz w:val="1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Arial" w:cs="Arial" w:cstheme="majorBidi" w:eastAsia="Arial" w:eastAsiaTheme="majorEastAsia" w:hAnsi="Arial"/>
      <w:color w:themeColor="text1" w:themeTint="A6" w:val="595959"/>
      <w:sz w:val="1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Arial" w:cs="Arial" w:cstheme="majorBidi" w:eastAsia="Arial" w:eastAsiaTheme="majorEastAsia" w:hAnsi="Arial"/>
      <w:i/>
      <w:iCs/>
      <w:color w:themeColor="text1" w:themeTint="D8" w:val="272727"/>
      <w:sz w:val="1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Arial" w:cs="Arial" w:cstheme="majorBidi" w:eastAsia="Arial" w:eastAsiaTheme="majorEastAsia" w:hAnsi="Arial"/>
      <w:color w:themeColor="text1" w:themeTint="D8" w:val="272727"/>
      <w:sz w:val="1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  <w:sz w:val="1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18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  <w:sz w:val="18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  <w:sz w:val="18"/>
    </w:rPr>
  </w:style>
  <w:style w:customStyle="1" w:styleId="Definition" w:type="paragraph">
    <w:name w:val="Definition"/>
    <w:basedOn w:val="Normal"/>
    <w:rPr>
      <w:rFonts w:ascii="Arial" w:cs="Arial" w:eastAsia="Arial" w:hAnsi="Arial"/>
      <w:sz w:val="18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  <w:rPr>
      <w:rFonts w:ascii="Arial" w:cs="Arial" w:eastAsia="Arial" w:hAnsi="Arial"/>
      <w:sz w:val="18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  <w:sz w:val="18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  <w:sz w:val="18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18"/>
    </w:rPr>
  </w:style>
  <w:style w:customStyle="1" w:styleId="SectionNumber" w:type="character">
    <w:name w:val="Section Number"/>
    <w:basedOn w:val="BodyTextChar"/>
    <w:rPr>
      <w:rFonts w:ascii="Arial" w:cs="Arial" w:eastAsia="Arial" w:hAnsi="Arial"/>
      <w:sz w:val="18"/>
    </w:rPr>
  </w:style>
  <w:style w:styleId="FootnoteReference" w:type="character">
    <w:name w:val="Footnote Reference"/>
    <w:basedOn w:val="BodyTextChar"/>
    <w:rPr>
      <w:rFonts w:ascii="Arial" w:cs="Arial" w:eastAsia="Arial" w:hAnsi="Arial"/>
      <w:sz w:val="18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2026-03-27T15:48:35Z</dcterms:created>
  <dcterms:modified xsi:type="dcterms:W3CDTF">2026-03-27T15:48:35Z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