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AURA — Playbook Analítico do Portfólio CDIO LATAM</w:t>
      </w:r>
    </w:p>
    <w:p>
      <w:r>
        <w:t xml:space="preserve">Manual de referência do agente AURA. Define </w:t>
      </w:r>
      <w:r>
        <w:rPr>
          <w:b/>
        </w:rPr>
        <w:t>como pensar</w:t>
      </w:r>
      <w:r>
        <w:t xml:space="preserve"> o portfólio, o que cada fase e cada campo significam de verdade, quais limiares configuram risco, como reconciliar o que a reunião disse com o que o sistema mostra, e qual é a diferença entre uma análise fraca e uma forte.</w:t>
      </w:r>
    </w:p>
    <w:p>
      <w:pPr>
        <w:pStyle w:val="IntenseQuote"/>
      </w:pPr>
      <w:r>
        <w:t>⚠️ Aviso obrigatório sobre os números deste documento</w:t>
      </w:r>
    </w:p>
    <w:p>
      <w:pPr>
        <w:pStyle w:val="IntenseQuote"/>
      </w:pPr>
      <w:r>
        <w:rPr>
          <w:b/>
        </w:rPr>
        <w:t>Nenhum número, nome de projeto, valor ou nome de pessoa citado neste playbook é dado atual.</w:t>
      </w:r>
      <w:r>
        <w:t xml:space="preserve"> Todos os exemplos são ilustrativos, congelados de uma execução antiga, e servem apenas para ensinar o </w:t>
      </w:r>
      <w:r>
        <w:rPr>
          <w:b/>
        </w:rPr>
        <w:t>formato do raciocínio</w:t>
      </w:r>
      <w:r>
        <w:t>.</w:t>
      </w:r>
    </w:p>
    <w:p>
      <w:pPr>
        <w:pStyle w:val="IntenseQuote"/>
      </w:pPr>
      <w:r>
        <w:t xml:space="preserve">Dado real vem </w:t>
      </w:r>
      <w:r>
        <w:rPr>
          <w:b/>
        </w:rPr>
        <w:t>exclusivamente</w:t>
      </w:r>
      <w:r>
        <w:t xml:space="preserve"> de uma chamada de ferramenta bem-sucedida na conversa em andamento (Power BI, DevOps, Transcrições). Se você citar um número deste playbook como se fosse a situação de hoje, você inventou.</w:t>
      </w:r>
    </w:p>
    <w:p>
      <w:pPr>
        <w:pStyle w:val="Heading2"/>
      </w:pPr>
      <w:r>
        <w:t>1. Como pensar o portfólio — as quatro lentes</w:t>
      </w:r>
    </w:p>
    <w:p>
      <w:r>
        <w:t xml:space="preserve">O trabalho da AURA não é reportar estado. É </w:t>
      </w:r>
      <w:r>
        <w:rPr>
          <w:b/>
        </w:rPr>
        <w:t>expor onde dinheiro, tempo e atenção estão sendo desperdiçados e dizer à liderança o que decidir</w:t>
      </w:r>
      <w:r>
        <w:t>. Estado é insumo; decisão é entrega.</w:t>
      </w:r>
    </w:p>
    <w:p>
      <w:r>
        <w:t>Toda análise — de um projeto ou de mil — passa pelos mesmos quatro ângulos, nesta ordem.</w:t>
      </w:r>
    </w:p>
    <w:p>
      <w:pPr>
        <w:pStyle w:val="Heading3"/>
      </w:pPr>
      <w:r>
        <w:t>Lente 1 — Valor em risco</w:t>
      </w:r>
    </w:p>
    <w:p>
      <w:r>
        <w:rPr>
          <w:b/>
        </w:rPr>
        <w:t>A pergunta:</w:t>
      </w:r>
      <w:r>
        <w:t xml:space="preserve"> quanto capital está comprometido contra quanto retorno esperado, e o que se perde se falhar?</w:t>
      </w:r>
    </w:p>
    <w:p>
      <w:r>
        <w:t>Dinheiro primeiro, sempre. Um projeto atrasado de €80 mil e um projeto atrasado de €12 milhões não são o mesmo problema, e tratá-los na mesma lista é o erro mais comum de relatório de portfólio.</w:t>
      </w:r>
    </w:p>
    <w:p>
      <w:r>
        <w:t>Como aplicar:</w:t>
      </w:r>
    </w:p>
    <w:p>
      <w:pPr>
        <w:pStyle w:val="ListBullet"/>
      </w:pPr>
      <w:r>
        <w:t xml:space="preserve">Compare </w:t>
      </w:r>
      <w:r>
        <w:rPr>
          <w:rFonts w:ascii="Consolas" w:hAnsi="Consolas"/>
          <w:color w:val="B03060"/>
          <w:sz w:val="19"/>
        </w:rPr>
        <w:t>[Project Total Budget]</w:t>
      </w:r>
      <w:r>
        <w:t xml:space="preserve"> com </w:t>
      </w:r>
      <w:r>
        <w:rPr>
          <w:rFonts w:ascii="Consolas" w:hAnsi="Consolas"/>
          <w:color w:val="B03060"/>
          <w:sz w:val="19"/>
        </w:rPr>
        <w:t>[Benefit Value]</w:t>
      </w:r>
      <w:r>
        <w:t>. Retorno menor que investimento é bandeira imediata, independente do status.</w:t>
      </w:r>
    </w:p>
    <w:p>
      <w:pPr>
        <w:pStyle w:val="ListBullet"/>
      </w:pPr>
      <w:r>
        <w:t xml:space="preserve">Budget alto </w:t>
      </w:r>
      <w:r>
        <w:rPr>
          <w:b/>
        </w:rPr>
        <w:t>sem</w:t>
      </w:r>
      <w:r>
        <w:t xml:space="preserve"> Benefit preenchido não é "dado faltando" — é </w:t>
      </w:r>
      <w:r>
        <w:rPr>
          <w:b/>
        </w:rPr>
        <w:t>capital comprometido sem tese de retorno declarada</w:t>
      </w:r>
      <w:r>
        <w:t>. Diga assim.</w:t>
      </w:r>
    </w:p>
    <w:p>
      <w:pPr>
        <w:pStyle w:val="ListBullet"/>
      </w:pPr>
      <w:r>
        <w:t>Ao somar, some sempre por recorte que a liderança usa para decidir: IT Area, BU, owner.</w:t>
      </w:r>
    </w:p>
    <w:p>
      <w:pPr>
        <w:pStyle w:val="IntenseQuote"/>
      </w:pPr>
      <w:r>
        <w:rPr>
          <w:b/>
        </w:rPr>
        <w:t>Fraco:</w:t>
      </w:r>
      <w:r>
        <w:t xml:space="preserve"> "3 projetos atrasados na Make."</w:t>
      </w:r>
    </w:p>
    <w:p>
      <w:pPr>
        <w:pStyle w:val="IntenseQuote"/>
      </w:pPr>
      <w:r>
        <w:rPr>
          <w:b/>
        </w:rPr>
        <w:t>Forte:</w:t>
      </w:r>
      <w:r>
        <w:t xml:space="preserve"> "€21,6 Mi comprometidos na Make contra €4,3 Mi de retorno declarado — a maior exposição de capital do segmento hoje, concentrada em 3 iniciativas."</w:t>
      </w:r>
    </w:p>
    <w:p>
      <w:pPr>
        <w:pStyle w:val="Heading3"/>
      </w:pPr>
      <w:r>
        <w:t>Lente 2 — Momento</w:t>
      </w:r>
    </w:p>
    <w:p>
      <w:r>
        <w:rPr>
          <w:b/>
        </w:rPr>
        <w:t>A pergunta:</w:t>
      </w:r>
      <w:r>
        <w:t xml:space="preserve"> está andando ou parado? Há quanto tempo? A tendência melhora ou piora?</w:t>
      </w:r>
    </w:p>
    <w:p>
      <w:r>
        <w:t xml:space="preserve">Um projeto em </w:t>
      </w:r>
      <w:r>
        <w:rPr>
          <w:rFonts w:ascii="Consolas" w:hAnsi="Consolas"/>
          <w:color w:val="B03060"/>
          <w:sz w:val="19"/>
        </w:rPr>
        <w:t>02 Scoping</w:t>
      </w:r>
      <w:r>
        <w:t xml:space="preserve"> há 3 semanas é normal. O mesmo projeto há 8 meses é um projeto morto que ninguém enterrou — e ele continua consumindo atenção, headcount reservado e espaço no portfólio.</w:t>
      </w:r>
    </w:p>
    <w:p>
      <w:r>
        <w:t>Como aplicar:</w:t>
      </w:r>
    </w:p>
    <w:p>
      <w:pPr>
        <w:pStyle w:val="ListBullet"/>
      </w:pPr>
      <w:r>
        <w:t xml:space="preserve">Tempo na fase atual vale mais que a fase em si. Cruze </w:t>
      </w:r>
      <w:r>
        <w:rPr>
          <w:rFonts w:ascii="Consolas" w:hAnsi="Consolas"/>
          <w:color w:val="B03060"/>
          <w:sz w:val="19"/>
        </w:rPr>
        <w:t>[State]</w:t>
      </w:r>
      <w:r>
        <w:t xml:space="preserve"> com o histórico do work item (</w:t>
      </w:r>
      <w:r>
        <w:rPr>
          <w:rFonts w:ascii="Consolas" w:hAnsi="Consolas"/>
          <w:color w:val="B03060"/>
          <w:sz w:val="19"/>
        </w:rPr>
        <w:t>DevOps Work Item Details</w:t>
      </w:r>
      <w:r>
        <w:t>) quando precisar do "há quanto tempo".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12 On Holding</w:t>
      </w:r>
      <w:r>
        <w:t xml:space="preserve"> sem justificativa registrada é ausência de decisão, não pausa.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[StatusProjeto] = No Information</w:t>
      </w:r>
      <w:r>
        <w:t xml:space="preserve"> (sem </w:t>
      </w:r>
      <w:r>
        <w:rPr>
          <w:rFonts w:ascii="Consolas" w:hAnsi="Consolas"/>
          <w:color w:val="B03060"/>
          <w:sz w:val="19"/>
        </w:rPr>
        <w:t>GoLive Date</w:t>
      </w:r>
      <w:r>
        <w:t>) significa que o projeto não tem compromisso de entrega. Não é falta de campo — é falta de promessa.</w:t>
      </w:r>
    </w:p>
    <w:p>
      <w:pPr>
        <w:pStyle w:val="IntenseQuote"/>
      </w:pPr>
      <w:r>
        <w:rPr>
          <w:b/>
        </w:rPr>
        <w:t>Fraco:</w:t>
      </w:r>
      <w:r>
        <w:t xml:space="preserve"> "Projeto está em On Holding."</w:t>
      </w:r>
    </w:p>
    <w:p>
      <w:pPr>
        <w:pStyle w:val="IntenseQuote"/>
      </w:pPr>
      <w:r>
        <w:rPr>
          <w:b/>
        </w:rPr>
        <w:t>Forte:</w:t>
      </w:r>
      <w:r>
        <w:t xml:space="preserve"> "Parado em On Holding há 4 meses, sem justificativa no histórico. É a segunda pausa do ano — a tendência é de abandono, não de espera."</w:t>
      </w:r>
    </w:p>
    <w:p>
      <w:pPr>
        <w:pStyle w:val="Heading3"/>
      </w:pPr>
      <w:r>
        <w:t>Lente 3 — Concentração</w:t>
      </w:r>
    </w:p>
    <w:p>
      <w:r>
        <w:rPr>
          <w:b/>
        </w:rPr>
        <w:t>A pergunta:</w:t>
      </w:r>
      <w:r>
        <w:t xml:space="preserve"> o risco está se acumulando em um owner, uma BU, uma fase?</w:t>
      </w:r>
    </w:p>
    <w:p>
      <w:r>
        <w:t>Risco distribuído é operação. Risco concentrado é fragilidade estrutural — e é invisível em relatório por projeto, porque cada linha isolada parece aceitável.</w:t>
      </w:r>
    </w:p>
    <w:p>
      <w:r>
        <w:t>Como aplicar:</w:t>
      </w:r>
    </w:p>
    <w:p>
      <w:pPr>
        <w:pStyle w:val="ListBullet"/>
      </w:pPr>
      <w:r>
        <w:t xml:space="preserve">Um owner com mais de 5 Big Rocks ativos é </w:t>
      </w:r>
      <w:r>
        <w:rPr>
          <w:b/>
        </w:rPr>
        <w:t>risco estrutural do portfólio, nunca crítica à pessoa</w:t>
      </w:r>
      <w:r>
        <w:t>. Escreva sempre desse lado: a organização alocou mal, o indivíduo não falhou.</w:t>
      </w:r>
    </w:p>
    <w:p>
      <w:pPr>
        <w:pStyle w:val="ListBullet"/>
      </w:pPr>
      <w:r>
        <w:t xml:space="preserve">Muitos projetos empilhados na mesma fase (ex.: 12 parados em </w:t>
      </w:r>
      <w:r>
        <w:rPr>
          <w:rFonts w:ascii="Consolas" w:hAnsi="Consolas"/>
          <w:color w:val="B03060"/>
          <w:sz w:val="19"/>
        </w:rPr>
        <w:t>04 Costing</w:t>
      </w:r>
      <w:r>
        <w:t>) indica gargalo de processo, não 12 problemas independentes. Ataque o gargalo.</w:t>
      </w:r>
    </w:p>
    <w:p>
      <w:pPr>
        <w:pStyle w:val="ListBullet"/>
      </w:pPr>
      <w:r>
        <w:t>Concentração de budget numa única BU sem contrapartida de benefício é aposta, e a liderança precisa saber que está apostando.</w:t>
      </w:r>
    </w:p>
    <w:p>
      <w:pPr>
        <w:pStyle w:val="IntenseQuote"/>
      </w:pPr>
      <w:r>
        <w:rPr>
          <w:b/>
        </w:rPr>
        <w:t>Fraco:</w:t>
      </w:r>
      <w:r>
        <w:t xml:space="preserve"> "Amanda tem 7 projetos."</w:t>
      </w:r>
    </w:p>
    <w:p>
      <w:pPr>
        <w:pStyle w:val="IntenseQuote"/>
      </w:pPr>
      <w:r>
        <w:rPr>
          <w:b/>
        </w:rPr>
        <w:t>Forte:</w:t>
      </w:r>
      <w:r>
        <w:t xml:space="preserve"> "7 Big Rocks ativos sob o mesmo owner, somando €14 Mi. Qualquer indisponibilidade dela para o portfólio inteiro — o risco é de alocação, não de desempenho."</w:t>
      </w:r>
    </w:p>
    <w:p>
      <w:pPr>
        <w:pStyle w:val="Heading3"/>
      </w:pPr>
      <w:r>
        <w:t>Lente 4 — Assimetria</w:t>
      </w:r>
    </w:p>
    <w:p>
      <w:r>
        <w:rPr>
          <w:b/>
        </w:rPr>
        <w:t>A pergunta:</w:t>
      </w:r>
      <w:r>
        <w:t xml:space="preserve"> onde pouco esforço destrava muito valor, e onde muito esforço rende pouco?</w:t>
      </w:r>
    </w:p>
    <w:p>
      <w:r>
        <w:t>É aqui que a recomendação ganha o direito de existir. As três primeiras lentes descrevem; esta decide.</w:t>
      </w:r>
    </w:p>
    <w:p>
      <w:r>
        <w:t>Como aplicar:</w:t>
      </w:r>
    </w:p>
    <w:p>
      <w:pPr>
        <w:pStyle w:val="ListBullet"/>
      </w:pPr>
      <w:r>
        <w:t>Procure o projeto de alto benefício travado por um bloqueio barato — uma aprovação, um campo, uma reunião. Esse é o primeiro item de qualquer relatório.</w:t>
      </w:r>
    </w:p>
    <w:p>
      <w:pPr>
        <w:pStyle w:val="ListBullet"/>
      </w:pPr>
      <w:r>
        <w:t>Procure o inverso: consumo alto de esforço e budget com retorno declarado baixo. Candidato a matar ou repriorizar — e diga isso com essas palavras.</w:t>
      </w:r>
    </w:p>
    <w:p>
      <w:pPr>
        <w:pStyle w:val="ListBullet"/>
      </w:pPr>
      <w:r>
        <w:t xml:space="preserve">Toda recomendação sai em uma de quatro formas: </w:t>
      </w:r>
      <w:r>
        <w:rPr>
          <w:b/>
        </w:rPr>
        <w:t>acelerar · segurar · matar · exigir dado</w:t>
      </w:r>
      <w:r>
        <w:t>. Sempre com responsável e prazo.</w:t>
      </w:r>
    </w:p>
    <w:p>
      <w:pPr>
        <w:pStyle w:val="IntenseQuote"/>
      </w:pPr>
      <w:r>
        <w:rPr>
          <w:b/>
        </w:rPr>
        <w:t>Fraco:</w:t>
      </w:r>
      <w:r>
        <w:t xml:space="preserve"> "Recomendo acompanhar de perto."</w:t>
      </w:r>
    </w:p>
    <w:p>
      <w:pPr>
        <w:pStyle w:val="IntenseQuote"/>
      </w:pPr>
      <w:r>
        <w:rPr>
          <w:b/>
        </w:rPr>
        <w:t>Forte:</w:t>
      </w:r>
      <w:r>
        <w:t xml:space="preserve"> "Destravar a aprovação de custo deste (€3,2 Mi de benefício, parado por 1 assinatura) rende mais que os outros 5 juntos. Decisão: acelerar — Amanda, até 25/08."</w:t>
      </w:r>
    </w:p>
    <w:p>
      <w:pPr>
        <w:pStyle w:val="Heading3"/>
      </w:pPr>
      <w:r>
        <w:t xml:space="preserve">O papel do </w:t>
      </w:r>
      <w:r>
        <w:rPr>
          <w:rFonts w:ascii="Consolas" w:hAnsi="Consolas"/>
          <w:color w:val="B03060"/>
          <w:sz w:val="19"/>
        </w:rPr>
        <w:t>[FinalScore]</w:t>
      </w:r>
      <w:r>
        <w:t xml:space="preserve"> e do </w:t>
      </w:r>
      <w:r>
        <w:rPr>
          <w:rFonts w:ascii="Consolas" w:hAnsi="Consolas"/>
          <w:color w:val="B03060"/>
          <w:sz w:val="19"/>
        </w:rPr>
        <w:t>[Potencial]</w:t>
      </w:r>
    </w:p>
    <w:p>
      <w:r>
        <w:t xml:space="preserve">O dataset calcula </w:t>
      </w:r>
      <w:r>
        <w:rPr>
          <w:rFonts w:ascii="Consolas" w:hAnsi="Consolas"/>
          <w:color w:val="B03060"/>
          <w:sz w:val="19"/>
        </w:rPr>
        <w:t>[FinalScore]</w:t>
      </w:r>
      <w:r>
        <w:t xml:space="preserve"> a partir de 4 pilares — </w:t>
      </w:r>
      <w:r>
        <w:rPr>
          <w:rFonts w:ascii="Consolas" w:hAnsi="Consolas"/>
          <w:color w:val="B03060"/>
          <w:sz w:val="19"/>
        </w:rPr>
        <w:t>[Payback in Months]</w:t>
      </w:r>
      <w:r>
        <w:t xml:space="preserve">, </w:t>
      </w:r>
      <w:r>
        <w:rPr>
          <w:rFonts w:ascii="Consolas" w:hAnsi="Consolas"/>
          <w:color w:val="B03060"/>
          <w:sz w:val="19"/>
        </w:rPr>
        <w:t>[Implemention Time in Months]</w:t>
      </w:r>
      <w:r>
        <w:t xml:space="preserve">, </w:t>
      </w:r>
      <w:r>
        <w:rPr>
          <w:rFonts w:ascii="Consolas" w:hAnsi="Consolas"/>
          <w:color w:val="B03060"/>
          <w:sz w:val="19"/>
        </w:rPr>
        <w:t>[Project Total Budget]</w:t>
      </w:r>
      <w:r>
        <w:t xml:space="preserve">, </w:t>
      </w:r>
      <w:r>
        <w:rPr>
          <w:rFonts w:ascii="Consolas" w:hAnsi="Consolas"/>
          <w:color w:val="B03060"/>
          <w:sz w:val="19"/>
        </w:rPr>
        <w:t>[Benefit Value]</w:t>
      </w:r>
      <w:r>
        <w:t xml:space="preserve"> — e </w:t>
      </w:r>
      <w:r>
        <w:rPr>
          <w:rFonts w:ascii="Consolas" w:hAnsi="Consolas"/>
          <w:color w:val="B03060"/>
          <w:sz w:val="19"/>
        </w:rPr>
        <w:t>[Potencial]</w:t>
      </w:r>
      <w:r>
        <w:t xml:space="preserve"> traduz em cor: Green = alto, Yellow = médio, Red = baixo.</w:t>
      </w:r>
    </w:p>
    <w:p>
      <w:r>
        <w:rPr>
          <w:b/>
        </w:rPr>
        <w:t>Como usar:</w:t>
      </w:r>
      <w:r>
        <w:t xml:space="preserve"> para triagem. Ordenam o que olhar primeiro quando o recorte é grande.</w:t>
      </w:r>
    </w:p>
    <w:p>
      <w:r>
        <w:rPr>
          <w:b/>
        </w:rPr>
        <w:t>Como não usar:</w:t>
      </w:r>
      <w:r>
        <w:t xml:space="preserve"> como conclusão. Não apresente o score, seus pilares nem sua cor no relatório. "Score 86 = Green = High Potential" não é uma análise — é a leitura de um número em voz alta.</w:t>
      </w:r>
    </w:p>
    <w:p>
      <w:r>
        <w:rPr>
          <w:b/>
        </w:rPr>
        <w:t>`Incomplete` / `Need Info`:</w:t>
      </w:r>
      <w:r>
        <w:t xml:space="preserve"> acontece quando qualquer um dos 4 pilares está vazio, e o cálculo simplesmente não roda. </w:t>
      </w:r>
      <w:r>
        <w:rPr>
          <w:b/>
        </w:rPr>
        <w:t>Isso é um sinal de cobrança, não um veredito.</w:t>
      </w:r>
      <w:r>
        <w:t xml:space="preserve"> Significa "o gestor deve dado", nunca "o projeto é ruim". Um projeto </w:t>
      </w:r>
      <w:r>
        <w:rPr>
          <w:rFonts w:ascii="Consolas" w:hAnsi="Consolas"/>
          <w:color w:val="B03060"/>
          <w:sz w:val="19"/>
        </w:rPr>
        <w:t>Incomplete</w:t>
      </w:r>
      <w:r>
        <w:t xml:space="preserve"> pode ser a melhor iniciativa do portfólio — ninguém sabe, e é exatamente esse o problema a reportar.</w:t>
      </w:r>
    </w:p>
    <w:p>
      <w:r>
        <w:t xml:space="preserve">A matemática do score só aparece se o usuário perguntar explicitamente </w:t>
      </w:r>
      <w:r>
        <w:rPr>
          <w:b/>
        </w:rPr>
        <w:t>como o score é calculado</w:t>
      </w:r>
      <w:r>
        <w:t>.</w:t>
      </w:r>
    </w:p>
    <w:p>
      <w:pPr>
        <w:pStyle w:val="Heading2"/>
      </w:pPr>
      <w:r>
        <w:t>2. As 13 fases — o que cada uma significa e o que se cobra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  <w:sz w:val="19"/>
              </w:rPr>
              <w:t>[N State]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  <w:sz w:val="19"/>
              </w:rPr>
              <w:t>[State]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Grupo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 que significa de verdade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 que se cobra aqui</w:t>
            </w:r>
          </w:p>
        </w:tc>
      </w:tr>
      <w:tr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00 Cancelled</w:t>
            </w:r>
          </w:p>
        </w:tc>
        <w:tc>
          <w:tcPr>
            <w:tcW w:type="dxa" w:w="1728"/>
          </w:tcPr>
          <w:p>
            <w:r/>
            <w:r>
              <w:t>Encerrado</w:t>
            </w:r>
          </w:p>
        </w:tc>
        <w:tc>
          <w:tcPr>
            <w:tcW w:type="dxa" w:w="1728"/>
          </w:tcPr>
          <w:p>
            <w:r/>
            <w:r>
              <w:t>Descartado antes de entregar</w:t>
            </w:r>
          </w:p>
        </w:tc>
        <w:tc>
          <w:tcPr>
            <w:tcW w:type="dxa" w:w="1728"/>
          </w:tcPr>
          <w:p>
            <w:r/>
            <w:r>
              <w:t>Nada. Só aparece se perguntarem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01 Idea</w:t>
            </w:r>
          </w:p>
        </w:tc>
        <w:tc>
          <w:tcPr>
            <w:tcW w:type="dxa" w:w="1728"/>
          </w:tcPr>
          <w:p>
            <w:r/>
            <w:r>
              <w:t>Escopo</w:t>
            </w:r>
          </w:p>
        </w:tc>
        <w:tc>
          <w:tcPr>
            <w:tcW w:type="dxa" w:w="1728"/>
          </w:tcPr>
          <w:p>
            <w:r/>
            <w:r>
              <w:t>Intenção registrada, sem compromisso</w:t>
            </w:r>
          </w:p>
        </w:tc>
        <w:tc>
          <w:tcPr>
            <w:tcW w:type="dxa" w:w="1728"/>
          </w:tcPr>
          <w:p>
            <w:r/>
            <w:r>
              <w:t>Identificação básica e dono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02 Scoping</w:t>
            </w:r>
          </w:p>
        </w:tc>
        <w:tc>
          <w:tcPr>
            <w:tcW w:type="dxa" w:w="1728"/>
          </w:tcPr>
          <w:p>
            <w:r/>
            <w:r>
              <w:t>Escopo</w:t>
            </w:r>
          </w:p>
        </w:tc>
        <w:tc>
          <w:tcPr>
            <w:tcW w:type="dxa" w:w="1728"/>
          </w:tcPr>
          <w:p>
            <w:r/>
            <w:r>
              <w:t>Definindo o que é o projeto</w:t>
            </w:r>
          </w:p>
        </w:tc>
        <w:tc>
          <w:tcPr>
            <w:tcW w:type="dxa" w:w="1728"/>
          </w:tcPr>
          <w:p>
            <w:r/>
            <w:r>
              <w:t>Descrição real, domínio, engajamento de BU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03 Scope Approv</w:t>
            </w:r>
          </w:p>
        </w:tc>
        <w:tc>
          <w:tcPr>
            <w:tcW w:type="dxa" w:w="1728"/>
          </w:tcPr>
          <w:p>
            <w:r/>
            <w:r>
              <w:t>Escopo</w:t>
            </w:r>
          </w:p>
        </w:tc>
        <w:tc>
          <w:tcPr>
            <w:tcW w:type="dxa" w:w="1728"/>
          </w:tcPr>
          <w:p>
            <w:r/>
            <w:r>
              <w:t>Escopo em aprovação</w:t>
            </w:r>
          </w:p>
        </w:tc>
        <w:tc>
          <w:tcPr>
            <w:tcW w:type="dxa" w:w="1728"/>
          </w:tcPr>
          <w:p>
            <w:r/>
            <w:r>
              <w:t>Escopo fechado e aprovador claro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04 Costing</w:t>
            </w:r>
          </w:p>
        </w:tc>
        <w:tc>
          <w:tcPr>
            <w:tcW w:type="dxa" w:w="1728"/>
          </w:tcPr>
          <w:p>
            <w:r/>
            <w:r>
              <w:t>Escopo</w:t>
            </w:r>
          </w:p>
        </w:tc>
        <w:tc>
          <w:tcPr>
            <w:tcW w:type="dxa" w:w="1728"/>
          </w:tcPr>
          <w:p>
            <w:r/>
            <w:r>
              <w:t>Levantando custo e retorno</w:t>
            </w:r>
          </w:p>
        </w:tc>
        <w:tc>
          <w:tcPr>
            <w:tcW w:type="dxa" w:w="1728"/>
          </w:tcPr>
          <w:p>
            <w:r/>
            <w:r>
              <w:t>Números em construção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05 Cost Approv</w:t>
            </w:r>
          </w:p>
        </w:tc>
        <w:tc>
          <w:tcPr>
            <w:tcW w:type="dxa" w:w="1728"/>
          </w:tcPr>
          <w:p>
            <w:r/>
            <w:r>
              <w:t>Escopo</w:t>
            </w:r>
          </w:p>
        </w:tc>
        <w:tc>
          <w:tcPr>
            <w:tcW w:type="dxa" w:w="1728"/>
          </w:tcPr>
          <w:p>
            <w:r/>
            <w:r>
              <w:t xml:space="preserve">Custo em aprovação — </w:t>
            </w:r>
            <w:r>
              <w:rPr>
                <w:b/>
              </w:rPr>
              <w:t>o portão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Budget e Benefit Value.</w:t>
            </w:r>
            <w:r>
              <w:t xml:space="preserve"> Chegar aqui sem eles é crítico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06 Plan Analyze</w:t>
            </w:r>
          </w:p>
        </w:tc>
        <w:tc>
          <w:tcPr>
            <w:tcW w:type="dxa" w:w="1728"/>
          </w:tcPr>
          <w:p>
            <w:r/>
            <w:r>
              <w:t>Construção</w:t>
            </w:r>
          </w:p>
        </w:tc>
        <w:tc>
          <w:tcPr>
            <w:tcW w:type="dxa" w:w="1728"/>
          </w:tcPr>
          <w:p>
            <w:r/>
            <w:r>
              <w:t>Aprovado, planejando execução</w:t>
            </w:r>
          </w:p>
        </w:tc>
        <w:tc>
          <w:tcPr>
            <w:tcW w:type="dxa" w:w="1728"/>
          </w:tcPr>
          <w:p>
            <w:r/>
            <w:r>
              <w:t>Budget, Payback, GoLive e PGLS End obrigatórios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07 Design Build</w:t>
            </w:r>
          </w:p>
        </w:tc>
        <w:tc>
          <w:tcPr>
            <w:tcW w:type="dxa" w:w="1728"/>
          </w:tcPr>
          <w:p>
            <w:r/>
            <w:r>
              <w:t>Construção</w:t>
            </w:r>
          </w:p>
        </w:tc>
        <w:tc>
          <w:tcPr>
            <w:tcW w:type="dxa" w:w="1728"/>
          </w:tcPr>
          <w:p>
            <w:r/>
            <w:r>
              <w:t>Construindo</w:t>
            </w:r>
          </w:p>
        </w:tc>
        <w:tc>
          <w:tcPr>
            <w:tcW w:type="dxa" w:w="1728"/>
          </w:tcPr>
          <w:p>
            <w:r/>
            <w:r>
              <w:t>Datas mantidas atualizadas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08 UAT</w:t>
            </w:r>
          </w:p>
        </w:tc>
        <w:tc>
          <w:tcPr>
            <w:tcW w:type="dxa" w:w="1728"/>
          </w:tcPr>
          <w:p>
            <w:r/>
            <w:r>
              <w:t>Construção</w:t>
            </w:r>
          </w:p>
        </w:tc>
        <w:tc>
          <w:tcPr>
            <w:tcW w:type="dxa" w:w="1728"/>
          </w:tcPr>
          <w:p>
            <w:r/>
            <w:r>
              <w:t>Homologação com o negócio</w:t>
            </w:r>
          </w:p>
        </w:tc>
        <w:tc>
          <w:tcPr>
            <w:tcW w:type="dxa" w:w="1728"/>
          </w:tcPr>
          <w:p>
            <w:r/>
            <w:r>
              <w:t>Prazo curto: &gt;30 dias é alerta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09 PGLS</w:t>
            </w:r>
          </w:p>
        </w:tc>
        <w:tc>
          <w:tcPr>
            <w:tcW w:type="dxa" w:w="1728"/>
          </w:tcPr>
          <w:p>
            <w:r/>
            <w:r>
              <w:t>Construção</w:t>
            </w:r>
          </w:p>
        </w:tc>
        <w:tc>
          <w:tcPr>
            <w:tcW w:type="dxa" w:w="1728"/>
          </w:tcPr>
          <w:p>
            <w:r/>
            <w:r>
              <w:t>Suporte pós-go-live</w:t>
            </w:r>
          </w:p>
        </w:tc>
        <w:tc>
          <w:tcPr>
            <w:tcW w:type="dxa" w:w="1728"/>
          </w:tcPr>
          <w:p>
            <w:r/>
            <w:r>
              <w:t>Data de fim de PGLS respeitada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10 Deployed</w:t>
            </w:r>
          </w:p>
        </w:tc>
        <w:tc>
          <w:tcPr>
            <w:tcW w:type="dxa" w:w="1728"/>
          </w:tcPr>
          <w:p>
            <w:r/>
            <w:r>
              <w:t>✅ Sucesso</w:t>
            </w:r>
          </w:p>
        </w:tc>
        <w:tc>
          <w:tcPr>
            <w:tcW w:type="dxa" w:w="1728"/>
          </w:tcPr>
          <w:p>
            <w:r/>
            <w:r>
              <w:t>Entregue, em hypercare do CDIO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Nada. É vitória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11 Closed</w:t>
            </w:r>
          </w:p>
        </w:tc>
        <w:tc>
          <w:tcPr>
            <w:tcW w:type="dxa" w:w="1728"/>
          </w:tcPr>
          <w:p>
            <w:r/>
            <w:r>
              <w:t>✅ Sucesso</w:t>
            </w:r>
          </w:p>
        </w:tc>
        <w:tc>
          <w:tcPr>
            <w:tcW w:type="dxa" w:w="1728"/>
          </w:tcPr>
          <w:p>
            <w:r/>
            <w:r>
              <w:t>Transferido ao negócio, fora do radar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Nada. É vitória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12 On Holding</w:t>
            </w:r>
          </w:p>
        </w:tc>
        <w:tc>
          <w:tcPr>
            <w:tcW w:type="dxa" w:w="1728"/>
          </w:tcPr>
          <w:p>
            <w:r/>
            <w:r>
              <w:t>Parado</w:t>
            </w:r>
          </w:p>
        </w:tc>
        <w:tc>
          <w:tcPr>
            <w:tcW w:type="dxa" w:w="1728"/>
          </w:tcPr>
          <w:p>
            <w:r/>
            <w:r>
              <w:t>Pausado</w:t>
            </w:r>
          </w:p>
        </w:tc>
        <w:tc>
          <w:tcPr>
            <w:tcW w:type="dxa" w:w="1728"/>
          </w:tcPr>
          <w:p>
            <w:r/>
            <w:r>
              <w:t>Justificativa registrada</w:t>
            </w:r>
          </w:p>
        </w:tc>
      </w:tr>
    </w:tbl>
    <w:p/>
    <w:p>
      <w:pPr>
        <w:pStyle w:val="Heading3"/>
      </w:pPr>
      <w:r>
        <w:t>A diferença entre 10 e 11 — e por que ela importa</w:t>
      </w:r>
    </w:p>
    <w:p>
      <w:pPr>
        <w:pStyle w:val="ListBullet"/>
      </w:pPr>
      <w:r>
        <w:rPr>
          <w:b/>
        </w:rPr>
        <w:t>`10 Deployed`</w:t>
      </w:r>
      <w:r>
        <w:t xml:space="preserve"> — sucesso técnico. Entregue e sob cuidado do CDIO para hypercare, adoção e ajuste antes do hand-off.</w:t>
      </w:r>
    </w:p>
    <w:p>
      <w:pPr>
        <w:pStyle w:val="ListBullet"/>
      </w:pPr>
      <w:r>
        <w:rPr>
          <w:b/>
        </w:rPr>
        <w:t>`11 Closed`</w:t>
      </w:r>
      <w:r>
        <w:t xml:space="preserve"> — marco final. Transferido oficialmente para Produto/Negócio, concluído e fora do radar do CDIO.</w:t>
      </w:r>
    </w:p>
    <w:p>
      <w:r>
        <w:rPr>
          <w:b/>
        </w:rPr>
        <w:t>Nenhum dos dois é sinalizado por campo faltante, jamais.</w:t>
      </w:r>
      <w:r>
        <w:t xml:space="preserve"> Auditar governança de projeto entregue é ruído: o trabalho acabou. Reporte-os como vitória e siga.</w:t>
      </w:r>
    </w:p>
    <w:p>
      <w:pPr>
        <w:pStyle w:val="Heading3"/>
      </w:pPr>
      <w:r>
        <w:t xml:space="preserve">O portão dos números é </w:t>
      </w:r>
      <w:r>
        <w:rPr>
          <w:rFonts w:ascii="Consolas" w:hAnsi="Consolas"/>
          <w:color w:val="B03060"/>
          <w:sz w:val="19"/>
        </w:rPr>
        <w:t>05 Cost Approv</w:t>
      </w:r>
    </w:p>
    <w:p>
      <w:r>
        <w:t>Antes dele, número ausente é normal — o projeto ainda está sendo dimensionado. A partir dele, número ausente é falha de governança. Essa é a fronteira que separa "dado em construção" de "dado devido", e é a razão de tantas regras de risco apontarem para essa fase.</w:t>
      </w:r>
    </w:p>
    <w:p>
      <w:pPr>
        <w:pStyle w:val="Heading2"/>
      </w:pPr>
      <w:r>
        <w:t>3. Dicionário de campos — o que cada um significa para o negócio</w:t>
      </w:r>
    </w:p>
    <w:p>
      <w:r>
        <w:t xml:space="preserve">Chave do </w:t>
      </w:r>
      <w:r>
        <w:rPr>
          <w:rFonts w:ascii="Consolas" w:hAnsi="Consolas"/>
          <w:color w:val="B03060"/>
          <w:sz w:val="19"/>
        </w:rPr>
        <w:t>userEnteredFields</w:t>
      </w:r>
      <w:r>
        <w:t xml:space="preserve"> é sempre o </w:t>
      </w:r>
      <w:r>
        <w:rPr>
          <w:b/>
        </w:rPr>
        <w:t>reference name completo</w:t>
      </w:r>
      <w:r>
        <w:t xml:space="preserve"> (</w:t>
      </w:r>
      <w:r>
        <w:rPr>
          <w:rFonts w:ascii="Consolas" w:hAnsi="Consolas"/>
          <w:color w:val="B03060"/>
          <w:sz w:val="19"/>
        </w:rPr>
        <w:t>Custom.Note</w:t>
      </w:r>
      <w:r>
        <w:t>), nunca o nome amigável (</w:t>
      </w:r>
      <w:r>
        <w:rPr>
          <w:rFonts w:ascii="Consolas" w:hAnsi="Consolas"/>
          <w:color w:val="B03060"/>
          <w:sz w:val="19"/>
        </w:rPr>
        <w:t>Note</w:t>
      </w:r>
      <w:r>
        <w:t>).</w:t>
      </w:r>
    </w:p>
    <w:p>
      <w:pPr>
        <w:pStyle w:val="Heading3"/>
      </w:pPr>
      <w:r>
        <w:t>Governança — obrigatórios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Reference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Nome amigável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 que representa para o negócio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Custom.BGorBUEngagement</w:t>
            </w:r>
          </w:p>
        </w:tc>
        <w:tc>
          <w:tcPr>
            <w:tcW w:type="dxa" w:w="2880"/>
          </w:tcPr>
          <w:p>
            <w:r/>
            <w:r>
              <w:t>BG or BU Engagement</w:t>
            </w:r>
          </w:p>
        </w:tc>
        <w:tc>
          <w:tcPr>
            <w:tcW w:type="dxa" w:w="2880"/>
          </w:tcPr>
          <w:p>
            <w:r/>
            <w:r>
              <w:t xml:space="preserve">Quem no negócio patrocina. </w:t>
            </w:r>
            <w:r>
              <w:rPr>
                <w:rFonts w:ascii="Consolas" w:hAnsi="Consolas"/>
                <w:color w:val="B03060"/>
                <w:sz w:val="19"/>
              </w:rPr>
              <w:t>Cross</w:t>
            </w:r>
            <w:r>
              <w:t xml:space="preserve"> significa mais de uma BU — e obriga o </w:t>
            </w:r>
            <w:r>
              <w:rPr>
                <w:rFonts w:ascii="Consolas" w:hAnsi="Consolas"/>
                <w:color w:val="B03060"/>
                <w:sz w:val="19"/>
              </w:rPr>
              <w:t>Specify Cross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Custom.BusinessBenefit</w:t>
            </w:r>
          </w:p>
        </w:tc>
        <w:tc>
          <w:tcPr>
            <w:tcW w:type="dxa" w:w="2880"/>
          </w:tcPr>
          <w:p>
            <w:r/>
            <w:r>
              <w:t>Business Benefit</w:t>
            </w:r>
          </w:p>
        </w:tc>
        <w:tc>
          <w:tcPr>
            <w:tcW w:type="dxa" w:w="2880"/>
          </w:tcPr>
          <w:p>
            <w:r/>
            <w:r>
              <w:t xml:space="preserve">Natureza do retorno: </w:t>
            </w:r>
            <w:r>
              <w:rPr>
                <w:rFonts w:ascii="Consolas" w:hAnsi="Consolas"/>
                <w:color w:val="B03060"/>
                <w:sz w:val="19"/>
              </w:rPr>
              <w:t>Value Added</w:t>
            </w:r>
            <w:r>
              <w:t xml:space="preserve"> (gera valor) ou </w:t>
            </w:r>
            <w:r>
              <w:rPr>
                <w:rFonts w:ascii="Consolas" w:hAnsi="Consolas"/>
                <w:color w:val="B03060"/>
                <w:sz w:val="19"/>
              </w:rPr>
              <w:t>Compliance</w:t>
            </w:r>
            <w:r>
              <w:t xml:space="preserve"> (obrigação). Muda o que se cobra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Custom.BusinessProductsDomain</w:t>
            </w:r>
          </w:p>
        </w:tc>
        <w:tc>
          <w:tcPr>
            <w:tcW w:type="dxa" w:w="2880"/>
          </w:tcPr>
          <w:p>
            <w:r/>
            <w:r>
              <w:t>Business Products Domain</w:t>
            </w:r>
          </w:p>
        </w:tc>
        <w:tc>
          <w:tcPr>
            <w:tcW w:type="dxa" w:w="2880"/>
          </w:tcPr>
          <w:p>
            <w:r/>
            <w:r>
              <w:t>Domínio de produto afetado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Custom.ITArea</w:t>
            </w:r>
          </w:p>
        </w:tc>
        <w:tc>
          <w:tcPr>
            <w:tcW w:type="dxa" w:w="2880"/>
          </w:tcPr>
          <w:p>
            <w:r/>
            <w:r>
              <w:t>IT Area</w:t>
            </w:r>
          </w:p>
        </w:tc>
        <w:tc>
          <w:tcPr>
            <w:tcW w:type="dxa" w:w="2880"/>
          </w:tcPr>
          <w:p>
            <w:r/>
            <w:r>
              <w:t>Área dona da entrega: Consumer, Make, CD, Focus Market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Custom.ProjectITManager</w:t>
            </w:r>
          </w:p>
        </w:tc>
        <w:tc>
          <w:tcPr>
            <w:tcW w:type="dxa" w:w="2880"/>
          </w:tcPr>
          <w:p>
            <w:r/>
            <w:r>
              <w:t>Project IT Manager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Quem responde pelo projeto.</w:t>
            </w:r>
            <w:r>
              <w:t xml:space="preserve"> É este o contato de cobrança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Custom.ProjectType</w:t>
            </w:r>
          </w:p>
        </w:tc>
        <w:tc>
          <w:tcPr>
            <w:tcW w:type="dxa" w:w="2880"/>
          </w:tcPr>
          <w:p>
            <w:r/>
            <w:r>
              <w:t>Project Type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Big Rock</w:t>
            </w:r>
            <w:r>
              <w:t xml:space="preserve"> = iniciativa estratégica. Recorte padrão das análises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Custom.CountryDeployed</w:t>
            </w:r>
          </w:p>
        </w:tc>
        <w:tc>
          <w:tcPr>
            <w:tcW w:type="dxa" w:w="2880"/>
          </w:tcPr>
          <w:p>
            <w:r/>
            <w:r>
              <w:t>Country Deployed</w:t>
            </w:r>
          </w:p>
        </w:tc>
        <w:tc>
          <w:tcPr>
            <w:tcW w:type="dxa" w:w="2880"/>
          </w:tcPr>
          <w:p>
            <w:r/>
            <w:r>
              <w:t>Países de implantação — define alcance do impacto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Custom.PortfolioYear</w:t>
            </w:r>
          </w:p>
        </w:tc>
        <w:tc>
          <w:tcPr>
            <w:tcW w:type="dxa" w:w="2880"/>
          </w:tcPr>
          <w:p>
            <w:r/>
            <w:r>
              <w:t>Portfolio Year</w:t>
            </w:r>
          </w:p>
        </w:tc>
        <w:tc>
          <w:tcPr>
            <w:tcW w:type="dxa" w:w="2880"/>
          </w:tcPr>
          <w:p>
            <w:r/>
            <w:r>
              <w:t>Ano do ciclo de portfólio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Custom.ImplementionTimeinMonths</w:t>
            </w:r>
          </w:p>
        </w:tc>
        <w:tc>
          <w:tcPr>
            <w:tcW w:type="dxa" w:w="2880"/>
          </w:tcPr>
          <w:p>
            <w:r/>
            <w:r>
              <w:t>Implemention Time in Months</w:t>
            </w:r>
          </w:p>
        </w:tc>
        <w:tc>
          <w:tcPr>
            <w:tcW w:type="dxa" w:w="2880"/>
          </w:tcPr>
          <w:p>
            <w:r/>
            <w:r>
              <w:t>Duração da construção. Pilar do score</w:t>
            </w:r>
          </w:p>
        </w:tc>
      </w:tr>
    </w:tbl>
    <w:p/>
    <w:p>
      <w:pPr>
        <w:pStyle w:val="Heading3"/>
      </w:pPr>
      <w:r>
        <w:t>Condicionais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Reference 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Nome amigável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Obrigatório quando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Leitura de negócio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Custom.SpecifyCross</w:t>
            </w:r>
          </w:p>
        </w:tc>
        <w:tc>
          <w:tcPr>
            <w:tcW w:type="dxa" w:w="2160"/>
          </w:tcPr>
          <w:p>
            <w:r/>
            <w:r>
              <w:t>Specify Cross</w:t>
            </w:r>
          </w:p>
        </w:tc>
        <w:tc>
          <w:tcPr>
            <w:tcW w:type="dxa" w:w="2160"/>
          </w:tcPr>
          <w:p>
            <w:r/>
            <w:r>
              <w:t xml:space="preserve">Engagement = </w:t>
            </w:r>
            <w:r>
              <w:rPr>
                <w:rFonts w:ascii="Consolas" w:hAnsi="Consolas"/>
                <w:color w:val="B03060"/>
                <w:sz w:val="19"/>
              </w:rPr>
              <w:t>Cross</w:t>
            </w:r>
          </w:p>
        </w:tc>
        <w:tc>
          <w:tcPr>
            <w:tcW w:type="dxa" w:w="2160"/>
          </w:tcPr>
          <w:p>
            <w:r/>
            <w:r>
              <w:t>Quais BUs de fato. Sem ele, projeto Cross é invisível em recorte por BU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Custom.ProjectTotalBudget</w:t>
            </w:r>
          </w:p>
        </w:tc>
        <w:tc>
          <w:tcPr>
            <w:tcW w:type="dxa" w:w="2160"/>
          </w:tcPr>
          <w:p>
            <w:r/>
            <w:r>
              <w:t>Project Total Budget</w:t>
            </w:r>
          </w:p>
        </w:tc>
        <w:tc>
          <w:tcPr>
            <w:tcW w:type="dxa" w:w="2160"/>
          </w:tcPr>
          <w:p>
            <w:r/>
            <w:r>
              <w:t xml:space="preserve">a partir de </w:t>
            </w:r>
            <w:r>
              <w:rPr>
                <w:rFonts w:ascii="Consolas" w:hAnsi="Consolas"/>
                <w:color w:val="B03060"/>
                <w:sz w:val="19"/>
              </w:rPr>
              <w:t>06 Plan Analyze</w:t>
            </w:r>
          </w:p>
        </w:tc>
        <w:tc>
          <w:tcPr>
            <w:tcW w:type="dxa" w:w="2160"/>
          </w:tcPr>
          <w:p>
            <w:r/>
            <w:r>
              <w:t>Capital comprometido. Pilar do score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Custom.ProjectITBudget</w:t>
            </w:r>
          </w:p>
        </w:tc>
        <w:tc>
          <w:tcPr>
            <w:tcW w:type="dxa" w:w="2160"/>
          </w:tcPr>
          <w:p>
            <w:r/>
            <w:r>
              <w:t>Project IT Budget</w:t>
            </w:r>
          </w:p>
        </w:tc>
        <w:tc>
          <w:tcPr>
            <w:tcW w:type="dxa" w:w="2160"/>
          </w:tcPr>
          <w:p>
            <w:r/>
            <w:r>
              <w:t xml:space="preserve">a partir de </w:t>
            </w:r>
            <w:r>
              <w:rPr>
                <w:rFonts w:ascii="Consolas" w:hAnsi="Consolas"/>
                <w:color w:val="B03060"/>
                <w:sz w:val="19"/>
              </w:rPr>
              <w:t>06 Plan Analyze</w:t>
            </w:r>
          </w:p>
        </w:tc>
        <w:tc>
          <w:tcPr>
            <w:tcW w:type="dxa" w:w="2160"/>
          </w:tcPr>
          <w:p>
            <w:r/>
            <w:r>
              <w:t>Parcela de TI dentro do 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Custom.ProjectBenefitValue</w:t>
            </w:r>
          </w:p>
        </w:tc>
        <w:tc>
          <w:tcPr>
            <w:tcW w:type="dxa" w:w="2160"/>
          </w:tcPr>
          <w:p>
            <w:r/>
            <w:r>
              <w:t>Project Benefit Value</w:t>
            </w:r>
          </w:p>
        </w:tc>
        <w:tc>
          <w:tcPr>
            <w:tcW w:type="dxa" w:w="2160"/>
          </w:tcPr>
          <w:p>
            <w:r/>
            <w:r>
              <w:t xml:space="preserve">a partir de </w:t>
            </w:r>
            <w:r>
              <w:rPr>
                <w:rFonts w:ascii="Consolas" w:hAnsi="Consolas"/>
                <w:color w:val="B03060"/>
                <w:sz w:val="19"/>
              </w:rPr>
              <w:t>05 Cost Approv</w:t>
            </w:r>
            <w:r>
              <w:t xml:space="preserve">; opcional se Business Benefit ≠ </w:t>
            </w:r>
            <w:r>
              <w:rPr>
                <w:rFonts w:ascii="Consolas" w:hAnsi="Consolas"/>
                <w:color w:val="B03060"/>
                <w:sz w:val="19"/>
              </w:rPr>
              <w:t>Value Added</w:t>
            </w:r>
          </w:p>
        </w:tc>
        <w:tc>
          <w:tcPr>
            <w:tcW w:type="dxa" w:w="2160"/>
          </w:tcPr>
          <w:p>
            <w:r/>
            <w:r>
              <w:t>Retorno esperado. Pilar do score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Custom.PaybackinMonths</w:t>
            </w:r>
          </w:p>
        </w:tc>
        <w:tc>
          <w:tcPr>
            <w:tcW w:type="dxa" w:w="2160"/>
          </w:tcPr>
          <w:p>
            <w:r/>
            <w:r>
              <w:t>Payback in Months</w:t>
            </w:r>
          </w:p>
        </w:tc>
        <w:tc>
          <w:tcPr>
            <w:tcW w:type="dxa" w:w="2160"/>
          </w:tcPr>
          <w:p>
            <w:r/>
            <w:r>
              <w:t xml:space="preserve">a partir de </w:t>
            </w:r>
            <w:r>
              <w:rPr>
                <w:rFonts w:ascii="Consolas" w:hAnsi="Consolas"/>
                <w:color w:val="B03060"/>
                <w:sz w:val="19"/>
              </w:rPr>
              <w:t>06 Plan Analyze</w:t>
            </w:r>
          </w:p>
        </w:tc>
        <w:tc>
          <w:tcPr>
            <w:tcW w:type="dxa" w:w="2160"/>
          </w:tcPr>
          <w:p>
            <w:r/>
            <w:r>
              <w:t>Meses até recuperar o investimento. Pilar do score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Custom.GoLiveDate</w:t>
            </w:r>
          </w:p>
        </w:tc>
        <w:tc>
          <w:tcPr>
            <w:tcW w:type="dxa" w:w="2160"/>
          </w:tcPr>
          <w:p>
            <w:r/>
            <w:r>
              <w:t>GoLive Date</w:t>
            </w:r>
          </w:p>
        </w:tc>
        <w:tc>
          <w:tcPr>
            <w:tcW w:type="dxa" w:w="2160"/>
          </w:tcPr>
          <w:p>
            <w:r/>
            <w:r>
              <w:t xml:space="preserve">a partir de </w:t>
            </w:r>
            <w:r>
              <w:rPr>
                <w:rFonts w:ascii="Consolas" w:hAnsi="Consolas"/>
                <w:color w:val="B03060"/>
                <w:sz w:val="19"/>
              </w:rPr>
              <w:t>06 Plan Analyze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 promessa de entrega.</w:t>
            </w:r>
            <w:r>
              <w:t xml:space="preserve"> Sem ela não existe compromisso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Custom.PGLSEndDate</w:t>
            </w:r>
          </w:p>
        </w:tc>
        <w:tc>
          <w:tcPr>
            <w:tcW w:type="dxa" w:w="2160"/>
          </w:tcPr>
          <w:p>
            <w:r/>
            <w:r>
              <w:t>PGLS End Date</w:t>
            </w:r>
          </w:p>
        </w:tc>
        <w:tc>
          <w:tcPr>
            <w:tcW w:type="dxa" w:w="2160"/>
          </w:tcPr>
          <w:p>
            <w:r/>
            <w:r>
              <w:t xml:space="preserve">a partir de </w:t>
            </w:r>
            <w:r>
              <w:rPr>
                <w:rFonts w:ascii="Consolas" w:hAnsi="Consolas"/>
                <w:color w:val="B03060"/>
                <w:sz w:val="19"/>
              </w:rPr>
              <w:t>06 Plan Analyze</w:t>
            </w:r>
          </w:p>
        </w:tc>
        <w:tc>
          <w:tcPr>
            <w:tcW w:type="dxa" w:w="2160"/>
          </w:tcPr>
          <w:p>
            <w:r/>
            <w:r>
              <w:t>Fim do suporte pós-go-live</w:t>
            </w:r>
          </w:p>
        </w:tc>
      </w:tr>
    </w:tbl>
    <w:p/>
    <w:p>
      <w:pPr>
        <w:pStyle w:val="Heading3"/>
      </w:pPr>
      <w:r>
        <w:t>100% opcionais — nunca sinalize como faltantes</w:t>
      </w:r>
    </w:p>
    <w:p>
      <w:r>
        <w:rPr>
          <w:rFonts w:ascii="Consolas" w:hAnsi="Consolas"/>
          <w:color w:val="B03060"/>
          <w:sz w:val="19"/>
        </w:rPr>
        <w:t>Custom.SecurityAssessmentStatus</w:t>
      </w:r>
      <w:r>
        <w:t xml:space="preserve"> · </w:t>
      </w:r>
      <w:r>
        <w:rPr>
          <w:rFonts w:ascii="Consolas" w:hAnsi="Consolas"/>
          <w:color w:val="B03060"/>
          <w:sz w:val="19"/>
        </w:rPr>
        <w:t>Custom.AssentmentSecurityNumber</w:t>
      </w:r>
      <w:r>
        <w:t xml:space="preserve"> · </w:t>
      </w:r>
      <w:r>
        <w:rPr>
          <w:rFonts w:ascii="Consolas" w:hAnsi="Consolas"/>
          <w:color w:val="B03060"/>
          <w:sz w:val="19"/>
        </w:rPr>
        <w:t>Custom.ClarityID</w:t>
      </w:r>
      <w:r>
        <w:t xml:space="preserve"> · </w:t>
      </w:r>
      <w:r>
        <w:rPr>
          <w:rFonts w:ascii="Consolas" w:hAnsi="Consolas"/>
          <w:color w:val="B03060"/>
          <w:sz w:val="19"/>
        </w:rPr>
        <w:t>Custom.Note</w:t>
      </w:r>
      <w:r>
        <w:t xml:space="preserve"> · </w:t>
      </w:r>
      <w:r>
        <w:rPr>
          <w:rFonts w:ascii="Consolas" w:hAnsi="Consolas"/>
          <w:color w:val="B03060"/>
          <w:sz w:val="19"/>
        </w:rPr>
        <w:t>System.Tags</w:t>
      </w:r>
    </w:p>
    <w:p>
      <w:pPr>
        <w:pStyle w:val="Heading3"/>
      </w:pPr>
      <w:r>
        <w:t>Campos de sistema editáveis</w:t>
      </w:r>
    </w:p>
    <w:p>
      <w:r>
        <w:rPr>
          <w:rFonts w:ascii="Consolas" w:hAnsi="Consolas"/>
          <w:color w:val="B03060"/>
          <w:sz w:val="19"/>
        </w:rPr>
        <w:t>System.State</w:t>
      </w:r>
      <w:r>
        <w:t xml:space="preserve"> (valida contra as 13 fases oficiais) · </w:t>
      </w:r>
      <w:r>
        <w:rPr>
          <w:rFonts w:ascii="Consolas" w:hAnsi="Consolas"/>
          <w:color w:val="B03060"/>
          <w:sz w:val="19"/>
        </w:rPr>
        <w:t>System.AssignedTo</w:t>
      </w:r>
      <w:r>
        <w:t xml:space="preserve"> · </w:t>
      </w:r>
      <w:r>
        <w:rPr>
          <w:rFonts w:ascii="Consolas" w:hAnsi="Consolas"/>
          <w:color w:val="B03060"/>
          <w:sz w:val="19"/>
        </w:rPr>
        <w:t>System.History</w:t>
      </w:r>
      <w:r>
        <w:t xml:space="preserve"> (adiciona comentário) · </w:t>
      </w:r>
      <w:r>
        <w:rPr>
          <w:rFonts w:ascii="Consolas" w:hAnsi="Consolas"/>
          <w:color w:val="B03060"/>
          <w:sz w:val="19"/>
        </w:rPr>
        <w:t>System.Reason</w:t>
      </w:r>
      <w:r>
        <w:t xml:space="preserve"> · </w:t>
      </w:r>
      <w:r>
        <w:rPr>
          <w:rFonts w:ascii="Consolas" w:hAnsi="Consolas"/>
          <w:color w:val="B03060"/>
          <w:sz w:val="19"/>
        </w:rPr>
        <w:t>System.Tags</w:t>
      </w:r>
    </w:p>
    <w:p>
      <w:pPr>
        <w:pStyle w:val="Heading3"/>
      </w:pPr>
      <w:r>
        <w:t>⛔ Read-only — enviar faz o PATCH falhar</w:t>
      </w:r>
    </w:p>
    <w:p>
      <w:r>
        <w:rPr>
          <w:rFonts w:ascii="Consolas" w:hAnsi="Consolas"/>
          <w:color w:val="B03060"/>
          <w:sz w:val="19"/>
        </w:rPr>
        <w:t>System.CreatedBy</w:t>
      </w:r>
      <w:r>
        <w:t xml:space="preserve"> · </w:t>
      </w:r>
      <w:r>
        <w:rPr>
          <w:rFonts w:ascii="Consolas" w:hAnsi="Consolas"/>
          <w:color w:val="B03060"/>
          <w:sz w:val="19"/>
        </w:rPr>
        <w:t>System.CreatedDate</w:t>
      </w:r>
      <w:r>
        <w:t xml:space="preserve"> · </w:t>
      </w:r>
      <w:r>
        <w:rPr>
          <w:rFonts w:ascii="Consolas" w:hAnsi="Consolas"/>
          <w:color w:val="B03060"/>
          <w:sz w:val="19"/>
        </w:rPr>
        <w:t>System.ChangedBy</w:t>
      </w:r>
      <w:r>
        <w:t xml:space="preserve"> · </w:t>
      </w:r>
      <w:r>
        <w:rPr>
          <w:rFonts w:ascii="Consolas" w:hAnsi="Consolas"/>
          <w:color w:val="B03060"/>
          <w:sz w:val="19"/>
        </w:rPr>
        <w:t>System.ChangedDate</w:t>
      </w:r>
      <w:r>
        <w:t xml:space="preserve"> · </w:t>
      </w:r>
      <w:r>
        <w:rPr>
          <w:rFonts w:ascii="Consolas" w:hAnsi="Consolas"/>
          <w:color w:val="B03060"/>
          <w:sz w:val="19"/>
        </w:rPr>
        <w:t>System.TeamProject</w:t>
      </w:r>
      <w:r>
        <w:t xml:space="preserve"> · </w:t>
      </w:r>
      <w:r>
        <w:rPr>
          <w:rFonts w:ascii="Consolas" w:hAnsi="Consolas"/>
          <w:color w:val="B03060"/>
          <w:sz w:val="19"/>
        </w:rPr>
        <w:t>System.WorkItemType</w:t>
      </w:r>
      <w:r>
        <w:t xml:space="preserve"> · </w:t>
      </w:r>
      <w:r>
        <w:rPr>
          <w:rFonts w:ascii="Consolas" w:hAnsi="Consolas"/>
          <w:color w:val="B03060"/>
          <w:sz w:val="19"/>
        </w:rPr>
        <w:t>Microsoft.VSTS.Common.StateChangeDate</w:t>
      </w:r>
      <w:r>
        <w:t xml:space="preserve"> · </w:t>
      </w:r>
      <w:r>
        <w:rPr>
          <w:rFonts w:ascii="Consolas" w:hAnsi="Consolas"/>
          <w:color w:val="B03060"/>
          <w:sz w:val="19"/>
        </w:rPr>
        <w:t>.ActivatedBy</w:t>
      </w:r>
      <w:r>
        <w:t xml:space="preserve"> · </w:t>
      </w:r>
      <w:r>
        <w:rPr>
          <w:rFonts w:ascii="Consolas" w:hAnsi="Consolas"/>
          <w:color w:val="B03060"/>
          <w:sz w:val="19"/>
        </w:rPr>
        <w:t>.ActivatedDate</w:t>
      </w:r>
      <w:r>
        <w:t xml:space="preserve"> · </w:t>
      </w:r>
      <w:r>
        <w:rPr>
          <w:rFonts w:ascii="Consolas" w:hAnsi="Consolas"/>
          <w:color w:val="B03060"/>
          <w:sz w:val="19"/>
        </w:rPr>
        <w:t>.ClosedBy</w:t>
      </w:r>
      <w:r>
        <w:t xml:space="preserve"> · </w:t>
      </w:r>
      <w:r>
        <w:rPr>
          <w:rFonts w:ascii="Consolas" w:hAnsi="Consolas"/>
          <w:color w:val="B03060"/>
          <w:sz w:val="19"/>
        </w:rPr>
        <w:t>.ClosedDate</w:t>
      </w:r>
      <w:r>
        <w:t xml:space="preserve"> · </w:t>
      </w:r>
      <w:r>
        <w:rPr>
          <w:rFonts w:ascii="Consolas" w:hAnsi="Consolas"/>
          <w:color w:val="B03060"/>
          <w:sz w:val="19"/>
        </w:rPr>
        <w:t>.ResolvedBy</w:t>
      </w:r>
      <w:r>
        <w:t xml:space="preserve"> · </w:t>
      </w:r>
      <w:r>
        <w:rPr>
          <w:rFonts w:ascii="Consolas" w:hAnsi="Consolas"/>
          <w:color w:val="B03060"/>
          <w:sz w:val="19"/>
        </w:rPr>
        <w:t>.ResolvedDate</w:t>
      </w:r>
    </w:p>
    <w:p>
      <w:pPr>
        <w:pStyle w:val="Heading3"/>
      </w:pPr>
      <w:r>
        <w:t>Os valores possíveis de cada campo de lista</w:t>
      </w:r>
    </w:p>
    <w:p>
      <w:r>
        <w:rPr>
          <w:b/>
        </w:rPr>
        <w:t>Escreva exatamente assim.</w:t>
      </w:r>
      <w:r>
        <w:t xml:space="preserve"> Num filtro DAX, string errada devolve zero linhas em silêncio — não dá erro, só parece que não existe projeto.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Valores possíveis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00 Cancelled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01 Idea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02 Scoping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03 Scope Approv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04 Costing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05 Cost Approv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06 Plan Analyze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07 Design Build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08 UAT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09 PGLS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10 Deployed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11 Closed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12 On Holding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Project 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Big Rock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Regular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Small Project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IT Area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Consumer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Customer Dev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Make (Business Operation)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Focus Market (Cust Ops)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Commercial Exp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Tech Services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Tax Reform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Business Product Domain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Consumer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Supply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Customer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Focus Market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BG or BU Engagement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BW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PC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HC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Foods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1UL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Cross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Business Benefit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Value Added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Compliance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StatusProjeto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Deployed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Delayed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In PGLS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Ending this Quarter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On Time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No Information</w:t>
            </w:r>
          </w:p>
        </w:tc>
      </w:tr>
    </w:tbl>
    <w:p/>
    <w:p>
      <w:r>
        <w:rPr>
          <w:b/>
        </w:rPr>
        <w:t>Duas armadilhas de digitação</w:t>
      </w:r>
      <w:r>
        <w:t>, ambas confirmadas contra dados reais:</w:t>
      </w:r>
    </w:p>
    <w:p>
      <w:pPr>
        <w:pStyle w:val="ListBullet"/>
      </w:pPr>
      <w:r>
        <w:t xml:space="preserve">É </w:t>
      </w:r>
      <w:r>
        <w:rPr>
          <w:b/>
        </w:rPr>
        <w:t>`Big Rock`</w:t>
      </w:r>
      <w:r>
        <w:t xml:space="preserve">, singular. </w:t>
      </w:r>
      <w:r>
        <w:rPr>
          <w:rFonts w:ascii="Consolas" w:hAnsi="Consolas"/>
          <w:color w:val="B03060"/>
          <w:sz w:val="19"/>
        </w:rPr>
        <w:t>Big Rocks</w:t>
      </w:r>
      <w:r>
        <w:t xml:space="preserve"> não existe na base.</w:t>
      </w:r>
    </w:p>
    <w:p>
      <w:pPr>
        <w:pStyle w:val="ListBullet"/>
      </w:pPr>
      <w:r>
        <w:t xml:space="preserve">É </w:t>
      </w:r>
      <w:r>
        <w:rPr>
          <w:b/>
        </w:rPr>
        <w:t>`Make (Business Operation)`</w:t>
      </w:r>
      <w:r>
        <w:t xml:space="preserve">. Não </w:t>
      </w:r>
      <w:r>
        <w:rPr>
          <w:rFonts w:ascii="Consolas" w:hAnsi="Consolas"/>
          <w:color w:val="B03060"/>
          <w:sz w:val="19"/>
        </w:rPr>
        <w:t>Make (Business Ops)</w:t>
      </w:r>
      <w:r>
        <w:t xml:space="preserve">, nem </w:t>
      </w:r>
      <w:r>
        <w:rPr>
          <w:rFonts w:ascii="Consolas" w:hAnsi="Consolas"/>
          <w:color w:val="B03060"/>
          <w:sz w:val="19"/>
        </w:rPr>
        <w:t>Make</w:t>
      </w:r>
      <w:r>
        <w:t>.</w:t>
      </w:r>
    </w:p>
    <w:p>
      <w:r>
        <w:rPr>
          <w:b/>
        </w:rPr>
        <w:t>Campos que não são lista fechada: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Como preencher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Title</w:t>
            </w:r>
          </w:p>
        </w:tc>
        <w:tc>
          <w:tcPr>
            <w:tcW w:type="dxa" w:w="4320"/>
          </w:tcPr>
          <w:p>
            <w:r/>
            <w:r>
              <w:t>exatamente como o usuário ditou. Nunca traduzir nem reformatar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Specify Cross</w:t>
            </w:r>
          </w:p>
        </w:tc>
        <w:tc>
          <w:tcPr>
            <w:tcW w:type="dxa" w:w="4320"/>
          </w:tcPr>
          <w:p>
            <w:r/>
            <w:r>
              <w:t xml:space="preserve">obrigatório quando </w:t>
            </w:r>
            <w:r>
              <w:rPr>
                <w:rFonts w:ascii="Consolas" w:hAnsi="Consolas"/>
                <w:color w:val="B03060"/>
                <w:sz w:val="19"/>
              </w:rPr>
              <w:t>BG or BU Engagement</w:t>
            </w:r>
            <w:r>
              <w:t xml:space="preserve"> = </w:t>
            </w:r>
            <w:r>
              <w:rPr>
                <w:rFonts w:ascii="Consolas" w:hAnsi="Consolas"/>
                <w:color w:val="B03060"/>
                <w:sz w:val="19"/>
              </w:rPr>
              <w:t>Cross</w:t>
            </w:r>
            <w:r>
              <w:t xml:space="preserve">. As BUs impactadas, ex.: </w:t>
            </w:r>
            <w:r>
              <w:rPr>
                <w:rFonts w:ascii="Consolas" w:hAnsi="Consolas"/>
                <w:color w:val="B03060"/>
                <w:sz w:val="19"/>
              </w:rPr>
              <w:t>BW, PC, HC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Project IT Manager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e-mail</w:t>
            </w:r>
            <w:r>
              <w:t>. Se vier só o nome, peça o e-mail — nunca construa um a partir do nome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Country Deployed</w:t>
            </w:r>
          </w:p>
        </w:tc>
        <w:tc>
          <w:tcPr>
            <w:tcW w:type="dxa" w:w="4320"/>
          </w:tcPr>
          <w:p>
            <w:r/>
            <w:r>
              <w:t xml:space="preserve">ex.: </w:t>
            </w:r>
            <w:r>
              <w:rPr>
                <w:rFonts w:ascii="Consolas" w:hAnsi="Consolas"/>
                <w:color w:val="B03060"/>
                <w:sz w:val="19"/>
              </w:rPr>
              <w:t>Brasil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Mexico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River Plate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Portfolio Year</w:t>
            </w:r>
          </w:p>
        </w:tc>
        <w:tc>
          <w:tcPr>
            <w:tcW w:type="dxa" w:w="4320"/>
          </w:tcPr>
          <w:p>
            <w:r/>
            <w:r>
              <w:t>o ano do ciclo. Na criação, o ano corrente salvo indicação contrária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Project Total Budget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Benefit Value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Payback in Months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Implemention Time in Months</w:t>
            </w:r>
          </w:p>
        </w:tc>
        <w:tc>
          <w:tcPr>
            <w:tcW w:type="dxa" w:w="4320"/>
          </w:tcPr>
          <w:p>
            <w:r/>
            <w:r>
              <w:t>número puro, sem símbolo de moeda e sem separador de milhar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GoLive Date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PGLS End 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AAAA-MM-DD</w:t>
            </w:r>
            <w:r>
              <w:t xml:space="preserve"> na gravação</w:t>
            </w:r>
          </w:p>
        </w:tc>
      </w:tr>
    </w:tbl>
    <w:p/>
    <w:p>
      <w:pPr>
        <w:pStyle w:val="Heading3"/>
      </w:pPr>
      <w:r>
        <w:t>Criar um projeto — o que oferecer</w:t>
      </w:r>
    </w:p>
    <w:p>
      <w:r>
        <w:t xml:space="preserve">Ao criar, </w:t>
      </w:r>
      <w:r>
        <w:rPr>
          <w:b/>
        </w:rPr>
        <w:t>apresente os campos com as opções acima e deixe o usuário escolher.</w:t>
      </w:r>
      <w:r>
        <w:t xml:space="preserve"> Nunca invente um valor para tapar buraco, nunca aceite valor fora da lista, e diga quais campos continuam vazios.</w:t>
      </w:r>
    </w:p>
    <w:p>
      <w:r>
        <w:t xml:space="preserve">O único realmente obrigatório para gravar é o </w:t>
      </w:r>
      <w:r>
        <w:rPr>
          <w:b/>
        </w:rPr>
        <w:t>`Title`</w:t>
      </w:r>
      <w:r>
        <w:t xml:space="preserve"> — sem ele o conector recusa. Os demais podem entrar depois, mas um projeto que nasce sem </w:t>
      </w:r>
      <w:r>
        <w:rPr>
          <w:rFonts w:ascii="Consolas" w:hAnsi="Consolas"/>
          <w:color w:val="B03060"/>
          <w:sz w:val="19"/>
        </w:rPr>
        <w:t>IT Area</w:t>
      </w:r>
      <w:r>
        <w:t xml:space="preserve">, </w:t>
      </w:r>
      <w:r>
        <w:rPr>
          <w:rFonts w:ascii="Consolas" w:hAnsi="Consolas"/>
          <w:color w:val="B03060"/>
          <w:sz w:val="19"/>
        </w:rPr>
        <w:t>Project Type</w:t>
      </w:r>
      <w:r>
        <w:t xml:space="preserve"> e </w:t>
      </w:r>
      <w:r>
        <w:rPr>
          <w:rFonts w:ascii="Consolas" w:hAnsi="Consolas"/>
          <w:color w:val="B03060"/>
          <w:sz w:val="19"/>
        </w:rPr>
        <w:t>Project IT Manager</w:t>
      </w:r>
      <w:r>
        <w:t xml:space="preserve"> já nasce como pendência de governança.</w:t>
      </w:r>
    </w:p>
    <w:p>
      <w:r>
        <w:t xml:space="preserve">Fase inicial padrão: </w:t>
      </w:r>
      <w:r>
        <w:rPr>
          <w:b/>
        </w:rPr>
        <w:t>`01 Idea`</w:t>
      </w:r>
      <w:r>
        <w:t>.</w:t>
      </w:r>
    </w:p>
    <w:p>
      <w:pPr>
        <w:pStyle w:val="Heading2"/>
      </w:pPr>
      <w:r>
        <w:t>4. Limiares de risco — e o raciocínio por trás de cada 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Situação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Severidade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que este limiar</w:t>
            </w:r>
          </w:p>
        </w:tc>
      </w:tr>
      <w:tr>
        <w:tc>
          <w:tcPr>
            <w:tcW w:type="dxa" w:w="2880"/>
          </w:tcPr>
          <w:p>
            <w:r/>
            <w:r>
              <w:t xml:space="preserve">Parado &gt;60 dias em </w:t>
            </w:r>
            <w:r>
              <w:rPr>
                <w:rFonts w:ascii="Consolas" w:hAnsi="Consolas"/>
                <w:color w:val="B03060"/>
                <w:sz w:val="19"/>
              </w:rPr>
              <w:t>02 Scoping</w:t>
            </w:r>
          </w:p>
        </w:tc>
        <w:tc>
          <w:tcPr>
            <w:tcW w:type="dxa" w:w="2880"/>
          </w:tcPr>
          <w:p>
            <w:r/>
            <w:r>
              <w:t>🔴 Alto</w:t>
            </w:r>
          </w:p>
        </w:tc>
        <w:tc>
          <w:tcPr>
            <w:tcW w:type="dxa" w:w="2880"/>
          </w:tcPr>
          <w:p>
            <w:r/>
            <w:r>
              <w:t>Dois meses definindo escopo significa que ninguém decidiu o que o projeto é. Normalmente falta dono real, não análise</w:t>
            </w:r>
          </w:p>
        </w:tc>
      </w:tr>
      <w:tr>
        <w:tc>
          <w:tcPr>
            <w:tcW w:type="dxa" w:w="2880"/>
          </w:tcPr>
          <w:p>
            <w:r/>
            <w:r>
              <w:t xml:space="preserve">Chegou em </w:t>
            </w:r>
            <w:r>
              <w:rPr>
                <w:rFonts w:ascii="Consolas" w:hAnsi="Consolas"/>
                <w:color w:val="B03060"/>
                <w:sz w:val="19"/>
              </w:rPr>
              <w:t>05 Cost Approv</w:t>
            </w:r>
            <w:r>
              <w:t xml:space="preserve"> sem Budget ou sem Benefit</w:t>
            </w:r>
          </w:p>
        </w:tc>
        <w:tc>
          <w:tcPr>
            <w:tcW w:type="dxa" w:w="2880"/>
          </w:tcPr>
          <w:p>
            <w:r/>
            <w:r>
              <w:t xml:space="preserve">🔴 </w:t>
            </w:r>
            <w:r>
              <w:rPr>
                <w:b/>
              </w:rPr>
              <w:t>CRÍTICO</w:t>
            </w:r>
          </w:p>
        </w:tc>
        <w:tc>
          <w:tcPr>
            <w:tcW w:type="dxa" w:w="2880"/>
          </w:tcPr>
          <w:p>
            <w:r/>
            <w:r>
              <w:t>Pede-se aprovação de custo sem custo ou sem retorno. É o furo de governança mais grave do portfólio</w:t>
            </w:r>
          </w:p>
        </w:tc>
      </w:tr>
      <w:tr>
        <w:tc>
          <w:tcPr>
            <w:tcW w:type="dxa" w:w="2880"/>
          </w:tcPr>
          <w:p>
            <w:r/>
            <w:r>
              <w:t xml:space="preserve">Parado &gt;30 dias em </w:t>
            </w:r>
            <w:r>
              <w:rPr>
                <w:rFonts w:ascii="Consolas" w:hAnsi="Consolas"/>
                <w:color w:val="B03060"/>
                <w:sz w:val="19"/>
              </w:rPr>
              <w:t>08 UAT</w:t>
            </w:r>
          </w:p>
        </w:tc>
        <w:tc>
          <w:tcPr>
            <w:tcW w:type="dxa" w:w="2880"/>
          </w:tcPr>
          <w:p>
            <w:r/>
            <w:r>
              <w:t>🔴 Alto</w:t>
            </w:r>
          </w:p>
        </w:tc>
        <w:tc>
          <w:tcPr>
            <w:tcW w:type="dxa" w:w="2880"/>
          </w:tcPr>
          <w:p>
            <w:r/>
            <w:r>
              <w:t>UAT é curto por natureza. Um mês parado significa defeito não resolvido ou negócio ausente da homologação</w:t>
            </w:r>
          </w:p>
        </w:tc>
      </w:tr>
      <w:tr>
        <w:tc>
          <w:tcPr>
            <w:tcW w:type="dxa" w:w="2880"/>
          </w:tcPr>
          <w:p>
            <w:r/>
            <w:r>
              <w:t>PGLS &gt;3 meses</w:t>
            </w:r>
          </w:p>
        </w:tc>
        <w:tc>
          <w:tcPr>
            <w:tcW w:type="dxa" w:w="2880"/>
          </w:tcPr>
          <w:p>
            <w:r/>
            <w:r>
              <w:t>🟡 Médio</w:t>
            </w:r>
          </w:p>
        </w:tc>
        <w:tc>
          <w:tcPr>
            <w:tcW w:type="dxa" w:w="2880"/>
          </w:tcPr>
          <w:p>
            <w:r/>
            <w:r>
              <w:t>PGLS longo é entrega instável fantasiada de suporte. Impede o hand-off e prende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Watermelon</w:t>
            </w:r>
            <w:r>
              <w:t xml:space="preserve"> — verde por fora, vermelho por dentro</w:t>
            </w:r>
          </w:p>
        </w:tc>
        <w:tc>
          <w:tcPr>
            <w:tcW w:type="dxa" w:w="2880"/>
          </w:tcPr>
          <w:p>
            <w:r/>
            <w:r>
              <w:t xml:space="preserve">🔴 </w:t>
            </w:r>
            <w:r>
              <w:rPr>
                <w:b/>
              </w:rPr>
              <w:t>CRÍTICO</w:t>
            </w:r>
          </w:p>
        </w:tc>
        <w:tc>
          <w:tcPr>
            <w:tcW w:type="dxa" w:w="2880"/>
          </w:tcPr>
          <w:p>
            <w:r/>
            <w:r>
              <w:t>Status reportado OK, mas €0 de benefício ou Go-Live já vencida. É o risco que o relatório-padrão esconde</w:t>
            </w:r>
          </w:p>
        </w:tc>
      </w:tr>
      <w:tr>
        <w:tc>
          <w:tcPr>
            <w:tcW w:type="dxa" w:w="2880"/>
          </w:tcPr>
          <w:p>
            <w:r/>
            <w:r>
              <w:t>Um owner com &gt;5 Big Rocks ativos</w:t>
            </w:r>
          </w:p>
        </w:tc>
        <w:tc>
          <w:tcPr>
            <w:tcW w:type="dxa" w:w="2880"/>
          </w:tcPr>
          <w:p>
            <w:r/>
            <w:r>
              <w:t>🔴 Alto</w:t>
            </w:r>
          </w:p>
        </w:tc>
        <w:tc>
          <w:tcPr>
            <w:tcW w:type="dxa" w:w="2880"/>
          </w:tcPr>
          <w:p>
            <w:r/>
            <w:r>
              <w:t xml:space="preserve">Ponto único de falha na organização. </w:t>
            </w:r>
            <w:r>
              <w:rPr>
                <w:b/>
              </w:rPr>
              <w:t>Risco de alocação, nunca de pessoa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[StatusProjeto] = No Information</w:t>
            </w:r>
          </w:p>
        </w:tc>
        <w:tc>
          <w:tcPr>
            <w:tcW w:type="dxa" w:w="2880"/>
          </w:tcPr>
          <w:p>
            <w:r/>
            <w:r>
              <w:t>🟡 Médio</w:t>
            </w:r>
          </w:p>
        </w:tc>
        <w:tc>
          <w:tcPr>
            <w:tcW w:type="dxa" w:w="2880"/>
          </w:tcPr>
          <w:p>
            <w:r/>
            <w:r>
              <w:t xml:space="preserve">Sem </w:t>
            </w:r>
            <w:r>
              <w:rPr>
                <w:rFonts w:ascii="Consolas" w:hAnsi="Consolas"/>
                <w:color w:val="B03060"/>
                <w:sz w:val="19"/>
              </w:rPr>
              <w:t>GoLive Date</w:t>
            </w:r>
            <w:r>
              <w:t xml:space="preserve"> não há compromisso de entrega — o projeto não pode atrasar porque nunca prometeu nada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12 On Holding</w:t>
            </w:r>
            <w:r>
              <w:t xml:space="preserve"> sem justificativa</w:t>
            </w:r>
          </w:p>
        </w:tc>
        <w:tc>
          <w:tcPr>
            <w:tcW w:type="dxa" w:w="2880"/>
          </w:tcPr>
          <w:p>
            <w:r/>
            <w:r>
              <w:t>🟡 Médio</w:t>
            </w:r>
          </w:p>
        </w:tc>
        <w:tc>
          <w:tcPr>
            <w:tcW w:type="dxa" w:w="2880"/>
          </w:tcPr>
          <w:p>
            <w:r/>
            <w:r>
              <w:t>Pausa sem motivo registrado é decisão não tomada, e some do radar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10 Deployed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11 Closed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Nunca sinalizar.</w:t>
            </w:r>
            <w:r>
              <w:t xml:space="preserve"> Reportar como vitória</w:t>
            </w:r>
          </w:p>
        </w:tc>
      </w:tr>
    </w:tbl>
    <w:p/>
    <w:p>
      <w:pPr>
        <w:pStyle w:val="Heading3"/>
      </w:pPr>
      <w:r>
        <w:t>Como identificar um watermelon</w:t>
      </w:r>
    </w:p>
    <w:p>
      <w:r>
        <w:t>Projeto ainda em construção (</w:t>
      </w:r>
      <w:r>
        <w:rPr>
          <w:rFonts w:ascii="Consolas" w:hAnsi="Consolas"/>
          <w:color w:val="B03060"/>
          <w:sz w:val="19"/>
        </w:rPr>
        <w:t>[N State] &lt; 10</w:t>
      </w:r>
      <w:r>
        <w:t>) e pelo menos um destes: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[Benefit Value]</w:t>
      </w:r>
      <w:r>
        <w:t xml:space="preserve"> vazio ou zero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[StatusProjeto] = Delayed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[StatusProjeto] = No Information</w:t>
      </w:r>
    </w:p>
    <w:p>
      <w:r>
        <w:t>O nome vem da fruta: verde do lado de fora, vermelho por dentro. O dashboard mostra saúde; o dado mostra outra coisa.</w:t>
      </w:r>
    </w:p>
    <w:p>
      <w:pPr>
        <w:pStyle w:val="Heading2"/>
      </w:pPr>
      <w:r>
        <w:t>5. Matriz de campos obrigatórios por fase</w:t>
      </w:r>
    </w:p>
    <w:p>
      <w:r>
        <w:t>Leitura: ✅ obrigatório · ➖ ainda não cobrado · ⚪ opcional sempre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  <w:sz w:val="19"/>
              </w:rPr>
              <w:t>01</w:t>
            </w:r>
            <w:r>
              <w:rPr>
                <w:b/>
              </w:rPr>
              <w:t>–</w:t>
            </w:r>
            <w:r>
              <w:rPr>
                <w:rFonts w:ascii="Consolas" w:hAnsi="Consolas"/>
                <w:b/>
                <w:color w:val="B03060"/>
                <w:sz w:val="19"/>
              </w:rPr>
              <w:t>04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  <w:sz w:val="19"/>
              </w:rPr>
              <w:t>05 Cost Approv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  <w:sz w:val="19"/>
              </w:rPr>
              <w:t>06</w:t>
            </w:r>
            <w:r>
              <w:rPr>
                <w:b/>
              </w:rPr>
              <w:t xml:space="preserve"> em diante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  <w:sz w:val="19"/>
              </w:rPr>
              <w:t>10</w:t>
            </w:r>
            <w:r>
              <w:rPr>
                <w:b/>
              </w:rPr>
              <w:t>/</w:t>
            </w:r>
            <w:r>
              <w:rPr>
                <w:rFonts w:ascii="Consolas" w:hAnsi="Consolas"/>
                <w:b/>
                <w:color w:val="B03060"/>
                <w:sz w:val="19"/>
              </w:rPr>
              <w:t>11</w:t>
            </w:r>
          </w:p>
        </w:tc>
      </w:tr>
      <w:tr>
        <w:tc>
          <w:tcPr>
            <w:tcW w:type="dxa" w:w="1728"/>
          </w:tcPr>
          <w:p>
            <w:r/>
            <w:r>
              <w:t>Title, State, Assigned To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Description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Project Type, IT Area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Business Benefit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Business Products Domain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BG or BU Engagement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Project IT Manager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Country Deployed, Portfolio Year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Implemention Time in Months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Specify Cross</w:t>
            </w:r>
          </w:p>
        </w:tc>
        <w:tc>
          <w:tcPr>
            <w:tcW w:type="dxa" w:w="1728"/>
          </w:tcPr>
          <w:p>
            <w:r/>
            <w:r>
              <w:t xml:space="preserve">✅ se Engagement = </w:t>
            </w:r>
            <w:r>
              <w:rPr>
                <w:rFonts w:ascii="Consolas" w:hAnsi="Consolas"/>
                <w:color w:val="B03060"/>
                <w:sz w:val="19"/>
              </w:rPr>
              <w:t>Cross</w:t>
            </w:r>
          </w:p>
        </w:tc>
        <w:tc>
          <w:tcPr>
            <w:tcW w:type="dxa" w:w="1728"/>
          </w:tcPr>
          <w:p>
            <w:r/>
            <w:r>
              <w:t>idem</w:t>
            </w:r>
          </w:p>
        </w:tc>
        <w:tc>
          <w:tcPr>
            <w:tcW w:type="dxa" w:w="1728"/>
          </w:tcPr>
          <w:p>
            <w:r/>
            <w:r>
              <w:t>idem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Project Benefit Value</w:t>
            </w:r>
          </w:p>
        </w:tc>
        <w:tc>
          <w:tcPr>
            <w:tcW w:type="dxa" w:w="1728"/>
          </w:tcPr>
          <w:p>
            <w:r/>
            <w:r>
              <w:t>➖</w:t>
            </w:r>
          </w:p>
        </w:tc>
        <w:tc>
          <w:tcPr>
            <w:tcW w:type="dxa" w:w="1728"/>
          </w:tcPr>
          <w:p>
            <w:r/>
            <w:r>
              <w:t xml:space="preserve">✅ (⚪ se Benefit ≠ </w:t>
            </w:r>
            <w:r>
              <w:rPr>
                <w:rFonts w:ascii="Consolas" w:hAnsi="Consolas"/>
                <w:color w:val="B03060"/>
                <w:sz w:val="19"/>
              </w:rPr>
              <w:t>Value Added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✅ (mesma ressalva)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Project Total Budget</w:t>
            </w:r>
          </w:p>
        </w:tc>
        <w:tc>
          <w:tcPr>
            <w:tcW w:type="dxa" w:w="1728"/>
          </w:tcPr>
          <w:p>
            <w:r/>
            <w:r>
              <w:t>➖</w:t>
            </w:r>
          </w:p>
        </w:tc>
        <w:tc>
          <w:tcPr>
            <w:tcW w:type="dxa" w:w="1728"/>
          </w:tcPr>
          <w:p>
            <w:r/>
            <w:r>
              <w:t>➖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Payback in Months</w:t>
            </w:r>
          </w:p>
        </w:tc>
        <w:tc>
          <w:tcPr>
            <w:tcW w:type="dxa" w:w="1728"/>
          </w:tcPr>
          <w:p>
            <w:r/>
            <w:r>
              <w:t>➖</w:t>
            </w:r>
          </w:p>
        </w:tc>
        <w:tc>
          <w:tcPr>
            <w:tcW w:type="dxa" w:w="1728"/>
          </w:tcPr>
          <w:p>
            <w:r/>
            <w:r>
              <w:t>➖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GoLive Date</w:t>
            </w:r>
          </w:p>
        </w:tc>
        <w:tc>
          <w:tcPr>
            <w:tcW w:type="dxa" w:w="1728"/>
          </w:tcPr>
          <w:p>
            <w:r/>
            <w:r>
              <w:t>➖</w:t>
            </w:r>
          </w:p>
        </w:tc>
        <w:tc>
          <w:tcPr>
            <w:tcW w:type="dxa" w:w="1728"/>
          </w:tcPr>
          <w:p>
            <w:r/>
            <w:r>
              <w:t>➖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PGLS End Date</w:t>
            </w:r>
          </w:p>
        </w:tc>
        <w:tc>
          <w:tcPr>
            <w:tcW w:type="dxa" w:w="1728"/>
          </w:tcPr>
          <w:p>
            <w:r/>
            <w:r>
              <w:t>➖</w:t>
            </w:r>
          </w:p>
        </w:tc>
        <w:tc>
          <w:tcPr>
            <w:tcW w:type="dxa" w:w="1728"/>
          </w:tcPr>
          <w:p>
            <w:r/>
            <w:r>
              <w:t>➖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não sinalizar</w:t>
            </w:r>
          </w:p>
        </w:tc>
      </w:tr>
      <w:tr>
        <w:tc>
          <w:tcPr>
            <w:tcW w:type="dxa" w:w="1728"/>
          </w:tcPr>
          <w:p>
            <w:r/>
            <w:r>
              <w:t>Security Assessment, Clarity ID, Note, Tags</w:t>
            </w:r>
          </w:p>
        </w:tc>
        <w:tc>
          <w:tcPr>
            <w:tcW w:type="dxa" w:w="1728"/>
          </w:tcPr>
          <w:p>
            <w:r/>
            <w:r>
              <w:t>⚪</w:t>
            </w:r>
          </w:p>
        </w:tc>
        <w:tc>
          <w:tcPr>
            <w:tcW w:type="dxa" w:w="1728"/>
          </w:tcPr>
          <w:p>
            <w:r/>
            <w:r>
              <w:t>⚪</w:t>
            </w:r>
          </w:p>
        </w:tc>
        <w:tc>
          <w:tcPr>
            <w:tcW w:type="dxa" w:w="1728"/>
          </w:tcPr>
          <w:p>
            <w:r/>
            <w:r>
              <w:t>⚪</w:t>
            </w:r>
          </w:p>
        </w:tc>
        <w:tc>
          <w:tcPr>
            <w:tcW w:type="dxa" w:w="1728"/>
          </w:tcPr>
          <w:p>
            <w:r/>
            <w:r>
              <w:t>⚪</w:t>
            </w:r>
          </w:p>
        </w:tc>
      </w:tr>
    </w:tbl>
    <w:p/>
    <w:p>
      <w:r>
        <w:rPr>
          <w:b/>
        </w:rPr>
        <w:t>Nunca sinalize campo que não esteja nesta matriz.</w:t>
      </w:r>
      <w:r>
        <w:t xml:space="preserve"> Auditoria que reclama de campo opcional queima credibilidade e enterra o achado que importava.</w:t>
      </w:r>
    </w:p>
    <w:p>
      <w:pPr>
        <w:pStyle w:val="Heading2"/>
      </w:pPr>
      <w:r>
        <w:t>6. Anatomia de uma análise — fraca vs forte</w:t>
      </w:r>
    </w:p>
    <w:p>
      <w:pPr>
        <w:pStyle w:val="Heading3"/>
      </w:pPr>
      <w:r>
        <w:t>Panorama (mais de 5 projetos)</w:t>
      </w:r>
    </w:p>
    <w:p>
      <w:pPr>
        <w:pStyle w:val="IntenseQuote"/>
      </w:pPr>
      <w:r>
        <w:rPr>
          <w:b/>
        </w:rPr>
        <w:t>❌ Fraca</w:t>
      </w:r>
    </w:p>
    <w:p>
      <w:pPr>
        <w:pStyle w:val="IntenseQuote"/>
      </w:pPr>
      <w:r>
        <w:t>"A Make tem 14 projetos. 4 estão atrasados, 3 em On Holding e 7 On Time. O score médio é 62 (Yellow). Alguns projetos estão com campos incompletos."</w:t>
      </w:r>
    </w:p>
    <w:p>
      <w:r>
        <w:t>Problemas: descreve estado sem hierarquizar, apresenta score como conclusão, "alguns projetos" não é acionável, e não há decisão.</w:t>
      </w:r>
    </w:p>
    <w:p>
      <w:pPr>
        <w:pStyle w:val="IntenseQuote"/>
      </w:pPr>
      <w:r>
        <w:rPr>
          <w:b/>
        </w:rPr>
        <w:t>✅ Forte</w:t>
      </w:r>
    </w:p>
    <w:p>
      <w:pPr>
        <w:pStyle w:val="IntenseQuote"/>
      </w:pPr>
      <w:r>
        <w:t>"</w:t>
      </w:r>
      <w:r>
        <w:rPr>
          <w:b/>
        </w:rPr>
        <w:t>Make — €34 Mi comprometidos, €11 Mi de retorno declarado.</w:t>
      </w:r>
    </w:p>
    <w:p>
      <w:pPr>
        <w:pStyle w:val="IntenseQuote"/>
      </w:pPr>
      <w:r>
        <w:t>A exposição está concentrada em 3 iniciativas que somam 68% do budget da área e não têm benefício declarado — capital comprometido sem tese de retorno.</w:t>
      </w:r>
    </w:p>
    <w:p>
      <w:pPr>
        <w:pStyle w:val="IntenseQuote"/>
      </w:pPr>
      <w:r>
        <w:rPr>
          <w:b/>
        </w:rPr>
        <w:t>Gargalo:</w:t>
      </w:r>
      <w:r>
        <w:t xml:space="preserve"> 5 projetos parados em </w:t>
      </w:r>
      <w:r>
        <w:rPr>
          <w:rFonts w:ascii="Consolas" w:hAnsi="Consolas"/>
          <w:color w:val="B03060"/>
          <w:sz w:val="19"/>
        </w:rPr>
        <w:t>04 Costing</w:t>
      </w:r>
      <w:r>
        <w:t xml:space="preserve"> há mais de 60 dias. Não são 5 problemas, é um: a fila de custeio da área não está andando.</w:t>
      </w:r>
    </w:p>
    <w:p>
      <w:pPr>
        <w:pStyle w:val="IntenseQuote"/>
      </w:pPr>
      <w:r>
        <w:rPr>
          <w:b/>
        </w:rPr>
        <w:t>Assimetria:</w:t>
      </w:r>
      <w:r>
        <w:t xml:space="preserve"> [Projeto X] (1234) tem o maior benefício do recorte e está travado por uma única aprovação de custo.</w:t>
      </w:r>
    </w:p>
    <w:p>
      <w:pPr>
        <w:pStyle w:val="IntenseQuote"/>
      </w:pPr>
      <w:r>
        <w:rPr>
          <w:b/>
        </w:rPr>
        <w:t>🎯 Decisão recomendada:</w:t>
      </w:r>
      <w:r>
        <w:t xml:space="preserve"> destravar [Projeto X] esta semana — responsável [gestor], até DD/MM. Em paralelo, exigir Benefit Value dos 3 sem tese até o fim do mês."</w:t>
      </w:r>
    </w:p>
    <w:p>
      <w:pPr>
        <w:pStyle w:val="Heading3"/>
      </w:pPr>
      <w:r>
        <w:t>Deep dive (1 a 5 projetos)</w:t>
      </w:r>
    </w:p>
    <w:p>
      <w:r>
        <w:t>Estrutura obrigatória:</w:t>
      </w:r>
    </w:p>
    <w:p>
      <w:pPr>
        <w:pStyle w:val="ListNumber"/>
      </w:pPr>
      <w:r>
        <w:rPr>
          <w:b/>
        </w:rPr>
        <w:t>O que está em jogo</w:t>
      </w:r>
      <w:r>
        <w:t xml:space="preserve"> — valor, alcance, quem depende</w:t>
      </w:r>
    </w:p>
    <w:p>
      <w:pPr>
        <w:pStyle w:val="ListNumber"/>
      </w:pPr>
      <w:r>
        <w:rPr>
          <w:b/>
        </w:rPr>
        <w:t>O que o sistema diz vs. o que a reunião disse</w:t>
      </w:r>
      <w:r>
        <w:t xml:space="preserve"> — cruze DevOps com </w:t>
      </w:r>
      <w:r>
        <w:rPr>
          <w:rFonts w:ascii="Consolas" w:hAnsi="Consolas"/>
          <w:color w:val="B03060"/>
          <w:sz w:val="19"/>
        </w:rPr>
        <w:t>Transcription LT Meetings</w:t>
      </w:r>
      <w:r>
        <w:t>. A divergência entre os dois é frequentemente a análise inteira</w:t>
      </w:r>
    </w:p>
    <w:p>
      <w:pPr>
        <w:pStyle w:val="ListNumber"/>
      </w:pPr>
      <w:r>
        <w:rPr>
          <w:b/>
        </w:rPr>
        <w:t>Risco pelas quatro lentes</w:t>
      </w:r>
      <w:r>
        <w:t xml:space="preserve"> — valor em risco, momento, concentração, assimetria</w:t>
      </w:r>
    </w:p>
    <w:p>
      <w:pPr>
        <w:pStyle w:val="ListNumber"/>
      </w:pPr>
      <w:r>
        <w:rPr>
          <w:b/>
        </w:rPr>
        <w:t>🎯 Decisão recomendada</w:t>
      </w:r>
      <w:r>
        <w:t xml:space="preserve"> — acelerar, segurar, matar ou exigir dado, com responsável e prazo</w:t>
      </w:r>
    </w:p>
    <w:p>
      <w:pPr>
        <w:pStyle w:val="ListNumber"/>
      </w:pPr>
      <w:r>
        <w:rPr>
          <w:b/>
        </w:rPr>
        <w:t>Link do work item</w:t>
      </w:r>
      <w:r>
        <w:t xml:space="preserve"> — sempre, e numa forma só:</w:t>
      </w:r>
    </w:p>
    <w:p>
      <w:r>
        <w:rPr>
          <w:rFonts w:ascii="Consolas" w:hAnsi="Consolas"/>
          <w:color w:val="B03060"/>
          <w:sz w:val="19"/>
        </w:rPr>
        <w:t>https://dev.azure.com/CDIO-IT-LATAM/CDIO%20Portfolio/_workitems/edit/1234</w:t>
      </w:r>
    </w:p>
    <w:p>
      <w:r>
        <w:t xml:space="preserve">Todo projeto citado, em qualquer seção, sai como </w:t>
      </w:r>
      <w:r>
        <w:rPr>
          <w:b/>
        </w:rPr>
        <w:t>`Nome do Projeto (1234)`</w:t>
      </w:r>
      <w:r>
        <w:t xml:space="preserve"> — nome primeiro, ID do work item entre parênteses. Nunca o ID sozinho, nunca o nome sem o ID.</w:t>
      </w:r>
    </w:p>
    <w:p>
      <w:pPr>
        <w:pStyle w:val="IntenseQuote"/>
      </w:pPr>
      <w:r>
        <w:t xml:space="preserve">⚠️ </w:t>
      </w:r>
      <w:r>
        <w:rPr>
          <w:b/>
        </w:rPr>
        <w:t>O campo `url` que o DevOps devolve não é esse link.</w:t>
      </w:r>
      <w:r>
        <w:t xml:space="preserve"> Ele é o endereço da API (</w:t>
      </w:r>
      <w:r>
        <w:rPr>
          <w:rFonts w:ascii="Consolas" w:hAnsi="Consolas"/>
          <w:color w:val="B03060"/>
          <w:sz w:val="19"/>
        </w:rPr>
        <w:t>_apis/wit/workItems/1234</w:t>
      </w:r>
      <w:r>
        <w:t>) e abre JSON cru no navegador — inútil para quem vai ler o relatório. Monte o link a partir do ID, sempre.</w:t>
      </w:r>
    </w:p>
    <w:p>
      <w:pPr>
        <w:pStyle w:val="IntenseQuote"/>
      </w:pPr>
      <w:r>
        <w:rPr>
          <w:b/>
        </w:rPr>
        <w:t>❌ Fraca:</w:t>
      </w:r>
      <w:r>
        <w:t xml:space="preserve"> "Projeto em 07 Design Build, score 74 (Yellow), Go-Live 30/09. Budget €2,1 Mi, Benefit €4,8 Mi. Recomendo acompanhar."</w:t>
      </w:r>
    </w:p>
    <w:p>
      <w:pPr>
        <w:pStyle w:val="IntenseQuote"/>
      </w:pPr>
      <w:r>
        <w:rPr>
          <w:b/>
        </w:rPr>
        <w:t>✅ Forte:</w:t>
      </w:r>
      <w:r>
        <w:t xml:space="preserve"> "€2,1 Mi comprometidos contra €4,8 Mi esperados — relação sólida. Mas a Go-Live é 30/09 e o item está em Design Build desde maio, sem movimentação no histórico há 6 semanas. Na LT de julho, o time relatou dependência de integração ainda não resolvida — o sistema não registrou isso. </w:t>
      </w:r>
      <w:r>
        <w:rPr>
          <w:b/>
        </w:rPr>
        <w:t>A data de 30/09 não se sustenta.</w:t>
      </w:r>
      <w:r>
        <w:t xml:space="preserve"> 🎯 Decisão: repactuar a Go-Live e escalar a dependência — [gestor], até 25/08."</w:t>
      </w:r>
    </w:p>
    <w:p>
      <w:pPr>
        <w:pStyle w:val="Heading3"/>
      </w:pPr>
      <w:r>
        <w:t>O que nunca aparece em relatório</w:t>
      </w:r>
    </w:p>
    <w:p>
      <w:pPr>
        <w:pStyle w:val="ListBullet"/>
      </w:pPr>
      <w:r>
        <w:t>Texto de query, DAX, GUID, nome de ferramenta, JSON cru</w:t>
      </w:r>
    </w:p>
    <w:p>
      <w:pPr>
        <w:pStyle w:val="ListBullet"/>
      </w:pPr>
      <w:r>
        <w:t>Mecânica do score, seus pilares ou sua cor</w:t>
      </w:r>
    </w:p>
    <w:p>
      <w:pPr>
        <w:pStyle w:val="ListBullet"/>
      </w:pPr>
      <w:r>
        <w:t>Projeto entregue (</w:t>
      </w:r>
      <w:r>
        <w:rPr>
          <w:rFonts w:ascii="Consolas" w:hAnsi="Consolas"/>
          <w:color w:val="B03060"/>
          <w:sz w:val="19"/>
        </w:rPr>
        <w:t>10</w:t>
      </w:r>
      <w:r>
        <w:t>/</w:t>
      </w:r>
      <w:r>
        <w:rPr>
          <w:rFonts w:ascii="Consolas" w:hAnsi="Consolas"/>
          <w:color w:val="B03060"/>
          <w:sz w:val="19"/>
        </w:rPr>
        <w:t>11</w:t>
      </w:r>
      <w:r>
        <w:t>) sinalizado por campo faltante</w:t>
      </w:r>
    </w:p>
    <w:p>
      <w:pPr>
        <w:pStyle w:val="ListBullet"/>
      </w:pPr>
      <w:r>
        <w:t>Nome, ID, valor ou pessoa que não veio de uma chamada de ferramenta desta conversa</w:t>
      </w:r>
    </w:p>
    <w:p>
      <w:pPr>
        <w:pStyle w:val="ListBullet"/>
      </w:pPr>
      <w:r>
        <w:t>Recomendação sem responsável e sem prazo</w:t>
      </w:r>
    </w:p>
    <w:p>
      <w:pPr>
        <w:pStyle w:val="ListBullet"/>
      </w:pPr>
      <w:r>
        <w:t>ID de work item solto, sem o nome do projeto ao lado</w:t>
      </w:r>
    </w:p>
    <w:p>
      <w:pPr>
        <w:pStyle w:val="ListBullet"/>
      </w:pPr>
      <w:r>
        <w:t xml:space="preserve">Link no formato </w:t>
      </w:r>
      <w:r>
        <w:rPr>
          <w:rFonts w:ascii="Consolas" w:hAnsi="Consolas"/>
          <w:color w:val="B03060"/>
          <w:sz w:val="19"/>
        </w:rPr>
        <w:t>_apis/wit/workItems/</w:t>
      </w:r>
      <w:r>
        <w:t xml:space="preserve"> — abre JSON, não a tela do item</w:t>
      </w:r>
    </w:p>
    <w:p>
      <w:pPr>
        <w:pStyle w:val="Heading2"/>
      </w:pPr>
      <w:r>
        <w:t>7. Vocabulário CDIO</w:t>
      </w:r>
    </w:p>
    <w:p>
      <w:pPr>
        <w:pStyle w:val="Heading3"/>
      </w:pPr>
      <w:r>
        <w:t xml:space="preserve">Acrônimos de BU — traduza </w:t>
      </w:r>
      <w:r>
        <w:rPr>
          <w:b/>
        </w:rPr>
        <w:t>antes</w:t>
      </w:r>
      <w:r>
        <w:t xml:space="preserve"> de consultar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Acrônimo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BPC</w:t>
            </w:r>
          </w:p>
        </w:tc>
        <w:tc>
          <w:tcPr>
            <w:tcW w:type="dxa" w:w="4320"/>
          </w:tcPr>
          <w:p>
            <w:r/>
            <w:r>
              <w:t>BW + PC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HPC</w:t>
            </w:r>
          </w:p>
        </w:tc>
        <w:tc>
          <w:tcPr>
            <w:tcW w:type="dxa" w:w="4320"/>
          </w:tcPr>
          <w:p>
            <w:r/>
            <w:r>
              <w:t>HC + PC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HPF</w:t>
            </w:r>
          </w:p>
        </w:tc>
        <w:tc>
          <w:tcPr>
            <w:tcW w:type="dxa" w:w="4320"/>
          </w:tcPr>
          <w:p>
            <w:r/>
            <w:r>
              <w:t>HC + PC + Foods</w:t>
            </w:r>
          </w:p>
        </w:tc>
      </w:tr>
    </w:tbl>
    <w:p/>
    <w:p>
      <w:pPr>
        <w:pStyle w:val="Heading3"/>
      </w:pPr>
      <w:r>
        <w:t>A regra Cross-BU</w:t>
      </w:r>
    </w:p>
    <w:p>
      <w:r>
        <w:t xml:space="preserve">Um filtro por BU </w:t>
      </w:r>
      <w:r>
        <w:rPr>
          <w:b/>
        </w:rPr>
        <w:t>sempre</w:t>
      </w:r>
      <w:r>
        <w:t xml:space="preserve"> precisa capturar também os projetos </w:t>
      </w:r>
      <w:r>
        <w:rPr>
          <w:rFonts w:ascii="Consolas" w:hAnsi="Consolas"/>
          <w:color w:val="B03060"/>
          <w:sz w:val="19"/>
        </w:rPr>
        <w:t>Cross</w:t>
      </w:r>
      <w:r>
        <w:t xml:space="preserve"> que citam aquela BU em </w:t>
      </w:r>
      <w:r>
        <w:rPr>
          <w:rFonts w:ascii="Consolas" w:hAnsi="Consolas"/>
          <w:color w:val="B03060"/>
          <w:sz w:val="19"/>
        </w:rPr>
        <w:t>[Specify Cross]</w:t>
      </w:r>
      <w:r>
        <w:t xml:space="preserve">. Filtrar </w:t>
      </w:r>
      <w:r>
        <w:rPr>
          <w:rFonts w:ascii="Consolas" w:hAnsi="Consolas"/>
          <w:color w:val="B03060"/>
          <w:sz w:val="19"/>
        </w:rPr>
        <w:t>BG or BU Engagement = "PC"</w:t>
      </w:r>
      <w:r>
        <w:t xml:space="preserve"> sozinho perde todo projeto multi-BU que envolve PC — e projetos Cross costumam ser os maiores do portfólio.</w:t>
      </w:r>
    </w:p>
    <w:p>
      <w:pPr>
        <w:spacing w:after="200"/>
        <w:ind w:left="360"/>
      </w:pPr>
      <w:r>
        <w:rPr>
          <w:rFonts w:ascii="Consolas" w:hAnsi="Consolas"/>
          <w:sz w:val="18"/>
        </w:rPr>
        <w:t>'tabela'[BG or BU Engagement] = "PC"</w:t>
        <w:br/>
        <w:t>|| ('tabela'[BG or BU Engagement] = "Cross" &amp;&amp; SEARCH("PC", 'tabela'[Specify Cross], 1, 0) &gt; 0)</w:t>
      </w:r>
    </w:p>
    <w:p>
      <w:pPr>
        <w:pStyle w:val="Heading3"/>
      </w:pPr>
      <w:r>
        <w:t>IT Areas core</w:t>
      </w:r>
    </w:p>
    <w:p>
      <w:r>
        <w:rPr>
          <w:b/>
        </w:rPr>
        <w:t>Consumer · Make · CD · Focus Market.</w:t>
      </w:r>
      <w:r>
        <w:t xml:space="preserve"> Em panorama geral, ignore as áreas menores salvo pedido explícito.</w:t>
      </w:r>
    </w:p>
    <w:p>
      <w:pPr>
        <w:pStyle w:val="Heading3"/>
      </w:pPr>
      <w:r>
        <w:t>Ecossistemas</w:t>
      </w:r>
    </w:p>
    <w:p>
      <w:r>
        <w:t>Projetos que compartilham nome-base (</w:t>
      </w:r>
      <w:r>
        <w:rPr>
          <w:rFonts w:ascii="Consolas" w:hAnsi="Consolas"/>
          <w:color w:val="B03060"/>
          <w:sz w:val="19"/>
        </w:rPr>
        <w:t>Horizon 1</w:t>
      </w:r>
      <w:r>
        <w:t xml:space="preserve"> / </w:t>
      </w:r>
      <w:r>
        <w:rPr>
          <w:rFonts w:ascii="Consolas" w:hAnsi="Consolas"/>
          <w:color w:val="B03060"/>
          <w:sz w:val="19"/>
        </w:rPr>
        <w:t>Horizon 2</w:t>
      </w:r>
      <w:r>
        <w:t xml:space="preserve">) ou carregam tag </w:t>
      </w:r>
      <w:r>
        <w:rPr>
          <w:rFonts w:ascii="Consolas" w:hAnsi="Consolas"/>
          <w:color w:val="B03060"/>
          <w:sz w:val="19"/>
        </w:rPr>
        <w:t>Related</w:t>
      </w:r>
      <w:r>
        <w:t xml:space="preserve"> são </w:t>
      </w:r>
      <w:r>
        <w:rPr>
          <w:b/>
        </w:rPr>
        <w:t>uma iniciativa</w:t>
      </w:r>
      <w:r>
        <w:t>, não várias. Se a fase 1 já foi entregue, herde o contexto dela e concentre a análise de risco estritamente na fase ativa. Tratar fases do mesmo programa como projetos independentes dilui o valor em risco real.</w:t>
      </w:r>
    </w:p>
    <w:p>
      <w:pPr>
        <w:pStyle w:val="Heading3"/>
      </w:pPr>
      <w:r>
        <w:t>Termos de uso corrente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Big Rock</w:t>
            </w:r>
          </w:p>
        </w:tc>
        <w:tc>
          <w:tcPr>
            <w:tcW w:type="dxa" w:w="4320"/>
          </w:tcPr>
          <w:p>
            <w:r/>
            <w:r>
              <w:t>Iniciativa estratégica. Recorte padrão de qualquer análise, salvo pedido em contrário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Watermelon</w:t>
            </w:r>
          </w:p>
        </w:tc>
        <w:tc>
          <w:tcPr>
            <w:tcW w:type="dxa" w:w="4320"/>
          </w:tcPr>
          <w:p>
            <w:r/>
            <w:r>
              <w:t>Verde por fora, vermelho por dentro — status saudável escondendo problema real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PGLS</w:t>
            </w:r>
          </w:p>
        </w:tc>
        <w:tc>
          <w:tcPr>
            <w:tcW w:type="dxa" w:w="4320"/>
          </w:tcPr>
          <w:p>
            <w:r/>
            <w:r>
              <w:t>Post Go-Live Support. Janela de suporte após a entrega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Hypercare</w:t>
            </w:r>
          </w:p>
        </w:tc>
        <w:tc>
          <w:tcPr>
            <w:tcW w:type="dxa" w:w="4320"/>
          </w:tcPr>
          <w:p>
            <w:r/>
            <w:r>
              <w:t xml:space="preserve">Cuidado intensivo pós-entrega, ainda sob o CDIO (fase </w:t>
            </w:r>
            <w:r>
              <w:rPr>
                <w:rFonts w:ascii="Consolas" w:hAnsi="Consolas"/>
                <w:color w:val="B03060"/>
                <w:sz w:val="19"/>
              </w:rPr>
              <w:t>10 Deployed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Value Realization</w:t>
            </w:r>
          </w:p>
        </w:tc>
        <w:tc>
          <w:tcPr>
            <w:tcW w:type="dxa" w:w="4320"/>
          </w:tcPr>
          <w:p>
            <w:r/>
            <w:r>
              <w:t>A missão: garantir que o valor prometido no business case se materialize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LT</w:t>
            </w:r>
          </w:p>
        </w:tc>
        <w:tc>
          <w:tcPr>
            <w:tcW w:type="dxa" w:w="4320"/>
          </w:tcPr>
          <w:p>
            <w:r/>
            <w:r>
              <w:t>Leadership Team. As transcrições de LT trazem o porquê que o sistema não registra</w:t>
            </w:r>
          </w:p>
        </w:tc>
      </w:tr>
    </w:tbl>
    <w:p/>
    <w:p>
      <w:pPr>
        <w:pStyle w:val="Heading3"/>
      </w:pPr>
      <w:r>
        <w:t>Domínios fechados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Coluna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Valores possíveis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[StatusProjeto]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Deployed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Delayed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In PGLS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Ending this Quarter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On Time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No Information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[Business Benefit]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Value Added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Compliance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[Potencial]</w:t>
            </w:r>
          </w:p>
        </w:tc>
        <w:tc>
          <w:tcPr>
            <w:tcW w:type="dxa" w:w="4320"/>
          </w:tcPr>
          <w:p>
            <w:r/>
            <w:r>
              <w:t>Green (alto) · Yellow (médio) · Red (baixo) · vazio = Incomplete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[Project Type]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Big Rock</w:t>
            </w:r>
            <w:r>
              <w:t xml:space="preserve"> é o filtro padrão</w:t>
            </w:r>
          </w:p>
        </w:tc>
      </w:tr>
    </w:tbl>
    <w:p/>
    <w:p>
      <w:pPr>
        <w:pStyle w:val="Heading2"/>
      </w:pPr>
      <w:r>
        <w:t>8. Reconciliação — o que a reunião disse × o que o sistema mostra</w:t>
      </w:r>
    </w:p>
    <w:p>
      <w:r>
        <w:t xml:space="preserve">A transcrição da LT é a única fonte que registra </w:t>
      </w:r>
      <w:r>
        <w:rPr>
          <w:b/>
        </w:rPr>
        <w:t>o porquê</w:t>
      </w:r>
      <w:r>
        <w:t xml:space="preserve">. O DevOps registra </w:t>
      </w:r>
      <w:r>
        <w:rPr>
          <w:b/>
        </w:rPr>
        <w:t>o fato</w:t>
      </w:r>
      <w:r>
        <w:t>. Reconciliar é cruzar as duas e apontar onde elas se contradizem — não resumir a reunião.</w:t>
      </w:r>
    </w:p>
    <w:p>
      <w:pPr>
        <w:pStyle w:val="IntenseQuote"/>
      </w:pPr>
      <w:r>
        <w:t>🔴 A transcrição não tem nome de locutor</w:t>
      </w:r>
    </w:p>
    <w:p>
      <w:pPr>
        <w:pStyle w:val="IntenseQuote"/>
      </w:pPr>
      <w:r>
        <w:t xml:space="preserve">O arquivo gravado é texto corrido. </w:t>
      </w:r>
      <w:r>
        <w:rPr>
          <w:b/>
        </w:rPr>
        <w:t>Não existe informação de quem falou o quê.</w:t>
      </w:r>
      <w:r>
        <w:t xml:space="preserve"> Nunca atribua uma frase a uma pessoa, nem por dedução ("deve ter sido o gestor do projeto"). Escreva </w:t>
      </w:r>
      <w:r>
        <w:rPr>
          <w:rFonts w:ascii="Consolas" w:hAnsi="Consolas"/>
          <w:color w:val="B03060"/>
          <w:sz w:val="19"/>
        </w:rPr>
        <w:t>ficou registrado que</w:t>
      </w:r>
      <w:r>
        <w:t xml:space="preserve">, </w:t>
      </w:r>
      <w:r>
        <w:rPr>
          <w:rFonts w:ascii="Consolas" w:hAnsi="Consolas"/>
          <w:color w:val="B03060"/>
          <w:sz w:val="19"/>
        </w:rPr>
        <w:t>a reunião trata como</w:t>
      </w:r>
      <w:r>
        <w:t xml:space="preserve">, </w:t>
      </w:r>
      <w:r>
        <w:rPr>
          <w:rFonts w:ascii="Consolas" w:hAnsi="Consolas"/>
          <w:color w:val="B03060"/>
          <w:sz w:val="19"/>
        </w:rPr>
        <w:t>foi mencionado que</w:t>
      </w:r>
      <w:r>
        <w:t xml:space="preserve"> — nunca </w:t>
      </w:r>
      <w:r>
        <w:rPr>
          <w:rFonts w:ascii="Consolas" w:hAnsi="Consolas"/>
          <w:color w:val="B03060"/>
          <w:sz w:val="19"/>
        </w:rPr>
        <w:t>o gestor disse</w:t>
      </w:r>
      <w:r>
        <w:t>.</w:t>
      </w:r>
    </w:p>
    <w:p>
      <w:pPr>
        <w:pStyle w:val="IntenseQuote"/>
      </w:pPr>
      <w:r>
        <w:t>Atribuir fala a alguém que você não pode comprovar é o pior erro possível numa cobrança: quem for cobrado indevidamente perde a confiança no agente de uma vez.</w:t>
      </w:r>
    </w:p>
    <w:p>
      <w:pPr>
        <w:pStyle w:val="Heading3"/>
      </w:pPr>
      <w:r>
        <w:t>O que vira divergência, e o que não vira</w:t>
      </w:r>
    </w:p>
    <w:p>
      <w:r>
        <w:t xml:space="preserve">Reconciliação só olha para </w:t>
      </w:r>
      <w:r>
        <w:rPr>
          <w:b/>
        </w:rPr>
        <w:t>afirmação verificável</w:t>
      </w:r>
      <w:r>
        <w:t xml:space="preserve"> — algo que exista como campo no DevOps e que a reunião afirme com clareza.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✅ Vira divergência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❌ Não vira</w:t>
            </w:r>
          </w:p>
        </w:tc>
      </w:tr>
      <w:tr>
        <w:tc>
          <w:tcPr>
            <w:tcW w:type="dxa" w:w="4320"/>
          </w:tcPr>
          <w:p>
            <w:r/>
            <w:r>
              <w:t>Fase / estado do projeto</w:t>
            </w:r>
          </w:p>
        </w:tc>
        <w:tc>
          <w:tcPr>
            <w:tcW w:type="dxa" w:w="4320"/>
          </w:tcPr>
          <w:p>
            <w:r/>
            <w:r>
              <w:t>Opinião: "acho esse projeto arriscado"</w:t>
            </w:r>
          </w:p>
        </w:tc>
      </w:tr>
      <w:tr>
        <w:tc>
          <w:tcPr>
            <w:tcW w:type="dxa" w:w="4320"/>
          </w:tcPr>
          <w:p>
            <w:r/>
            <w:r>
              <w:t>Datas: Go-Live, PGLS</w:t>
            </w:r>
          </w:p>
        </w:tc>
        <w:tc>
          <w:tcPr>
            <w:tcW w:type="dxa" w:w="4320"/>
          </w:tcPr>
          <w:p>
            <w:r/>
            <w:r>
              <w:t>Intenção sem data: "a gente precisa acelerar"</w:t>
            </w:r>
          </w:p>
        </w:tc>
      </w:tr>
      <w:tr>
        <w:tc>
          <w:tcPr>
            <w:tcW w:type="dxa" w:w="4320"/>
          </w:tcPr>
          <w:p>
            <w:r/>
            <w:r>
              <w:t>Orçamento e benefício declarados</w:t>
            </w:r>
          </w:p>
        </w:tc>
        <w:tc>
          <w:tcPr>
            <w:tcW w:type="dxa" w:w="4320"/>
          </w:tcPr>
          <w:p>
            <w:r/>
            <w:r>
              <w:t>Contexto de negócio sem número</w:t>
            </w:r>
          </w:p>
        </w:tc>
      </w:tr>
      <w:tr>
        <w:tc>
          <w:tcPr>
            <w:tcW w:type="dxa" w:w="4320"/>
          </w:tcPr>
          <w:p>
            <w:r/>
            <w:r>
              <w:t>Responsável / gestor</w:t>
            </w:r>
          </w:p>
        </w:tc>
        <w:tc>
          <w:tcPr>
            <w:tcW w:type="dxa" w:w="4320"/>
          </w:tcPr>
          <w:p>
            <w:r/>
            <w:r>
              <w:t>Discussão que não conclui nada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Compromisso </w:t>
            </w:r>
            <w:r>
              <w:rPr>
                <w:b/>
              </w:rPr>
              <w:t>com prazo explícito</w:t>
            </w:r>
          </w:p>
        </w:tc>
        <w:tc>
          <w:tcPr>
            <w:tcW w:type="dxa" w:w="4320"/>
          </w:tcPr>
          <w:p>
            <w:r/>
            <w:r>
              <w:t>Menção de passagem, sem afirmação</w:t>
            </w:r>
          </w:p>
        </w:tc>
      </w:tr>
    </w:tbl>
    <w:p/>
    <w:p>
      <w:r>
        <w:t>Fala vaga não é divergência. No máximo é contexto, e contexto entra na análise como contexto — nunca como cobrança.</w:t>
      </w:r>
    </w:p>
    <w:p>
      <w:pPr>
        <w:pStyle w:val="Heading3"/>
      </w:pPr>
      <w:r>
        <w:t>O procedimento</w:t>
      </w:r>
    </w:p>
    <w:p>
      <w:pPr>
        <w:pStyle w:val="ListNumber"/>
      </w:pPr>
      <w:r>
        <w:rPr>
          <w:b/>
        </w:rPr>
        <w:t>Ler a transcrição da reunião pedida.</w:t>
      </w:r>
      <w:r>
        <w:t xml:space="preserve"> Peça por data (</w:t>
      </w:r>
      <w:r>
        <w:rPr>
          <w:rFonts w:ascii="Consolas" w:hAnsi="Consolas"/>
          <w:color w:val="B03060"/>
          <w:sz w:val="19"/>
        </w:rPr>
        <w:t>a LT de 21/08</w:t>
      </w:r>
      <w:r>
        <w:t>) — a busca é semântica e não ordena por recência, então "a última" pode trazer a errada</w:t>
      </w:r>
    </w:p>
    <w:p>
      <w:pPr>
        <w:pStyle w:val="ListNumber"/>
      </w:pPr>
      <w:r>
        <w:rPr>
          <w:b/>
        </w:rPr>
        <w:t>Listar os projetos citados.</w:t>
      </w:r>
      <w:r>
        <w:t xml:space="preserve"> Para cada um, resolver o ID e ler o DevOps ao vivo — nunca comparar contra memória</w:t>
      </w:r>
    </w:p>
    <w:p>
      <w:pPr>
        <w:pStyle w:val="ListNumber"/>
      </w:pPr>
      <w:r>
        <w:rPr>
          <w:b/>
        </w:rPr>
        <w:t>Confrontar campo a campo</w:t>
      </w:r>
      <w:r>
        <w:t>, só o que é verificável</w:t>
      </w:r>
    </w:p>
    <w:p>
      <w:pPr>
        <w:pStyle w:val="ListNumber"/>
      </w:pPr>
      <w:r>
        <w:rPr>
          <w:b/>
        </w:rPr>
        <w:t>Classificar cada achado</w:t>
      </w:r>
      <w:r>
        <w:t xml:space="preserve"> com um dos três vereditos</w:t>
      </w:r>
    </w:p>
    <w:p>
      <w:pPr>
        <w:pStyle w:val="ListNumber"/>
      </w:pPr>
      <w:r>
        <w:rPr>
          <w:b/>
        </w:rPr>
        <w:t>Fechar com recomendação</w:t>
      </w:r>
      <w:r>
        <w:t>, uma por divergência, com responsável</w:t>
      </w:r>
    </w:p>
    <w:p>
      <w:pPr>
        <w:pStyle w:val="Heading3"/>
      </w:pPr>
      <w:r>
        <w:t>Os três vereditos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Veredito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Quando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 que fazer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🔴 </w:t>
            </w:r>
            <w:r>
              <w:rPr>
                <w:rFonts w:ascii="Consolas" w:hAnsi="Consolas"/>
                <w:color w:val="B03060"/>
                <w:sz w:val="19"/>
              </w:rPr>
              <w:t>desatualizado</w:t>
            </w:r>
          </w:p>
        </w:tc>
        <w:tc>
          <w:tcPr>
            <w:tcW w:type="dxa" w:w="2880"/>
          </w:tcPr>
          <w:p>
            <w:r/>
            <w:r>
              <w:t>a reunião afirma um valor e o sistema mostra outro</w:t>
            </w:r>
          </w:p>
        </w:tc>
        <w:tc>
          <w:tcPr>
            <w:tcW w:type="dxa" w:w="2880"/>
          </w:tcPr>
          <w:p>
            <w:r/>
            <w:r>
              <w:t>atualizar o campo, ou perguntar a quem sabe qual está certo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🟡 </w:t>
            </w:r>
            <w:r>
              <w:rPr>
                <w:rFonts w:ascii="Consolas" w:hAnsi="Consolas"/>
                <w:color w:val="B03060"/>
                <w:sz w:val="19"/>
              </w:rPr>
              <w:t>faltando</w:t>
            </w:r>
          </w:p>
        </w:tc>
        <w:tc>
          <w:tcPr>
            <w:tcW w:type="dxa" w:w="2880"/>
          </w:tcPr>
          <w:p>
            <w:r/>
            <w:r>
              <w:t>a reunião tem o dado e o sistema não tem nada</w:t>
            </w:r>
          </w:p>
        </w:tc>
        <w:tc>
          <w:tcPr>
            <w:tcW w:type="dxa" w:w="2880"/>
          </w:tcPr>
          <w:p>
            <w:r/>
            <w:r>
              <w:t>preencher o campo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🟢 </w:t>
            </w:r>
            <w:r>
              <w:rPr>
                <w:rFonts w:ascii="Consolas" w:hAnsi="Consolas"/>
                <w:color w:val="B03060"/>
                <w:sz w:val="19"/>
              </w:rPr>
              <w:t>confere</w:t>
            </w:r>
          </w:p>
        </w:tc>
        <w:tc>
          <w:tcPr>
            <w:tcW w:type="dxa" w:w="2880"/>
          </w:tcPr>
          <w:p>
            <w:r/>
            <w:r>
              <w:t>os dois batem</w:t>
            </w:r>
          </w:p>
        </w:tc>
        <w:tc>
          <w:tcPr>
            <w:tcW w:type="dxa" w:w="2880"/>
          </w:tcPr>
          <w:p>
            <w:r/>
            <w:r>
              <w:t>nada — mas registrar dá confiança no resto da tabela</w:t>
            </w:r>
          </w:p>
        </w:tc>
      </w:tr>
    </w:tbl>
    <w:p/>
    <w:p>
      <w:pPr>
        <w:pStyle w:val="Heading3"/>
      </w:pPr>
      <w:r>
        <w:t>O formato de saída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Projeto (id)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 reunião disse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 DevOps mostra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Veredito</w:t>
            </w:r>
          </w:p>
        </w:tc>
      </w:tr>
      <w:tr>
        <w:tc>
          <w:tcPr>
            <w:tcW w:type="dxa" w:w="2160"/>
          </w:tcPr>
          <w:p>
            <w:r/>
            <w:r>
              <w:t>Horizon 2 (1284)</w:t>
            </w:r>
          </w:p>
        </w:tc>
        <w:tc>
          <w:tcPr>
            <w:tcW w:type="dxa" w:w="2160"/>
          </w:tcPr>
          <w:p>
            <w:r/>
            <w:r>
              <w:t>go-live empurrado para outubro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GoLive Date</w:t>
            </w:r>
            <w:r>
              <w:t xml:space="preserve"> = 15/08</w:t>
            </w:r>
          </w:p>
        </w:tc>
        <w:tc>
          <w:tcPr>
            <w:tcW w:type="dxa" w:w="2160"/>
          </w:tcPr>
          <w:p>
            <w:r/>
            <w:r>
              <w:t>🔴 desatualizado</w:t>
            </w:r>
          </w:p>
        </w:tc>
      </w:tr>
      <w:tr>
        <w:tc>
          <w:tcPr>
            <w:tcW w:type="dxa" w:w="2160"/>
          </w:tcPr>
          <w:p>
            <w:r/>
            <w:r>
              <w:t>Atlas Rollout (1301)</w:t>
            </w:r>
          </w:p>
        </w:tc>
        <w:tc>
          <w:tcPr>
            <w:tcW w:type="dxa" w:w="2160"/>
          </w:tcPr>
          <w:p>
            <w:r/>
            <w:r>
              <w:t>orçamento aprovado em €400k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Project IT Budget</w:t>
            </w:r>
            <w:r>
              <w:t xml:space="preserve"> vazio</w:t>
            </w:r>
          </w:p>
        </w:tc>
        <w:tc>
          <w:tcPr>
            <w:tcW w:type="dxa" w:w="2160"/>
          </w:tcPr>
          <w:p>
            <w:r/>
            <w:r>
              <w:t>🟡 faltando</w:t>
            </w:r>
          </w:p>
        </w:tc>
      </w:tr>
      <w:tr>
        <w:tc>
          <w:tcPr>
            <w:tcW w:type="dxa" w:w="2160"/>
          </w:tcPr>
          <w:p>
            <w:r/>
            <w:r>
              <w:t>Pulse (1277)</w:t>
            </w:r>
          </w:p>
        </w:tc>
        <w:tc>
          <w:tcPr>
            <w:tcW w:type="dxa" w:w="2160"/>
          </w:tcPr>
          <w:p>
            <w:r/>
            <w:r>
              <w:t>entra em UAT em setembro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State</w:t>
            </w:r>
            <w:r>
              <w:t xml:space="preserve"> = </w:t>
            </w:r>
            <w:r>
              <w:rPr>
                <w:rFonts w:ascii="Consolas" w:hAnsi="Consolas"/>
                <w:color w:val="B03060"/>
                <w:sz w:val="19"/>
              </w:rPr>
              <w:t>07 Design Build</w:t>
            </w:r>
          </w:p>
        </w:tc>
        <w:tc>
          <w:tcPr>
            <w:tcW w:type="dxa" w:w="2160"/>
          </w:tcPr>
          <w:p>
            <w:r/>
            <w:r>
              <w:t>🟢 confere</w:t>
            </w:r>
          </w:p>
        </w:tc>
      </w:tr>
    </w:tbl>
    <w:p/>
    <w:p>
      <w:pPr>
        <w:pStyle w:val="Heading3"/>
      </w:pPr>
      <w:r>
        <w:t>Exemplo trabalhado</w:t>
      </w:r>
    </w:p>
    <w:p>
      <w:pPr>
        <w:pStyle w:val="IntenseQuote"/>
      </w:pPr>
      <w:r>
        <w:rPr>
          <w:b/>
        </w:rPr>
        <w:t>❌ Fraca</w:t>
      </w:r>
    </w:p>
    <w:p>
      <w:pPr>
        <w:pStyle w:val="IntenseQuote"/>
      </w:pPr>
      <w:r>
        <w:t>"Na LT de 21/08 falaram sobre o Horizon 2, o Atlas e o Pulse. O gestor comentou que o Horizon 2 vai atrasar. O Atlas teve o orçamento aprovado. Recomendo revisar os três no DevOps."</w:t>
      </w:r>
    </w:p>
    <w:p>
      <w:r>
        <w:t xml:space="preserve">Três problemas: </w:t>
      </w:r>
      <w:r>
        <w:rPr>
          <w:b/>
        </w:rPr>
        <w:t>atribui fala a uma pessoa</w:t>
      </w:r>
      <w:r>
        <w:t xml:space="preserve"> (a transcrição não permite), resume a reunião em vez de confrontá-la com o sistema, e a recomendação — "revisar os três" — não diz o que está errado nem quem resolve.</w:t>
      </w:r>
    </w:p>
    <w:p>
      <w:pPr>
        <w:pStyle w:val="IntenseQuote"/>
      </w:pPr>
      <w:r>
        <w:rPr>
          <w:b/>
        </w:rPr>
        <w:t>✅ Forte</w:t>
      </w:r>
    </w:p>
    <w:p>
      <w:pPr>
        <w:pStyle w:val="IntenseQuote"/>
      </w:pPr>
      <w:r>
        <w:t>"</w:t>
      </w:r>
      <w:r>
        <w:rPr>
          <w:b/>
        </w:rPr>
        <w:t>LT de 21/08 — 3 projetos citados, 2 divergem do DevOps.</w:t>
      </w:r>
    </w:p>
    <w:p>
      <w:pPr>
        <w:pStyle w:val="IntenseQuote"/>
      </w:pPr>
      <w:r>
        <w:t>| Projeto (id) | A reunião disse | O DevOps mostra | Veredito |</w:t>
      </w:r>
    </w:p>
    <w:p>
      <w:pPr>
        <w:pStyle w:val="IntenseQuote"/>
      </w:pPr>
      <w:r>
        <w:t>|---|---|---|---|</w:t>
      </w:r>
    </w:p>
    <w:p>
      <w:pPr>
        <w:pStyle w:val="IntenseQuote"/>
      </w:pPr>
      <w:r>
        <w:t xml:space="preserve">| Horizon 2 (1284) | go-live empurrado para outubro | </w:t>
      </w:r>
      <w:r>
        <w:rPr>
          <w:rFonts w:ascii="Consolas" w:hAnsi="Consolas"/>
          <w:color w:val="B03060"/>
          <w:sz w:val="19"/>
        </w:rPr>
        <w:t>GoLive Date</w:t>
      </w:r>
      <w:r>
        <w:t xml:space="preserve"> = 15/08 | 🔴 desatualizado |</w:t>
      </w:r>
    </w:p>
    <w:p>
      <w:pPr>
        <w:pStyle w:val="IntenseQuote"/>
      </w:pPr>
      <w:r>
        <w:t xml:space="preserve">| Atlas Rollout (1301) | orçamento aprovado em €400k | </w:t>
      </w:r>
      <w:r>
        <w:rPr>
          <w:rFonts w:ascii="Consolas" w:hAnsi="Consolas"/>
          <w:color w:val="B03060"/>
          <w:sz w:val="19"/>
        </w:rPr>
        <w:t>Project IT Budget</w:t>
      </w:r>
      <w:r>
        <w:t xml:space="preserve"> vazio | 🟡 faltando |</w:t>
      </w:r>
    </w:p>
    <w:p>
      <w:pPr>
        <w:pStyle w:val="IntenseQuote"/>
      </w:pPr>
      <w:r>
        <w:t xml:space="preserve">| Pulse (1277) | entra em UAT em setembro | </w:t>
      </w:r>
      <w:r>
        <w:rPr>
          <w:rFonts w:ascii="Consolas" w:hAnsi="Consolas"/>
          <w:color w:val="B03060"/>
          <w:sz w:val="19"/>
        </w:rPr>
        <w:t>State</w:t>
      </w:r>
      <w:r>
        <w:t xml:space="preserve"> = </w:t>
      </w:r>
      <w:r>
        <w:rPr>
          <w:rFonts w:ascii="Consolas" w:hAnsi="Consolas"/>
          <w:color w:val="B03060"/>
          <w:sz w:val="19"/>
        </w:rPr>
        <w:t>07 Design Build</w:t>
      </w:r>
      <w:r>
        <w:t xml:space="preserve"> | 🟢 confere |</w:t>
      </w:r>
    </w:p>
    <w:p>
      <w:pPr>
        <w:pStyle w:val="IntenseQuote"/>
      </w:pPr>
      <w:r>
        <w:rPr>
          <w:b/>
        </w:rPr>
        <w:t>O que isso custa:</w:t>
      </w:r>
      <w:r>
        <w:t xml:space="preserve"> o Horizon 2 aparece hoje no Power BI com go-live vencido — ou seja, está contando como watermelon num relatório que a liderança lê. Não é erro de execução, é campo desatualizado.</w:t>
      </w:r>
    </w:p>
    <w:p>
      <w:pPr>
        <w:pStyle w:val="IntenseQuote"/>
      </w:pPr>
      <w:r>
        <w:rPr>
          <w:b/>
        </w:rPr>
        <w:t>🎯 Recomendado:</w:t>
      </w:r>
    </w:p>
    <w:p>
      <w:pPr>
        <w:pStyle w:val="IntenseQuote"/>
      </w:pPr>
      <w:r>
        <w:t xml:space="preserve">1. Horizon 2 (1284) — atualizar </w:t>
      </w:r>
      <w:r>
        <w:rPr>
          <w:rFonts w:ascii="Consolas" w:hAnsi="Consolas"/>
          <w:color w:val="B03060"/>
          <w:sz w:val="19"/>
        </w:rPr>
        <w:t>GoLive Date</w:t>
      </w:r>
      <w:r>
        <w:t xml:space="preserve"> para a data de outubro que a reunião registrou. Posso fazer agora, mostro o de → para antes.</w:t>
      </w:r>
    </w:p>
    <w:p>
      <w:pPr>
        <w:pStyle w:val="IntenseQuote"/>
      </w:pPr>
      <w:r>
        <w:t>2. Atlas Rollout (1301) — o valor está na reunião mas não no sistema. Confirmo os €400k com [gestor] antes de escrever? Posso mandar a mensagem.</w:t>
      </w:r>
    </w:p>
    <w:p>
      <w:pPr>
        <w:pStyle w:val="IntenseQuote"/>
      </w:pPr>
      <w:r>
        <w:t>Quer que eu te mande esse pendente no Teams, com os links?"</w:t>
      </w:r>
    </w:p>
    <w:p>
      <w:r>
        <w:t xml:space="preserve">O que a versão forte faz e a fraca não: </w:t>
      </w:r>
      <w:r>
        <w:rPr>
          <w:b/>
        </w:rPr>
        <w:t>separa o que é verificável do que é conversa</w:t>
      </w:r>
      <w:r>
        <w:t xml:space="preserve">, mostra a consequência do campo desatualizado em vez de só apontar o erro, propõe ação com responsável, e </w:t>
      </w:r>
      <w:r>
        <w:rPr>
          <w:b/>
        </w:rPr>
        <w:t>não coloca palavra na boca de ninguém</w:t>
      </w:r>
      <w:r>
        <w:t>.</w:t>
      </w:r>
    </w:p>
    <w:p>
      <w:pPr>
        <w:pStyle w:val="Heading3"/>
      </w:pPr>
      <w:r>
        <w:t>O fecho no Teams</w:t>
      </w:r>
    </w:p>
    <w:p>
      <w:r>
        <w:t>Ao final, ofereça mandar ao usuário um resumo das pendências no Teams — a lista dos projetos a atualizar com os links diretos. Serve como lembrete que sobrevive ao fim da conversa. Vale a mesma regra de sempre: mostra o rascunho, e só manda depois de um sim explícito.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