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8A6D1F"/>
          <w:sz w:val="24"/>
          <w:szCs w:val="24"/>
        </w:rPr>
        <w:t xml:space="preserve">REVIEW 2 — SPEAKER'S GUIDE</w:t>
      </w:r>
    </w:p>
    <w:p>
      <w:pPr>
        <w:spacing w:after="300"/>
        <w:jc w:val="center"/>
      </w:pPr>
      <w:r>
        <w:rPr>
          <w:b/>
          <w:bCs/>
          <w:color w:val="14213D"/>
          <w:sz w:val="44"/>
          <w:szCs w:val="44"/>
        </w:rPr>
        <w:t xml:space="preserve">Real-Time Behavioral Threat Detection for Trading Systems</w:t>
      </w:r>
    </w:p>
    <w:p>
      <w:pPr>
        <w:spacing w:after="100"/>
        <w:jc w:val="center"/>
      </w:pPr>
      <w:r>
        <w:rPr>
          <w:i/>
          <w:iCs/>
          <w:color w:val="4A5568"/>
          <w:sz w:val="24"/>
          <w:szCs w:val="24"/>
        </w:rPr>
        <w:t xml:space="preserve">A detailed, slide-by-slide explanation of the project, the research behind it, and answers to likely panel questions</w:t>
      </w:r>
    </w:p>
    <w:p>
      <w:pPr>
        <w:spacing w:after="100" w:before="800"/>
        <w:jc w:val="center"/>
      </w:pPr>
      <w:r>
        <w:rPr>
          <w:color w:val="4A5568"/>
          <w:sz w:val="20"/>
          <w:szCs w:val="20"/>
        </w:rPr>
        <w:t xml:space="preserve">Team: Ankit V · Tusya S · Vishal Basker   |   Guide: Dr. Karmel A</w:t>
      </w:r>
    </w:p>
    <w:p>
      <w:pPr>
        <w:spacing w:after="100"/>
        <w:jc w:val="center"/>
      </w:pPr>
      <w:r>
        <w:rPr>
          <w:color w:val="4A5568"/>
          <w:sz w:val="20"/>
          <w:szCs w:val="20"/>
        </w:rPr>
        <w:t xml:space="preserve">SCOPE School, VIT Chennai  ·  IDP Review 2  ·  September 21–25, 2026</w:t>
      </w:r>
    </w:p>
    <w:p>
      <w:r>
        <w:br w:type="page"/>
      </w:r>
    </w:p>
    <w:p>
      <w:pPr>
        <w:pStyle w:val="Heading1"/>
        <w:spacing w:after="200" w:before="400"/>
      </w:pPr>
      <w:r>
        <w:rPr>
          <w:b/>
          <w:bCs/>
          <w:color w:val="14213D"/>
          <w:sz w:val="32"/>
          <w:szCs w:val="32"/>
        </w:rPr>
        <w:t xml:space="preserve">How to use this document</w:t>
      </w:r>
    </w:p>
    <w:p>
      <w:pPr>
        <w:spacing w:after="160" w:line="300"/>
      </w:pPr>
      <w:r>
        <w:rPr>
          <w:b w:val="false"/>
          <w:bCs w:val="false"/>
          <w:i w:val="false"/>
          <w:iCs w:val="false"/>
          <w:color w:val="1A1A1A"/>
          <w:sz w:val="22"/>
          <w:szCs w:val="22"/>
        </w:rPr>
        <w:t xml:space="preserve">This is not the presentation — it is the explanation behind the presentation. Each major section below matches one slide in the deck, in the same order, and answers the questions a panel is likely to ask about it: what the slide says, why we chose it, what evidence backs it, and what to say if pushed further.</w:t>
      </w:r>
    </w:p>
    <w:p>
      <w:pPr>
        <w:spacing w:after="160" w:line="300"/>
      </w:pPr>
      <w:r>
        <w:rPr>
          <w:b w:val="false"/>
          <w:bCs w:val="false"/>
          <w:i w:val="false"/>
          <w:iCs w:val="false"/>
          <w:color w:val="1A1A1A"/>
          <w:sz w:val="22"/>
          <w:szCs w:val="22"/>
        </w:rPr>
        <w:t xml:space="preserve">Read this fully before the review so nothing on a slide needs improvising. If a Q&amp;A question maps to a slide, the matching section here has the full reasoning ready.</w:t>
      </w:r>
    </w:p>
    <w:p>
      <w:pPr>
        <w:pBdr>
          <w:bottom w:val="single" w:color="CCCCCC" w:sz="6" w:space="1"/>
        </w:pBdr>
        <w:spacing w:after="300" w:before="100"/>
      </w:pPr>
    </w:p>
    <w:p>
      <w:pPr>
        <w:pStyle w:val="Heading1"/>
        <w:spacing w:after="200" w:before="400"/>
      </w:pPr>
      <w:r>
        <w:rPr>
          <w:b/>
          <w:bCs/>
          <w:color w:val="14213D"/>
          <w:sz w:val="32"/>
          <w:szCs w:val="32"/>
        </w:rPr>
        <w:t xml:space="preserve">Project at a glance</w:t>
      </w:r>
    </w:p>
    <w:p>
      <w:pPr>
        <w:spacing w:after="160" w:line="300"/>
      </w:pPr>
      <w:r>
        <w:rPr>
          <w:b w:val="false"/>
          <w:bCs w:val="false"/>
          <w:i w:val="false"/>
          <w:iCs w:val="false"/>
          <w:color w:val="1A1A1A"/>
          <w:sz w:val="22"/>
          <w:szCs w:val="22"/>
        </w:rPr>
        <w:t xml:space="preserve">Real-Time Behavioral Threat Detection for Trading Systems is a UEBA-style (User and Entity Behavior Analytics) platform for a simulated Indian retail trading system. It learns each account's own normal behavior — typical order sizes, typical login times, typical device/IP, typical API request rate — and flags meaningful deviation from that learned baseline with an explainable 0–100 risk score, rather than a black-box "fraud / not fraud" label.</w:t>
      </w:r>
    </w:p>
    <w:p>
      <w:pPr>
        <w:spacing w:after="160" w:line="300"/>
      </w:pPr>
      <w:r>
        <w:rPr>
          <w:b w:val="false"/>
          <w:bCs w:val="false"/>
          <w:i w:val="false"/>
          <w:iCs w:val="false"/>
          <w:color w:val="1A1A1A"/>
          <w:sz w:val="22"/>
          <w:szCs w:val="22"/>
        </w:rPr>
        <w:t xml:space="preserve">It is explicitly not a price-prediction or market-manipulation-pattern tool. Market-surveillance research studies price and order-book patterns across the whole market; this project studies one account's behavior against its own history.</w:t>
      </w:r>
    </w:p>
    <w:p>
      <w:pPr>
        <w:pStyle w:val="Heading3"/>
        <w:spacing w:after="100" w:before="220"/>
      </w:pPr>
      <w:r>
        <w:rPr>
          <w:b/>
          <w:bCs/>
          <w:color w:val="8A6D1F"/>
          <w:sz w:val="22"/>
          <w:szCs w:val="22"/>
        </w:rPr>
        <w:t xml:space="preserve">Where the project stands today (as of Sep 20, 2026)</w:t>
      </w:r>
    </w:p>
    <w:p>
      <w:pPr>
        <w:pStyle w:val="ListParagraph"/>
        <w:numPr>
          <w:ilvl w:val="0"/>
          <w:numId w:val="2"/>
        </w:numPr>
        <w:spacing w:after="90" w:line="280"/>
      </w:pPr>
      <w:r>
        <w:rPr>
          <w:sz w:val="22"/>
          <w:szCs w:val="22"/>
        </w:rPr>
        <w:t xml:space="preserve">Full backend pipeline built and working end-to-end: synthetic event generator → rolling statistical feature extractor → z-score anomaly detector → FastAPI /score endpoint.</w:t>
      </w:r>
    </w:p>
    <w:p>
      <w:pPr>
        <w:pStyle w:val="ListParagraph"/>
        <w:numPr>
          <w:ilvl w:val="0"/>
          <w:numId w:val="2"/>
        </w:numPr>
        <w:spacing w:after="90" w:line="280"/>
      </w:pPr>
      <w:r>
        <w:rPr>
          <w:sz w:val="22"/>
          <w:szCs w:val="22"/>
        </w:rPr>
        <w:t xml:space="preserve">37 automated tests passing across all four layers (ingestion, features, detection, API).</w:t>
      </w:r>
    </w:p>
    <w:p>
      <w:pPr>
        <w:pStyle w:val="ListParagraph"/>
        <w:numPr>
          <w:ilvl w:val="0"/>
          <w:numId w:val="2"/>
        </w:numPr>
        <w:spacing w:after="90" w:line="280"/>
      </w:pPr>
      <w:r>
        <w:rPr>
          <w:sz w:val="22"/>
          <w:szCs w:val="22"/>
        </w:rPr>
        <w:t xml:space="preserve">Verified live via manual smoke testing, not just unit tests — this caught two real bugs the unit tests alone missed (details in the Results section below).</w:t>
      </w:r>
    </w:p>
    <w:p>
      <w:pPr>
        <w:pStyle w:val="ListParagraph"/>
        <w:numPr>
          <w:ilvl w:val="0"/>
          <w:numId w:val="2"/>
        </w:numPr>
        <w:spacing w:after="90" w:line="280"/>
      </w:pPr>
      <w:r>
        <w:rPr>
          <w:sz w:val="22"/>
          <w:szCs w:val="22"/>
        </w:rPr>
        <w:t xml:space="preserve">Requirement analysis, system design, and literature survey are all written and cited (docs/REQUIREMENTS.md, docs/DESIGN.md, docs/LITERATURE_SURVEY.md, DECISIONS.md in the project repository).</w:t>
      </w:r>
    </w:p>
    <w:p>
      <w:pPr>
        <w:pStyle w:val="ListParagraph"/>
        <w:numPr>
          <w:ilvl w:val="0"/>
          <w:numId w:val="2"/>
        </w:numPr>
        <w:spacing w:after="90" w:line="280"/>
      </w:pPr>
      <w:r>
        <w:rPr>
          <w:sz w:val="22"/>
          <w:szCs w:val="22"/>
        </w:rPr>
        <w:t xml:space="preserve">Not yet built: the Isolation Forest ML layer, a formal evaluation harness (measured precision/recall/FP-rate), and the analyst dashboard/UI — all explicitly scoped for later reviews, confirmed against the official rubric as not required at Review 2, not gaps in this one.</w:t>
      </w:r>
    </w:p>
    <w:p>
      <w:pPr>
        <w:pBdr>
          <w:bottom w:val="single" w:color="CCCCCC" w:sz="6" w:space="1"/>
        </w:pBdr>
        <w:spacing w:after="300" w:before="100"/>
      </w:pPr>
    </w:p>
    <w:p>
      <w:pPr>
        <w:pStyle w:val="Heading1"/>
        <w:spacing w:after="200" w:before="400"/>
      </w:pPr>
      <w:r>
        <w:rPr>
          <w:b/>
          <w:bCs/>
          <w:color w:val="14213D"/>
          <w:sz w:val="32"/>
          <w:szCs w:val="32"/>
        </w:rPr>
        <w:t xml:space="preserve">Slide 1 — Title</w:t>
      </w:r>
    </w:p>
    <w:p>
      <w:pPr>
        <w:spacing w:after="160" w:line="300"/>
      </w:pPr>
      <w:r>
        <w:rPr>
          <w:b w:val="false"/>
          <w:bCs w:val="false"/>
          <w:i w:val="false"/>
          <w:iCs w:val="false"/>
          <w:color w:val="1A1A1A"/>
          <w:sz w:val="22"/>
          <w:szCs w:val="22"/>
        </w:rPr>
        <w:t xml:space="preserve">States the project title, the three team members with registration numbers, and the guide, Dr. Karmel A. Straightforward — its only job is to frame everything that follows and to make clear this is a supervised academic project, not an independent one.</w:t>
      </w:r>
    </w:p>
    <w:p>
      <w:pPr>
        <w:pStyle w:val="Heading3"/>
        <w:spacing w:after="100" w:before="220"/>
      </w:pPr>
      <w:r>
        <w:rPr>
          <w:b/>
          <w:bCs/>
          <w:color w:val="8A6D1F"/>
          <w:sz w:val="22"/>
          <w:szCs w:val="22"/>
        </w:rPr>
        <w:t xml:space="preserve">If asked: "What is this project in one sentence?"</w:t>
      </w:r>
    </w:p>
    <w:p>
      <w:pPr>
        <w:spacing w:after="160" w:line="300"/>
      </w:pPr>
      <w:r>
        <w:rPr>
          <w:b w:val="false"/>
          <w:bCs w:val="false"/>
          <w:i w:val="false"/>
          <w:iCs w:val="false"/>
          <w:color w:val="1A1A1A"/>
          <w:sz w:val="22"/>
          <w:szCs w:val="22"/>
        </w:rPr>
        <w:t xml:space="preserve">"We're building a system that learns how each trading account normally behaves, and raises an explainable alert when an account starts behaving like it's been taken over, abused via API, or driven by a trading bot — rather than relying only on password checks."</w:t>
      </w:r>
    </w:p>
    <w:p>
      <w:pPr>
        <w:pBdr>
          <w:bottom w:val="single" w:color="CCCCCC" w:sz="6" w:space="1"/>
        </w:pBdr>
        <w:spacing w:after="300" w:before="100"/>
      </w:pPr>
    </w:p>
    <w:p>
      <w:pPr>
        <w:pStyle w:val="Heading1"/>
        <w:spacing w:after="200" w:before="400"/>
      </w:pPr>
      <w:r>
        <w:rPr>
          <w:b/>
          <w:bCs/>
          <w:color w:val="14213D"/>
          <w:sz w:val="32"/>
          <w:szCs w:val="32"/>
        </w:rPr>
        <w:t xml:space="preserve">Slide 2 — Agenda</w:t>
      </w:r>
    </w:p>
    <w:p>
      <w:pPr>
        <w:spacing w:after="160" w:line="300"/>
      </w:pPr>
      <w:r>
        <w:rPr>
          <w:b w:val="false"/>
          <w:bCs w:val="false"/>
          <w:i w:val="false"/>
          <w:iCs w:val="false"/>
          <w:color w:val="1A1A1A"/>
          <w:sz w:val="22"/>
          <w:szCs w:val="22"/>
        </w:rPr>
        <w:t xml:space="preserve">Lays out the six sections of the talk: Introduction, Literature Survey, Challenges &amp; Research Gap, Objectives, Methodology &amp; Architecture, and Results/Initial Implementation. This maps directly onto the four graded criteria in the SCOPE School Review-II rubric, so the panel can see at a glance which slides answer which criterion.</w:t>
      </w:r>
    </w:p>
    <w:p>
      <w:pPr>
        <w:pBdr>
          <w:bottom w:val="single" w:color="CCCCCC" w:sz="6" w:space="1"/>
        </w:pBdr>
        <w:spacing w:after="300" w:before="100"/>
      </w:pPr>
    </w:p>
    <w:p>
      <w:pPr>
        <w:pStyle w:val="Heading1"/>
        <w:spacing w:after="200" w:before="400"/>
      </w:pPr>
      <w:r>
        <w:rPr>
          <w:b/>
          <w:bCs/>
          <w:color w:val="14213D"/>
          <w:sz w:val="32"/>
          <w:szCs w:val="32"/>
        </w:rPr>
        <w:t xml:space="preserve">Slide 3 — Introduction</w:t>
      </w:r>
    </w:p>
    <w:p>
      <w:pPr>
        <w:pStyle w:val="Heading3"/>
        <w:spacing w:after="100" w:before="220"/>
      </w:pPr>
      <w:r>
        <w:rPr>
          <w:b/>
          <w:bCs/>
          <w:color w:val="8A6D1F"/>
          <w:sz w:val="22"/>
          <w:szCs w:val="22"/>
        </w:rPr>
        <w:t xml:space="preserve">What it says</w:t>
      </w:r>
    </w:p>
    <w:p>
      <w:pPr>
        <w:spacing w:after="160" w:line="300"/>
      </w:pPr>
      <w:r>
        <w:rPr>
          <w:b w:val="false"/>
          <w:bCs w:val="false"/>
          <w:i w:val="false"/>
          <w:iCs w:val="false"/>
          <w:color w:val="1A1A1A"/>
          <w:sz w:val="22"/>
          <w:szCs w:val="22"/>
        </w:rPr>
        <w:t xml:space="preserve">An attacker holding a stolen but valid password passes every authentication check, yet behaves nothing like the real account owner once inside — different device, different hours, different order sizes. Traditional login security cannot catch this because it only checks identity, not behavior.</w:t>
      </w:r>
    </w:p>
    <w:p>
      <w:pPr>
        <w:spacing w:after="160" w:line="300"/>
      </w:pPr>
      <w:r>
        <w:rPr>
          <w:b w:val="false"/>
          <w:bCs w:val="false"/>
          <w:i w:val="false"/>
          <w:iCs w:val="false"/>
          <w:color w:val="1A1A1A"/>
          <w:sz w:val="22"/>
          <w:szCs w:val="22"/>
        </w:rPr>
        <w:t xml:space="preserve">This is the founding premise of UEBA: build a behavioral baseline per account/entity, and alert on deviation from it. It's a well-established, mature approach in enterprise and insider-threat security, but — as our literature survey found — it has not been applied, in published research, to individual trading accounts specifically.</w:t>
      </w:r>
    </w:p>
    <w:p>
      <w:pPr>
        <w:spacing w:after="160" w:line="300"/>
      </w:pPr>
      <w:r>
        <w:rPr>
          <w:b w:val="false"/>
          <w:bCs w:val="false"/>
          <w:i w:val="false"/>
          <w:iCs w:val="false"/>
          <w:color w:val="1A1A1A"/>
          <w:sz w:val="22"/>
          <w:szCs w:val="22"/>
        </w:rPr>
        <w:t xml:space="preserve">Separately, financial market-surveillance research is its own large, mature field, but it detects manipulation by looking at price and order-book patterns (spoofing, layering, pump-and-dump) across the market — not by modeling one account's individual behavior.</w:t>
      </w:r>
    </w:p>
    <w:p>
      <w:pPr>
        <w:pStyle w:val="Heading3"/>
        <w:spacing w:after="100" w:before="220"/>
      </w:pPr>
      <w:r>
        <w:rPr>
          <w:b/>
          <w:bCs/>
          <w:color w:val="8A6D1F"/>
          <w:sz w:val="22"/>
          <w:szCs w:val="22"/>
        </w:rPr>
        <w:t xml:space="preserve">Why we start here</w:t>
      </w:r>
    </w:p>
    <w:p>
      <w:pPr>
        <w:spacing w:after="160" w:line="300"/>
      </w:pPr>
      <w:r>
        <w:rPr>
          <w:b w:val="false"/>
          <w:bCs w:val="false"/>
          <w:i w:val="false"/>
          <w:iCs w:val="false"/>
          <w:color w:val="1A1A1A"/>
          <w:sz w:val="22"/>
          <w:szCs w:val="22"/>
        </w:rPr>
        <w:t xml:space="preserve">This slide exists to justify the whole project before describing it: the problem (credential theft/abuse defeats password-only security) is real and well documented, and the proposed fix (behavioral baselining) is not a novel invention on our part — it's borrowed from a field where it already works, and applied somewhere it hasn't been tried yet.</w:t>
      </w:r>
    </w:p>
    <w:p>
      <w:pPr>
        <w:pStyle w:val="Heading3"/>
        <w:spacing w:after="100" w:before="220"/>
      </w:pPr>
      <w:r>
        <w:rPr>
          <w:b/>
          <w:bCs/>
          <w:color w:val="8A6D1F"/>
          <w:sz w:val="22"/>
          <w:szCs w:val="22"/>
        </w:rPr>
        <w:t xml:space="preserve">Likely question: "Isn't this just fraud detection? What's different?"</w:t>
      </w:r>
    </w:p>
    <w:p>
      <w:pPr>
        <w:spacing w:after="160" w:line="300"/>
      </w:pPr>
      <w:r>
        <w:rPr>
          <w:b w:val="false"/>
          <w:bCs w:val="false"/>
          <w:i w:val="false"/>
          <w:iCs w:val="false"/>
          <w:color w:val="1A1A1A"/>
          <w:sz w:val="22"/>
          <w:szCs w:val="22"/>
        </w:rPr>
        <w:t xml:space="preserve">Traditional fraud/fraud-rule systems often use fixed rules ("flag any order above ₹X") that are the same for every account. Ours is per-account: what counts as anomalous for one trader (a ₹50,000 order) may be completely normal for another. The baseline is learned per account, not set globally.</w:t>
      </w:r>
    </w:p>
    <w:p>
      <w:pPr>
        <w:pBdr>
          <w:bottom w:val="single" w:color="CCCCCC" w:sz="6" w:space="1"/>
        </w:pBdr>
        <w:spacing w:after="300" w:before="100"/>
      </w:pPr>
    </w:p>
    <w:p>
      <w:pPr>
        <w:pStyle w:val="Heading1"/>
        <w:spacing w:after="200" w:before="400"/>
      </w:pPr>
      <w:r>
        <w:rPr>
          <w:b/>
          <w:bCs/>
          <w:color w:val="14213D"/>
          <w:sz w:val="32"/>
          <w:szCs w:val="32"/>
        </w:rPr>
        <w:t xml:space="preserve">Slide 4 — Literature Survey</w:t>
      </w:r>
    </w:p>
    <w:p>
      <w:pPr>
        <w:spacing w:after="160" w:line="300"/>
      </w:pPr>
      <w:r>
        <w:rPr>
          <w:b w:val="false"/>
          <w:bCs w:val="false"/>
          <w:i w:val="false"/>
          <w:iCs w:val="false"/>
          <w:color w:val="1A1A1A"/>
          <w:sz w:val="22"/>
          <w:szCs w:val="22"/>
        </w:rPr>
        <w:t xml:space="preserve">Two literatures were reviewed because our approach borrows a method from one field and applies it to the domain of the other.</w:t>
      </w:r>
    </w:p>
    <w:p>
      <w:pPr>
        <w:pStyle w:val="Heading2"/>
        <w:spacing w:after="150" w:before="320"/>
      </w:pPr>
      <w:r>
        <w:rPr>
          <w:b/>
          <w:bCs/>
          <w:color w:val="14213D"/>
          <w:sz w:val="26"/>
          <w:szCs w:val="26"/>
        </w:rPr>
        <w:t xml:space="preserve">Pillar 1 — Market manipulation / trading surveillance literature</w:t>
      </w:r>
    </w:p>
    <w:p>
      <w:pPr>
        <w:pStyle w:val="Heading3"/>
        <w:spacing w:after="100" w:before="220"/>
      </w:pPr>
      <w:r>
        <w:rPr>
          <w:b/>
          <w:bCs/>
          <w:color w:val="8A6D1F"/>
          <w:sz w:val="22"/>
          <w:szCs w:val="22"/>
        </w:rPr>
        <w:t xml:space="preserve">Khodabandehlou &amp; Hashemi Golpayegani (2022) — Expert Systems with Applications</w:t>
      </w:r>
    </w:p>
    <w:p>
      <w:pPr>
        <w:spacing w:after="160" w:line="300"/>
      </w:pPr>
      <w:r>
        <w:rPr>
          <w:b w:val="false"/>
          <w:bCs w:val="false"/>
          <w:i w:val="false"/>
          <w:iCs w:val="false"/>
          <w:color w:val="1A1A1A"/>
          <w:sz w:val="22"/>
          <w:szCs w:val="22"/>
        </w:rPr>
        <w:t xml:space="preserve">A systematic literature review of 52 trade-based manipulation detection studies published between 2010 and 2020. It found the field concentrates almost entirely on detecting patterns in price, volume, and order-book data — spoofing and pre-arranged/collusive manipulation are well studied, while roughly 12 other manipulation types (layering, churning, pinging, etc.) remain largely unstudied. Crucially for us: not a single study reviewed frames manipulation detection as per-account behavioral deviation. Every method operates on market-level or order-level data, never on a model of "what does this specific account normally do."</w:t>
      </w:r>
    </w:p>
    <w:p>
      <w:pPr>
        <w:pStyle w:val="Heading3"/>
        <w:spacing w:after="100" w:before="220"/>
      </w:pPr>
      <w:r>
        <w:rPr>
          <w:b/>
          <w:bCs/>
          <w:color w:val="8A6D1F"/>
          <w:sz w:val="22"/>
          <w:szCs w:val="22"/>
        </w:rPr>
        <w:t xml:space="preserve">Zulkifley, Munir, Abd Sukor &amp; Mohd Shafiai (2023) — Computers, Materials &amp; Continua</w:t>
      </w:r>
    </w:p>
    <w:p>
      <w:pPr>
        <w:spacing w:after="160" w:line="300"/>
      </w:pPr>
      <w:r>
        <w:rPr>
          <w:b w:val="false"/>
          <w:bCs w:val="false"/>
          <w:i w:val="false"/>
          <w:iCs w:val="false"/>
          <w:color w:val="1A1A1A"/>
          <w:sz w:val="22"/>
          <w:szCs w:val="22"/>
        </w:rPr>
        <w:t xml:space="preserve">A survey specifically on AI-based stock market manipulation detectors. It confirms Indian markets are an active research subject — multiple studies analyze the Bombay Stock Exchange, and pump-and-dump is explicitly named as a common manipulation tactic in the Indian stock market. But, like the first paper, every Indian-market study surveyed operates at the price/volume level, never the account level. It also flags a methodological problem directly relevant to our own design: no publicly available benchmark dataset exists for this research area — which is exactly why our own decision to use synthetic, ground-truth-labeled data (see Slide 5 and the Methodology section) is a deliberate, literature-supported choice rather than a shortcut.</w:t>
      </w:r>
    </w:p>
    <w:p>
      <w:pPr>
        <w:pStyle w:val="Heading2"/>
        <w:spacing w:after="150" w:before="320"/>
      </w:pPr>
      <w:r>
        <w:rPr>
          <w:b/>
          <w:bCs/>
          <w:color w:val="14213D"/>
          <w:sz w:val="26"/>
          <w:szCs w:val="26"/>
        </w:rPr>
        <w:t xml:space="preserve">Pillar 2 — Behavioral analytics / insider-threat literature</w:t>
      </w:r>
    </w:p>
    <w:p>
      <w:pPr>
        <w:spacing w:after="160" w:line="300"/>
      </w:pPr>
      <w:r>
        <w:rPr>
          <w:b w:val="false"/>
          <w:bCs w:val="false"/>
          <w:i w:val="false"/>
          <w:iCs w:val="false"/>
          <w:color w:val="1A1A1A"/>
          <w:sz w:val="22"/>
          <w:szCs w:val="22"/>
        </w:rPr>
        <w:t xml:space="preserve">The UEBA paradigm — per-account/entity behavioral baseline, alert on deviation — is the standard formulation across enterprise insider-threat research. A 2023 study, "Insider Threat Detection Using Machine Learning Approach" (Applied Sciences), documents Isolation Forest's role as the unsupervised method of choice for this kind of behavioral anomaly scoring, reporting real measured performance of 91% precision/recall/F1 on the CERT insider-threat dataset — the closest published analogue to our own data shape (per-account, behavioral, moderately imbalanced). This is a mature, well-cited approach — but it has been developed and evaluated almost entirely in enterprise IT security contexts (file access, login behavior, data exfiltration), not in trading platforms specifically.</w:t>
      </w:r>
    </w:p>
    <w:p>
      <w:pPr>
        <w:pStyle w:val="Heading3"/>
        <w:spacing w:after="100" w:before="220"/>
      </w:pPr>
      <w:r>
        <w:rPr>
          <w:b/>
          <w:bCs/>
          <w:color w:val="8A6D1F"/>
          <w:sz w:val="22"/>
          <w:szCs w:val="22"/>
        </w:rPr>
        <w:t xml:space="preserve">Why these four papers specifically, and not others</w:t>
      </w:r>
    </w:p>
    <w:p>
      <w:pPr>
        <w:spacing w:after="160" w:line="300"/>
      </w:pPr>
      <w:r>
        <w:rPr>
          <w:b w:val="false"/>
          <w:bCs w:val="false"/>
          <w:i w:val="false"/>
          <w:iCs w:val="false"/>
          <w:color w:val="1A1A1A"/>
          <w:sz w:val="22"/>
          <w:szCs w:val="22"/>
        </w:rPr>
        <w:t xml:space="preserve">We needed one pair of papers to establish the state of the art in trading-specific detection (to show what's missing) and one to establish the state of the art in the behavioral-baselining method itself (to show what we're borrowing and that it's credible). We chose the most recent, most comprehensive systematic reviews we could find in each area — a systematic review surveys dozens of underlying studies itself, so citing these two effectively summarizes the field rather than cherry-picking one paper's result.</w:t>
      </w:r>
    </w:p>
    <w:p>
      <w:pPr>
        <w:pStyle w:val="Heading3"/>
        <w:spacing w:after="100" w:before="220"/>
      </w:pPr>
      <w:r>
        <w:rPr>
          <w:b/>
          <w:bCs/>
          <w:color w:val="8A6D1F"/>
          <w:sz w:val="22"/>
          <w:szCs w:val="22"/>
        </w:rPr>
        <w:t xml:space="preserve">What we actually learned from reading them</w:t>
      </w:r>
    </w:p>
    <w:p>
      <w:pPr>
        <w:pStyle w:val="ListParagraph"/>
        <w:numPr>
          <w:ilvl w:val="0"/>
          <w:numId w:val="3"/>
        </w:numPr>
        <w:spacing w:after="90" w:line="280"/>
      </w:pPr>
      <w:r>
        <w:rPr>
          <w:sz w:val="22"/>
          <w:szCs w:val="22"/>
        </w:rPr>
        <w:t xml:space="preserve">The trading-surveillance field is mature but narrow: it only ever looks at price/order data, never account behavior. This told us precisely where the open space is.</w:t>
      </w:r>
    </w:p>
    <w:p>
      <w:pPr>
        <w:pStyle w:val="ListParagraph"/>
        <w:numPr>
          <w:ilvl w:val="0"/>
          <w:numId w:val="3"/>
        </w:numPr>
        <w:spacing w:after="90" w:line="280"/>
      </w:pPr>
      <w:r>
        <w:rPr>
          <w:sz w:val="22"/>
          <w:szCs w:val="22"/>
        </w:rPr>
        <w:t xml:space="preserve">There is no public labeled dataset for account-level trading-behavior anomalies — this directly justified our synthetic-data decision rather than us defaulting to it out of convenience.</w:t>
      </w:r>
    </w:p>
    <w:p>
      <w:pPr>
        <w:pStyle w:val="ListParagraph"/>
        <w:numPr>
          <w:ilvl w:val="0"/>
          <w:numId w:val="3"/>
        </w:numPr>
        <w:spacing w:after="90" w:line="280"/>
      </w:pPr>
      <w:r>
        <w:rPr>
          <w:sz w:val="22"/>
          <w:szCs w:val="22"/>
        </w:rPr>
        <w:t xml:space="preserve">Isolation Forest's real-world performance is highly dataset-dependent (we later found figures ranging from single-digit recall on adversarial network data to 91% on CERT-like data) — this told us not to promise a specific accuracy number without our own measurement, and shaped how NFR-1/NFR-2 in our requirements are worded (see Objectives section).</w:t>
      </w:r>
    </w:p>
    <w:p>
      <w:pPr>
        <w:pStyle w:val="ListParagraph"/>
        <w:numPr>
          <w:ilvl w:val="0"/>
          <w:numId w:val="3"/>
        </w:numPr>
        <w:spacing w:after="90" w:line="280"/>
      </w:pPr>
      <w:r>
        <w:rPr>
          <w:sz w:val="22"/>
          <w:szCs w:val="22"/>
        </w:rPr>
        <w:t xml:space="preserve">The UEBA method itself is not something we invented — it's borrowed, deliberately, because it's well-validated elsewhere. Our contribution is the application, not the algorithm.</w:t>
      </w:r>
    </w:p>
    <w:p>
      <w:pPr>
        <w:pBdr>
          <w:bottom w:val="single" w:color="CCCCCC" w:sz="6" w:space="1"/>
        </w:pBdr>
        <w:spacing w:after="300" w:before="100"/>
      </w:pPr>
    </w:p>
    <w:p>
      <w:pPr>
        <w:pStyle w:val="Heading1"/>
        <w:spacing w:after="200" w:before="400"/>
      </w:pPr>
      <w:r>
        <w:rPr>
          <w:b/>
          <w:bCs/>
          <w:color w:val="14213D"/>
          <w:sz w:val="32"/>
          <w:szCs w:val="32"/>
        </w:rPr>
        <w:t xml:space="preserve">Slide 5 — Challenges &amp; Research Gap</w:t>
      </w:r>
    </w:p>
    <w:p>
      <w:pPr>
        <w:pStyle w:val="Heading3"/>
        <w:spacing w:after="100" w:before="220"/>
      </w:pPr>
      <w:r>
        <w:rPr>
          <w:b/>
          <w:bCs/>
          <w:color w:val="8A6D1F"/>
          <w:sz w:val="22"/>
          <w:szCs w:val="22"/>
        </w:rPr>
        <w:t xml:space="preserve">The gap, stated precisely</w:t>
      </w:r>
    </w:p>
    <w:p>
      <w:pPr>
        <w:spacing w:after="160" w:line="300"/>
      </w:pPr>
      <w:r>
        <w:rPr>
          <w:b w:val="false"/>
          <w:bCs w:val="false"/>
          <w:i w:val="false"/>
          <w:iCs w:val="false"/>
          <w:color w:val="1A1A1A"/>
          <w:sz w:val="22"/>
          <w:szCs w:val="22"/>
        </w:rPr>
        <w:t xml:space="preserve">Market-surveillance research studies Indian and other markets extensively, but exclusively through price/order-book pattern detection. Behavioral-analytics research has a mature, well-validated per-account baselining methodology, but has not been applied to trading account behavior. Neither literature currently studies whether a trading account's own behavior looks like an account takeover, API abuse, or automated-trading attack, independent of whether the resulting trades look like market manipulation. That combination — UEBA-style per-account behavioral detection, applied specifically to a trading platform, with an Indian-retail-market framing — is the gap this project addresses.</w:t>
      </w:r>
    </w:p>
    <w:p>
      <w:pPr>
        <w:pStyle w:val="Heading3"/>
        <w:spacing w:after="100" w:before="220"/>
      </w:pPr>
      <w:r>
        <w:rPr>
          <w:b/>
          <w:bCs/>
          <w:color w:val="8A6D1F"/>
          <w:sz w:val="22"/>
          <w:szCs w:val="22"/>
        </w:rPr>
        <w:t xml:space="preserve">Concrete challenges this creates, and how we're addressing each</w:t>
      </w:r>
    </w:p>
    <w:p>
      <w:pPr>
        <w:pStyle w:val="Heading3"/>
        <w:spacing w:after="100" w:before="220"/>
      </w:pPr>
      <w:r>
        <w:rPr>
          <w:b/>
          <w:bCs/>
          <w:color w:val="8A6D1F"/>
          <w:sz w:val="22"/>
          <w:szCs w:val="22"/>
        </w:rPr>
        <w:t xml:space="preserve">1. No benchmark dataset</w:t>
      </w:r>
    </w:p>
    <w:p>
      <w:pPr>
        <w:spacing w:after="160" w:line="300"/>
      </w:pPr>
      <w:r>
        <w:rPr>
          <w:b w:val="false"/>
          <w:bCs w:val="false"/>
          <w:i w:val="false"/>
          <w:iCs w:val="false"/>
          <w:color w:val="1A1A1A"/>
          <w:sz w:val="22"/>
          <w:szCs w:val="22"/>
        </w:rPr>
        <w:t xml:space="preserve">Addressed via synthetic, ground-truth-labeled data generation, following the same methodology the CERT insider-threat dataset itself used, for the identical reason: no real labeled ground truth of "this was fraud" exists to train or evaluate against. Glasser &amp; Lindauer (2013) document exactly this rationale for CERT.</w:t>
      </w:r>
    </w:p>
    <w:p>
      <w:pPr>
        <w:pStyle w:val="Heading3"/>
        <w:spacing w:after="100" w:before="220"/>
      </w:pPr>
      <w:r>
        <w:rPr>
          <w:b/>
          <w:bCs/>
          <w:color w:val="8A6D1F"/>
          <w:sz w:val="22"/>
          <w:szCs w:val="22"/>
        </w:rPr>
        <w:t xml:space="preserve">2. Cross-domain method transfer risk</w:t>
      </w:r>
    </w:p>
    <w:p>
      <w:pPr>
        <w:spacing w:after="160" w:line="300"/>
      </w:pPr>
      <w:r>
        <w:rPr>
          <w:b w:val="false"/>
          <w:bCs w:val="false"/>
          <w:i w:val="false"/>
          <w:iCs w:val="false"/>
          <w:color w:val="1A1A1A"/>
          <w:sz w:val="22"/>
          <w:szCs w:val="22"/>
        </w:rPr>
        <w:t xml:space="preserve">Isolation Forest and rolling z-score baselining are validated in enterprise security contexts, not trading platforms. Our planned evaluation phase (measuring real precision/recall against our labeled synthetic data) exists specifically to test whether that transfer holds, rather than assuming it does.</w:t>
      </w:r>
    </w:p>
    <w:p>
      <w:pPr>
        <w:pStyle w:val="Heading3"/>
        <w:spacing w:after="100" w:before="220"/>
      </w:pPr>
      <w:r>
        <w:rPr>
          <w:b/>
          <w:bCs/>
          <w:color w:val="8A6D1F"/>
          <w:sz w:val="22"/>
          <w:szCs w:val="22"/>
        </w:rPr>
        <w:t xml:space="preserve">3. Positioning honestly</w:t>
      </w:r>
    </w:p>
    <w:p>
      <w:pPr>
        <w:spacing w:after="160" w:line="300"/>
      </w:pPr>
      <w:r>
        <w:rPr>
          <w:b w:val="false"/>
          <w:bCs w:val="false"/>
          <w:i w:val="false"/>
          <w:iCs w:val="false"/>
          <w:color w:val="1A1A1A"/>
          <w:sz w:val="22"/>
          <w:szCs w:val="22"/>
        </w:rPr>
        <w:t xml:space="preserve">We are not claiming a novel detection algorithm. The contribution is applying an established, well-cited method to an under-studied domain intersection, and committing to report real measured precision/recall/latency numbers rather than a claimed number.</w:t>
      </w:r>
    </w:p>
    <w:p>
      <w:pPr>
        <w:pStyle w:val="Heading3"/>
        <w:spacing w:after="100" w:before="220"/>
      </w:pPr>
      <w:r>
        <w:rPr>
          <w:b/>
          <w:bCs/>
          <w:color w:val="8A6D1F"/>
          <w:sz w:val="22"/>
          <w:szCs w:val="22"/>
        </w:rPr>
        <w:t xml:space="preserve">Likely question: "What's actually new here — isn't this just applying existing techniques?"</w:t>
      </w:r>
    </w:p>
    <w:p>
      <w:pPr>
        <w:spacing w:after="160" w:line="300"/>
      </w:pPr>
      <w:r>
        <w:rPr>
          <w:b w:val="false"/>
          <w:bCs w:val="false"/>
          <w:i w:val="false"/>
          <w:iCs w:val="false"/>
          <w:color w:val="1A1A1A"/>
          <w:sz w:val="22"/>
          <w:szCs w:val="22"/>
        </w:rPr>
        <w:t xml:space="preserve">Yes, deliberately. We are explicit that the novelty is the application to a new domain (Indian retail trading, account-level), not a new algorithm. This is a defensible, common form of contribution in applied research — and safer than inventing an unproven method for a 7-month student project. If pushed further: the honest answer is that the algorithmic core (z-score, Isolation Forest) is well-established; what's ours is the feature engineering (which behavioral signals matter for trading specifically — order size deviation, device/IP novelty, cancel-order timing variance) and the evaluation of whether these transfer.</w:t>
      </w:r>
    </w:p>
    <w:p>
      <w:pPr>
        <w:pBdr>
          <w:bottom w:val="single" w:color="CCCCCC" w:sz="6" w:space="1"/>
        </w:pBdr>
        <w:spacing w:after="300" w:before="100"/>
      </w:pPr>
    </w:p>
    <w:p>
      <w:pPr>
        <w:pStyle w:val="Heading1"/>
        <w:spacing w:after="200" w:before="400"/>
      </w:pPr>
      <w:r>
        <w:rPr>
          <w:b/>
          <w:bCs/>
          <w:color w:val="14213D"/>
          <w:sz w:val="32"/>
          <w:szCs w:val="32"/>
        </w:rPr>
        <w:t xml:space="preserve">Slide 6 — Project Objectives</w:t>
      </w:r>
    </w:p>
    <w:p>
      <w:pPr>
        <w:spacing w:after="160" w:line="300"/>
      </w:pPr>
      <w:r>
        <w:rPr>
          <w:b w:val="false"/>
          <w:bCs w:val="false"/>
          <w:i w:val="false"/>
          <w:iCs w:val="false"/>
          <w:color w:val="1A1A1A"/>
          <w:sz w:val="22"/>
          <w:szCs w:val="22"/>
        </w:rPr>
        <w:t xml:space="preserve">Restates the eight functional requirements (FR-1 through FR-8) from docs/REQUIREMENTS.md as a status table, honestly marking which are done and which are explicitly next-phase.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000"/>
      </w:tblGrid>
      <w:tr>
        <w:tc>
          <w:tcPr>
            <w:tcW w:type="dxa" w:w="1200"/>
            <w:shd w:fill="14213D" w:val="clear"/>
            <w:tcMar>
              <w:top w:type="dxa" w:w="100"/>
              <w:left w:type="dxa" w:w="120"/>
              <w:bottom w:type="dxa" w:w="100"/>
              <w:right w:type="dxa" w:w="120"/>
            </w:tcMar>
          </w:tcPr>
          <w:p>
            <w:r>
              <w:rPr>
                <w:b/>
                <w:bCs/>
                <w:color w:val="FFFFFF"/>
                <w:sz w:val="20"/>
                <w:szCs w:val="20"/>
              </w:rPr>
              <w:t xml:space="preserve">ID</w:t>
            </w:r>
          </w:p>
        </w:tc>
        <w:tc>
          <w:tcPr>
            <w:tcW w:type="dxa" w:w="5800"/>
            <w:shd w:fill="14213D" w:val="clear"/>
            <w:tcMar>
              <w:top w:type="dxa" w:w="100"/>
              <w:left w:type="dxa" w:w="120"/>
              <w:bottom w:type="dxa" w:w="100"/>
              <w:right w:type="dxa" w:w="120"/>
            </w:tcMar>
          </w:tcPr>
          <w:p>
            <w:r>
              <w:rPr>
                <w:b/>
                <w:bCs/>
                <w:color w:val="FFFFFF"/>
                <w:sz w:val="20"/>
                <w:szCs w:val="20"/>
              </w:rPr>
              <w:t xml:space="preserve">Objective</w:t>
            </w:r>
          </w:p>
        </w:tc>
        <w:tc>
          <w:tcPr>
            <w:tcW w:type="dxa" w:w="2000"/>
            <w:shd w:fill="14213D" w:val="clear"/>
            <w:tcMar>
              <w:top w:type="dxa" w:w="100"/>
              <w:left w:type="dxa" w:w="120"/>
              <w:bottom w:type="dxa" w:w="100"/>
              <w:right w:type="dxa" w:w="120"/>
            </w:tcMar>
          </w:tcPr>
          <w:p>
            <w:r>
              <w:rPr>
                <w:b/>
                <w:bCs/>
                <w:color w:val="FFFFFF"/>
                <w:sz w:val="20"/>
                <w:szCs w:val="20"/>
              </w:rPr>
              <w:t xml:space="preserve">Status</w:t>
            </w:r>
          </w:p>
        </w:tc>
      </w:tr>
      <w:tr>
        <w:tc>
          <w:tcPr>
            <w:tcW w:type="dxa" w:w="1200"/>
            <w:tcMar>
              <w:top w:type="dxa" w:w="100"/>
              <w:left w:type="dxa" w:w="120"/>
              <w:bottom w:type="dxa" w:w="100"/>
              <w:right w:type="dxa" w:w="120"/>
            </w:tcMar>
          </w:tcPr>
          <w:p>
            <w:r>
              <w:rPr>
                <w:b w:val="false"/>
                <w:bCs w:val="false"/>
                <w:color w:val="1A1A1A"/>
                <w:sz w:val="20"/>
                <w:szCs w:val="20"/>
              </w:rPr>
              <w:t xml:space="preserve">FR-1–3</w:t>
            </w:r>
          </w:p>
        </w:tc>
        <w:tc>
          <w:tcPr>
            <w:tcW w:type="dxa" w:w="5800"/>
            <w:tcMar>
              <w:top w:type="dxa" w:w="100"/>
              <w:left w:type="dxa" w:w="120"/>
              <w:bottom w:type="dxa" w:w="100"/>
              <w:right w:type="dxa" w:w="120"/>
            </w:tcMar>
          </w:tcPr>
          <w:p>
            <w:r>
              <w:rPr>
                <w:b w:val="false"/>
                <w:bCs w:val="false"/>
                <w:color w:val="1A1A1A"/>
                <w:sz w:val="20"/>
                <w:szCs w:val="20"/>
              </w:rPr>
              <w:t xml:space="preserve">Ingest events; maintain rolling per-account baseline; compute z-score anomaly score</w:t>
            </w:r>
          </w:p>
        </w:tc>
        <w:tc>
          <w:tcPr>
            <w:tcW w:type="dxa" w:w="2000"/>
            <w:tcMar>
              <w:top w:type="dxa" w:w="100"/>
              <w:left w:type="dxa" w:w="120"/>
              <w:bottom w:type="dxa" w:w="100"/>
              <w:right w:type="dxa" w:w="120"/>
            </w:tcMar>
          </w:tcPr>
          <w:p>
            <w:r>
              <w:rPr>
                <w:b w:val="false"/>
                <w:bCs w:val="false"/>
                <w:color w:val="1A1A1A"/>
                <w:sz w:val="20"/>
                <w:szCs w:val="20"/>
              </w:rPr>
              <w:t xml:space="preserve">Built, tested</w:t>
            </w:r>
          </w:p>
        </w:tc>
      </w:tr>
      <w:tr>
        <w:tc>
          <w:tcPr>
            <w:tcW w:type="dxa" w:w="1200"/>
            <w:shd w:fill="F3F4F1" w:val="clear"/>
            <w:tcMar>
              <w:top w:type="dxa" w:w="100"/>
              <w:left w:type="dxa" w:w="120"/>
              <w:bottom w:type="dxa" w:w="100"/>
              <w:right w:type="dxa" w:w="120"/>
            </w:tcMar>
          </w:tcPr>
          <w:p>
            <w:r>
              <w:rPr>
                <w:b w:val="false"/>
                <w:bCs w:val="false"/>
                <w:color w:val="1A1A1A"/>
                <w:sz w:val="20"/>
                <w:szCs w:val="20"/>
              </w:rPr>
              <w:t xml:space="preserve">FR-4</w:t>
            </w:r>
          </w:p>
        </w:tc>
        <w:tc>
          <w:tcPr>
            <w:tcW w:type="dxa" w:w="5800"/>
            <w:shd w:fill="F3F4F1" w:val="clear"/>
            <w:tcMar>
              <w:top w:type="dxa" w:w="100"/>
              <w:left w:type="dxa" w:w="120"/>
              <w:bottom w:type="dxa" w:w="100"/>
              <w:right w:type="dxa" w:w="120"/>
            </w:tcMar>
          </w:tcPr>
          <w:p>
            <w:r>
              <w:rPr>
                <w:b w:val="false"/>
                <w:bCs w:val="false"/>
                <w:color w:val="1A1A1A"/>
                <w:sz w:val="20"/>
                <w:szCs w:val="20"/>
              </w:rPr>
              <w:t xml:space="preserve">Add Isolation Forest as a second, unsupervised comparison layer</w:t>
            </w:r>
          </w:p>
        </w:tc>
        <w:tc>
          <w:tcPr>
            <w:tcW w:type="dxa" w:w="2000"/>
            <w:shd w:fill="F3F4F1" w:val="clear"/>
            <w:tcMar>
              <w:top w:type="dxa" w:w="100"/>
              <w:left w:type="dxa" w:w="120"/>
              <w:bottom w:type="dxa" w:w="100"/>
              <w:right w:type="dxa" w:w="120"/>
            </w:tcMar>
          </w:tcPr>
          <w:p>
            <w:r>
              <w:rPr>
                <w:b w:val="false"/>
                <w:bCs w:val="false"/>
                <w:color w:val="1A1A1A"/>
                <w:sz w:val="20"/>
                <w:szCs w:val="20"/>
              </w:rPr>
              <w:t xml:space="preserve">Planned, next phase</w:t>
            </w:r>
          </w:p>
        </w:tc>
      </w:tr>
      <w:tr>
        <w:tc>
          <w:tcPr>
            <w:tcW w:type="dxa" w:w="1200"/>
            <w:tcMar>
              <w:top w:type="dxa" w:w="100"/>
              <w:left w:type="dxa" w:w="120"/>
              <w:bottom w:type="dxa" w:w="100"/>
              <w:right w:type="dxa" w:w="120"/>
            </w:tcMar>
          </w:tcPr>
          <w:p>
            <w:r>
              <w:rPr>
                <w:b w:val="false"/>
                <w:bCs w:val="false"/>
                <w:color w:val="1A1A1A"/>
                <w:sz w:val="20"/>
                <w:szCs w:val="20"/>
              </w:rPr>
              <w:t xml:space="preserve">FR-5</w:t>
            </w:r>
          </w:p>
        </w:tc>
        <w:tc>
          <w:tcPr>
            <w:tcW w:type="dxa" w:w="5800"/>
            <w:tcMar>
              <w:top w:type="dxa" w:w="100"/>
              <w:left w:type="dxa" w:w="120"/>
              <w:bottom w:type="dxa" w:w="100"/>
              <w:right w:type="dxa" w:w="120"/>
            </w:tcMar>
          </w:tcPr>
          <w:p>
            <w:r>
              <w:rPr>
                <w:b w:val="false"/>
                <w:bCs w:val="false"/>
                <w:color w:val="1A1A1A"/>
                <w:sz w:val="20"/>
                <w:szCs w:val="20"/>
              </w:rPr>
              <w:t xml:space="preserve">Combine layers into one explainable 0–100 risk score with plain-English justification</w:t>
            </w:r>
          </w:p>
        </w:tc>
        <w:tc>
          <w:tcPr>
            <w:tcW w:type="dxa" w:w="2000"/>
            <w:tcMar>
              <w:top w:type="dxa" w:w="100"/>
              <w:left w:type="dxa" w:w="120"/>
              <w:bottom w:type="dxa" w:w="100"/>
              <w:right w:type="dxa" w:w="120"/>
            </w:tcMar>
          </w:tcPr>
          <w:p>
            <w:r>
              <w:rPr>
                <w:b w:val="false"/>
                <w:bCs w:val="false"/>
                <w:color w:val="1A1A1A"/>
                <w:sz w:val="20"/>
                <w:szCs w:val="20"/>
              </w:rPr>
              <w:t xml:space="preserve">Built, tested</w:t>
            </w:r>
          </w:p>
        </w:tc>
      </w:tr>
      <w:tr>
        <w:tc>
          <w:tcPr>
            <w:tcW w:type="dxa" w:w="1200"/>
            <w:shd w:fill="F3F4F1" w:val="clear"/>
            <w:tcMar>
              <w:top w:type="dxa" w:w="100"/>
              <w:left w:type="dxa" w:w="120"/>
              <w:bottom w:type="dxa" w:w="100"/>
              <w:right w:type="dxa" w:w="120"/>
            </w:tcMar>
          </w:tcPr>
          <w:p>
            <w:r>
              <w:rPr>
                <w:b w:val="false"/>
                <w:bCs w:val="false"/>
                <w:color w:val="1A1A1A"/>
                <w:sz w:val="20"/>
                <w:szCs w:val="20"/>
              </w:rPr>
              <w:t xml:space="preserve">FR-6</w:t>
            </w:r>
          </w:p>
        </w:tc>
        <w:tc>
          <w:tcPr>
            <w:tcW w:type="dxa" w:w="5800"/>
            <w:shd w:fill="F3F4F1" w:val="clear"/>
            <w:tcMar>
              <w:top w:type="dxa" w:w="100"/>
              <w:left w:type="dxa" w:w="120"/>
              <w:bottom w:type="dxa" w:w="100"/>
              <w:right w:type="dxa" w:w="120"/>
            </w:tcMar>
          </w:tcPr>
          <w:p>
            <w:r>
              <w:rPr>
                <w:b w:val="false"/>
                <w:bCs w:val="false"/>
                <w:color w:val="1A1A1A"/>
                <w:sz w:val="20"/>
                <w:szCs w:val="20"/>
              </w:rPr>
              <w:t xml:space="preserve">Expose results via an API consumable by an analyst dashboard</w:t>
            </w:r>
          </w:p>
        </w:tc>
        <w:tc>
          <w:tcPr>
            <w:tcW w:type="dxa" w:w="2000"/>
            <w:shd w:fill="F3F4F1" w:val="clear"/>
            <w:tcMar>
              <w:top w:type="dxa" w:w="100"/>
              <w:left w:type="dxa" w:w="120"/>
              <w:bottom w:type="dxa" w:w="100"/>
              <w:right w:type="dxa" w:w="120"/>
            </w:tcMar>
          </w:tcPr>
          <w:p>
            <w:r>
              <w:rPr>
                <w:b w:val="false"/>
                <w:bCs w:val="false"/>
                <w:color w:val="1A1A1A"/>
                <w:sz w:val="20"/>
                <w:szCs w:val="20"/>
              </w:rPr>
              <w:t xml:space="preserve">API built; dashboard deferred</w:t>
            </w:r>
          </w:p>
        </w:tc>
      </w:tr>
      <w:tr>
        <w:tc>
          <w:tcPr>
            <w:tcW w:type="dxa" w:w="1200"/>
            <w:tcMar>
              <w:top w:type="dxa" w:w="100"/>
              <w:left w:type="dxa" w:w="120"/>
              <w:bottom w:type="dxa" w:w="100"/>
              <w:right w:type="dxa" w:w="120"/>
            </w:tcMar>
          </w:tcPr>
          <w:p>
            <w:r>
              <w:rPr>
                <w:b w:val="false"/>
                <w:bCs w:val="false"/>
                <w:color w:val="1A1A1A"/>
                <w:sz w:val="20"/>
                <w:szCs w:val="20"/>
              </w:rPr>
              <w:t xml:space="preserve">FR-7</w:t>
            </w:r>
          </w:p>
        </w:tc>
        <w:tc>
          <w:tcPr>
            <w:tcW w:type="dxa" w:w="5800"/>
            <w:tcMar>
              <w:top w:type="dxa" w:w="100"/>
              <w:left w:type="dxa" w:w="120"/>
              <w:bottom w:type="dxa" w:w="100"/>
              <w:right w:type="dxa" w:w="120"/>
            </w:tcMar>
          </w:tcPr>
          <w:p>
            <w:r>
              <w:rPr>
                <w:b w:val="false"/>
                <w:bCs w:val="false"/>
                <w:color w:val="1A1A1A"/>
                <w:sz w:val="20"/>
                <w:szCs w:val="20"/>
              </w:rPr>
              <w:t xml:space="preserve">Detect account takeover, API abuse, automated trading</w:t>
            </w:r>
          </w:p>
        </w:tc>
        <w:tc>
          <w:tcPr>
            <w:tcW w:type="dxa" w:w="2000"/>
            <w:tcMar>
              <w:top w:type="dxa" w:w="100"/>
              <w:left w:type="dxa" w:w="120"/>
              <w:bottom w:type="dxa" w:w="100"/>
              <w:right w:type="dxa" w:w="120"/>
            </w:tcMar>
          </w:tcPr>
          <w:p>
            <w:r>
              <w:rPr>
                <w:b w:val="false"/>
                <w:bCs w:val="false"/>
                <w:color w:val="1A1A1A"/>
                <w:sz w:val="20"/>
                <w:szCs w:val="20"/>
              </w:rPr>
              <w:t xml:space="preserve">Built, tested</w:t>
            </w:r>
          </w:p>
        </w:tc>
      </w:tr>
      <w:tr>
        <w:tc>
          <w:tcPr>
            <w:tcW w:type="dxa" w:w="1200"/>
            <w:shd w:fill="F3F4F1" w:val="clear"/>
            <w:tcMar>
              <w:top w:type="dxa" w:w="100"/>
              <w:left w:type="dxa" w:w="120"/>
              <w:bottom w:type="dxa" w:w="100"/>
              <w:right w:type="dxa" w:w="120"/>
            </w:tcMar>
          </w:tcPr>
          <w:p>
            <w:r>
              <w:rPr>
                <w:b w:val="false"/>
                <w:bCs w:val="false"/>
                <w:color w:val="1A1A1A"/>
                <w:sz w:val="20"/>
                <w:szCs w:val="20"/>
              </w:rPr>
              <w:t xml:space="preserve">FR-8</w:t>
            </w:r>
          </w:p>
        </w:tc>
        <w:tc>
          <w:tcPr>
            <w:tcW w:type="dxa" w:w="5800"/>
            <w:shd w:fill="F3F4F1" w:val="clear"/>
            <w:tcMar>
              <w:top w:type="dxa" w:w="100"/>
              <w:left w:type="dxa" w:w="120"/>
              <w:bottom w:type="dxa" w:w="100"/>
              <w:right w:type="dxa" w:w="120"/>
            </w:tcMar>
          </w:tcPr>
          <w:p>
            <w:r>
              <w:rPr>
                <w:b w:val="false"/>
                <w:bCs w:val="false"/>
                <w:color w:val="1A1A1A"/>
                <w:sz w:val="20"/>
                <w:szCs w:val="20"/>
              </w:rPr>
              <w:t xml:space="preserve">Evaluate against synthetic ground-truth data never exposed to the detector</w:t>
            </w:r>
          </w:p>
        </w:tc>
        <w:tc>
          <w:tcPr>
            <w:tcW w:type="dxa" w:w="2000"/>
            <w:shd w:fill="F3F4F1" w:val="clear"/>
            <w:tcMar>
              <w:top w:type="dxa" w:w="100"/>
              <w:left w:type="dxa" w:w="120"/>
              <w:bottom w:type="dxa" w:w="100"/>
              <w:right w:type="dxa" w:w="120"/>
            </w:tcMar>
          </w:tcPr>
          <w:p>
            <w:r>
              <w:rPr>
                <w:b w:val="false"/>
                <w:bCs w:val="false"/>
                <w:color w:val="1A1A1A"/>
                <w:sz w:val="20"/>
                <w:szCs w:val="20"/>
              </w:rPr>
              <w:t xml:space="preserve">Generator built; harness next</w:t>
            </w:r>
          </w:p>
        </w:tc>
      </w:tr>
    </w:tbl>
    <w:p>
      <w:pPr>
        <w:spacing w:after="160" w:line="300"/>
      </w:pPr>
      <w:r>
        <w:rPr>
          <w:b w:val="false"/>
          <w:bCs w:val="false"/>
          <w:i w:val="false"/>
          <w:iCs w:val="false"/>
          <w:color w:val="1A1A1A"/>
          <w:sz w:val="22"/>
          <w:szCs w:val="22"/>
        </w:rPr>
        <w:t xml:space="preserve"/>
      </w:r>
    </w:p>
    <w:p>
      <w:pPr>
        <w:pStyle w:val="Heading3"/>
        <w:spacing w:after="100" w:before="220"/>
      </w:pPr>
      <w:r>
        <w:rPr>
          <w:b/>
          <w:bCs/>
          <w:color w:val="8A6D1F"/>
          <w:sz w:val="22"/>
          <w:szCs w:val="22"/>
        </w:rPr>
        <w:t xml:space="preserve">Why we're showing unfinished items on this slide instead of hiding them</w:t>
      </w:r>
    </w:p>
    <w:p>
      <w:pPr>
        <w:spacing w:after="160" w:line="300"/>
      </w:pPr>
      <w:r>
        <w:rPr>
          <w:b w:val="false"/>
          <w:bCs w:val="false"/>
          <w:i w:val="false"/>
          <w:iCs w:val="false"/>
          <w:color w:val="1A1A1A"/>
          <w:sz w:val="22"/>
          <w:szCs w:val="22"/>
        </w:rPr>
        <w:t xml:space="preserve">Review 2's own rubric asks for ~20% completion and honest requirement analysis, not a finished system. Presenting a status table that clearly shows what's done versus what's planned demonstrates scope discipline and is explicitly safer for Q&amp;A than a slide that implies everything is complete — a panel probing any claim we can't back up is worse than a panel seeing an honest roadmap.</w:t>
      </w:r>
    </w:p>
    <w:p>
      <w:pPr>
        <w:pStyle w:val="Heading3"/>
        <w:spacing w:after="100" w:before="220"/>
      </w:pPr>
      <w:r>
        <w:rPr>
          <w:b/>
          <w:bCs/>
          <w:color w:val="8A6D1F"/>
          <w:sz w:val="22"/>
          <w:szCs w:val="22"/>
        </w:rPr>
        <w:t xml:space="preserve">Likely question: "Why hasn't Isolation Forest been built yet if it's core to your design?"</w:t>
      </w:r>
    </w:p>
    <w:p>
      <w:pPr>
        <w:spacing w:after="160" w:line="300"/>
      </w:pPr>
      <w:r>
        <w:rPr>
          <w:b w:val="false"/>
          <w:bCs w:val="false"/>
          <w:i w:val="false"/>
          <w:iCs w:val="false"/>
          <w:color w:val="1A1A1A"/>
          <w:sz w:val="22"/>
          <w:szCs w:val="22"/>
        </w:rPr>
        <w:t xml:space="preserve">Two reasons, both deliberate. First, the statistical z-score layer needs no training data and can be verified by hand, so it was built first as an interpretable floor — this is a design decision documented in DECISIONS.md §4, not an oversight. Second, Review 2 explicitly asks for ~20% completion demonstrating feasibility, not a finished pipeline; building Isolation Forest without first validating the simpler layer would be premature complexity for this stage. It is scoped for the Review 2→3 window per docs/DESIGN.md.</w:t>
      </w:r>
    </w:p>
    <w:p>
      <w:pPr>
        <w:pBdr>
          <w:bottom w:val="single" w:color="CCCCCC" w:sz="6" w:space="1"/>
        </w:pBdr>
        <w:spacing w:after="300" w:before="100"/>
      </w:pPr>
    </w:p>
    <w:p>
      <w:pPr>
        <w:pStyle w:val="Heading1"/>
        <w:spacing w:after="200" w:before="400"/>
      </w:pPr>
      <w:r>
        <w:rPr>
          <w:b/>
          <w:bCs/>
          <w:color w:val="14213D"/>
          <w:sz w:val="32"/>
          <w:szCs w:val="32"/>
        </w:rPr>
        <w:t xml:space="preserve">Slide 7 — Proposed Methodology &amp; System Architecture</w:t>
      </w:r>
    </w:p>
    <w:p>
      <w:pPr>
        <w:pStyle w:val="Heading3"/>
        <w:spacing w:after="100" w:before="220"/>
      </w:pPr>
      <w:r>
        <w:rPr>
          <w:b/>
          <w:bCs/>
          <w:color w:val="8A6D1F"/>
          <w:sz w:val="22"/>
          <w:szCs w:val="22"/>
        </w:rPr>
        <w:t xml:space="preserve">The four-layer pipeline</w:t>
      </w:r>
    </w:p>
    <w:p>
      <w:pPr>
        <w:spacing w:after="160" w:line="300"/>
      </w:pPr>
      <w:r>
        <w:rPr>
          <w:b w:val="false"/>
          <w:bCs w:val="false"/>
          <w:i w:val="false"/>
          <w:iCs w:val="false"/>
          <w:color w:val="1A1A1A"/>
          <w:sz w:val="22"/>
          <w:szCs w:val="22"/>
        </w:rPr>
        <w:t xml:space="preserve">Ingestion → Feature Extraction → Detection → API, plus a future Analyst Dashboard. Each layer is a separate Python package behind an abstract interface (EventSource, FeatureExtractor, AnomalyDetector), so a layer's concrete implementation can be swapped without touching the others — for example, replacing the synthetic generator with a real market feed later only touches the ingestion package.</w:t>
      </w:r>
    </w:p>
    <w:p>
      <w:pPr>
        <w:pStyle w:val="Heading3"/>
        <w:spacing w:after="100" w:before="220"/>
      </w:pPr>
      <w:r>
        <w:rPr>
          <w:b/>
          <w:bCs/>
          <w:color w:val="8A6D1F"/>
          <w:sz w:val="22"/>
          <w:szCs w:val="22"/>
        </w:rPr>
        <w:t xml:space="preserve">Layer by layer — what it does and why it's built this way</w:t>
      </w:r>
    </w:p>
    <w:p>
      <w:pPr>
        <w:pStyle w:val="Heading3"/>
        <w:spacing w:after="100" w:before="220"/>
      </w:pPr>
      <w:r>
        <w:rPr>
          <w:b/>
          <w:bCs/>
          <w:color w:val="8A6D1F"/>
          <w:sz w:val="22"/>
          <w:szCs w:val="22"/>
        </w:rPr>
        <w:t xml:space="preserve">1. Ingestion (threat_detection.ingestion)</w:t>
      </w:r>
    </w:p>
    <w:p>
      <w:pPr>
        <w:spacing w:after="160" w:line="300"/>
      </w:pPr>
      <w:r>
        <w:rPr>
          <w:b w:val="false"/>
          <w:bCs w:val="false"/>
          <w:i w:val="false"/>
          <w:iCs w:val="false"/>
          <w:color w:val="1A1A1A"/>
          <w:sz w:val="22"/>
          <w:szCs w:val="22"/>
        </w:rPr>
        <w:t xml:space="preserve">A pluggable EventSource interface, currently implemented by a synthetic event generator that produces realistic trading events (LOGIN, ORDER, CANCEL_ORDER, API_REQUEST) for a population of simulated accounts, with three attack types (account takeover, API abuse, automated trading) planted with ground-truth labels (is_attack, attack_type) used only for evaluation — never fed to the detector, which would make the problem trivially easy and dishonest to evaluate.</w:t>
      </w:r>
    </w:p>
    <w:p>
      <w:pPr>
        <w:pStyle w:val="Heading3"/>
        <w:spacing w:after="100" w:before="220"/>
      </w:pPr>
      <w:r>
        <w:rPr>
          <w:b/>
          <w:bCs/>
          <w:color w:val="8A6D1F"/>
          <w:sz w:val="22"/>
          <w:szCs w:val="22"/>
        </w:rPr>
        <w:t xml:space="preserve">2. Feature Extraction (threat_detection.features)</w:t>
      </w:r>
    </w:p>
    <w:p>
      <w:pPr>
        <w:spacing w:after="160" w:line="300"/>
      </w:pPr>
      <w:r>
        <w:rPr>
          <w:b w:val="false"/>
          <w:bCs w:val="false"/>
          <w:i w:val="false"/>
          <w:iCs w:val="false"/>
          <w:color w:val="1A1A1A"/>
          <w:sz w:val="22"/>
          <w:szCs w:val="22"/>
        </w:rPr>
        <w:t xml:space="preserve">Maintains a rolling per-account behavioral baseline (mean and standard deviation of order size, login hour, API request rate, etc.) computed incrementally using Welford's online algorithm — a streaming method that updates mean/variance one event at a time without storing the account's full history, which matters for a system meant to run continuously in real time rather than recomputing from scratch.</w:t>
      </w:r>
    </w:p>
    <w:p>
      <w:pPr>
        <w:pStyle w:val="Heading3"/>
        <w:spacing w:after="100" w:before="220"/>
      </w:pPr>
      <w:r>
        <w:rPr>
          <w:b/>
          <w:bCs/>
          <w:color w:val="8A6D1F"/>
          <w:sz w:val="22"/>
          <w:szCs w:val="22"/>
        </w:rPr>
        <w:t xml:space="preserve">3. Detection (threat_detection.detection)</w:t>
      </w:r>
    </w:p>
    <w:p>
      <w:pPr>
        <w:spacing w:after="160" w:line="300"/>
      </w:pPr>
      <w:r>
        <w:rPr>
          <w:b w:val="false"/>
          <w:bCs w:val="false"/>
          <w:i w:val="false"/>
          <w:iCs w:val="false"/>
          <w:color w:val="1A1A1A"/>
          <w:sz w:val="22"/>
          <w:szCs w:val="22"/>
        </w:rPr>
        <w:t xml:space="preserve">Layer 1 (built): a rolling z-score anomaly detector. It converts each behavioral feature into a z-score (how many standard deviations from this account's own normal), combines several signals into a single 0–100 risk score using weighted rules, and attaches a plain-English explanation (e.g. "new device, new active hour, order size 3.4σ above baseline"). Layer 2 (planned): Isolation Forest, an unsupervised ML method that isolates anomalies by how few random partitions it takes to separate them from normal data — chosen because it needs no labeled fraud data, runs in linear time, and is the most-cited unsupervised anomaly method in this space (Liu, Ting &amp; Zhou, 2008).</w:t>
      </w:r>
    </w:p>
    <w:p>
      <w:pPr>
        <w:pStyle w:val="Heading3"/>
        <w:spacing w:after="100" w:before="220"/>
      </w:pPr>
      <w:r>
        <w:rPr>
          <w:b/>
          <w:bCs/>
          <w:color w:val="8A6D1F"/>
          <w:sz w:val="22"/>
          <w:szCs w:val="22"/>
        </w:rPr>
        <w:t xml:space="preserve">4. API (threat_detection.api, FastAPI)</w:t>
      </w:r>
    </w:p>
    <w:p>
      <w:pPr>
        <w:spacing w:after="160" w:line="300"/>
      </w:pPr>
      <w:r>
        <w:rPr>
          <w:b w:val="false"/>
          <w:bCs w:val="false"/>
          <w:i w:val="false"/>
          <w:iCs w:val="false"/>
          <w:color w:val="1A1A1A"/>
          <w:sz w:val="22"/>
          <w:szCs w:val="22"/>
        </w:rPr>
        <w:t xml:space="preserve">A POST /score endpoint wires the full pipeline together: an event goes in, features are extracted and combined with the account's persistent rolling state, and a JSON risk score with explanation comes out. FastAPI was chosen for async support, built-in request validation via Pydantic, and native WebSocket support for the future live dashboard feed.</w:t>
      </w:r>
    </w:p>
    <w:p>
      <w:pPr>
        <w:pStyle w:val="Heading3"/>
        <w:spacing w:after="100" w:before="220"/>
      </w:pPr>
      <w:r>
        <w:rPr>
          <w:b/>
          <w:bCs/>
          <w:color w:val="8A6D1F"/>
          <w:sz w:val="22"/>
          <w:szCs w:val="22"/>
        </w:rPr>
        <w:t xml:space="preserve">Why a modular monolith, not microservices</w:t>
      </w:r>
    </w:p>
    <w:p>
      <w:pPr>
        <w:spacing w:after="160" w:line="300"/>
      </w:pPr>
      <w:r>
        <w:rPr>
          <w:b w:val="false"/>
          <w:bCs w:val="false"/>
          <w:i w:val="false"/>
          <w:iCs w:val="false"/>
          <w:color w:val="1A1A1A"/>
          <w:sz w:val="22"/>
          <w:szCs w:val="22"/>
        </w:rPr>
        <w:t xml:space="preserve">No premature infrastructure. Each layer is already isolated behind an interface, which gives most of the benefit of microservices (independent development, testability, swappability) without the operational cost (network calls, deployment complexity, distributed debugging) that a 3-person student team on a 7-month timeline cannot justify. Services get extracted later only where a load test actually shows it's needed — an explicit engineering principle stated in DECISIONS.md §7.</w:t>
      </w:r>
    </w:p>
    <w:p>
      <w:pPr>
        <w:pStyle w:val="Heading3"/>
        <w:spacing w:after="100" w:before="220"/>
      </w:pPr>
      <w:r>
        <w:rPr>
          <w:b/>
          <w:bCs/>
          <w:color w:val="8A6D1F"/>
          <w:sz w:val="22"/>
          <w:szCs w:val="22"/>
        </w:rPr>
        <w:t xml:space="preserve">Tools used, and why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c>
          <w:tcPr>
            <w:tcW w:type="dxa" w:w="2400"/>
            <w:shd w:fill="14213D" w:val="clear"/>
            <w:tcMar>
              <w:top w:type="dxa" w:w="100"/>
              <w:left w:type="dxa" w:w="120"/>
              <w:bottom w:type="dxa" w:w="100"/>
              <w:right w:type="dxa" w:w="120"/>
            </w:tcMar>
          </w:tcPr>
          <w:p>
            <w:r>
              <w:rPr>
                <w:b/>
                <w:bCs/>
                <w:color w:val="FFFFFF"/>
                <w:sz w:val="20"/>
                <w:szCs w:val="20"/>
              </w:rPr>
              <w:t xml:space="preserve">Tool</w:t>
            </w:r>
          </w:p>
        </w:tc>
        <w:tc>
          <w:tcPr>
            <w:tcW w:type="dxa" w:w="2200"/>
            <w:shd w:fill="14213D" w:val="clear"/>
            <w:tcMar>
              <w:top w:type="dxa" w:w="100"/>
              <w:left w:type="dxa" w:w="120"/>
              <w:bottom w:type="dxa" w:w="100"/>
              <w:right w:type="dxa" w:w="120"/>
            </w:tcMar>
          </w:tcPr>
          <w:p>
            <w:r>
              <w:rPr>
                <w:b/>
                <w:bCs/>
                <w:color w:val="FFFFFF"/>
                <w:sz w:val="20"/>
                <w:szCs w:val="20"/>
              </w:rPr>
              <w:t xml:space="preserve">Role</w:t>
            </w:r>
          </w:p>
        </w:tc>
        <w:tc>
          <w:tcPr>
            <w:tcW w:type="dxa" w:w="4400"/>
            <w:shd w:fill="14213D" w:val="clear"/>
            <w:tcMar>
              <w:top w:type="dxa" w:w="100"/>
              <w:left w:type="dxa" w:w="120"/>
              <w:bottom w:type="dxa" w:w="100"/>
              <w:right w:type="dxa" w:w="120"/>
            </w:tcMar>
          </w:tcPr>
          <w:p>
            <w:r>
              <w:rPr>
                <w:b/>
                <w:bCs/>
                <w:color w:val="FFFFFF"/>
                <w:sz w:val="20"/>
                <w:szCs w:val="20"/>
              </w:rPr>
              <w:t xml:space="preserve">Why chosen</w:t>
            </w:r>
          </w:p>
        </w:tc>
      </w:tr>
      <w:tr>
        <w:tc>
          <w:tcPr>
            <w:tcW w:type="dxa" w:w="2400"/>
            <w:tcMar>
              <w:top w:type="dxa" w:w="100"/>
              <w:left w:type="dxa" w:w="120"/>
              <w:bottom w:type="dxa" w:w="100"/>
              <w:right w:type="dxa" w:w="120"/>
            </w:tcMar>
          </w:tcPr>
          <w:p>
            <w:r>
              <w:rPr>
                <w:b w:val="false"/>
                <w:bCs w:val="false"/>
                <w:color w:val="1A1A1A"/>
                <w:sz w:val="20"/>
                <w:szCs w:val="20"/>
              </w:rPr>
              <w:t xml:space="preserve">Python</w:t>
            </w:r>
          </w:p>
        </w:tc>
        <w:tc>
          <w:tcPr>
            <w:tcW w:type="dxa" w:w="2200"/>
            <w:tcMar>
              <w:top w:type="dxa" w:w="100"/>
              <w:left w:type="dxa" w:w="120"/>
              <w:bottom w:type="dxa" w:w="100"/>
              <w:right w:type="dxa" w:w="120"/>
            </w:tcMar>
          </w:tcPr>
          <w:p>
            <w:r>
              <w:rPr>
                <w:b w:val="false"/>
                <w:bCs w:val="false"/>
                <w:color w:val="1A1A1A"/>
                <w:sz w:val="20"/>
                <w:szCs w:val="20"/>
              </w:rPr>
              <w:t xml:space="preserve">Core language</w:t>
            </w:r>
          </w:p>
        </w:tc>
        <w:tc>
          <w:tcPr>
            <w:tcW w:type="dxa" w:w="4400"/>
            <w:tcMar>
              <w:top w:type="dxa" w:w="100"/>
              <w:left w:type="dxa" w:w="120"/>
              <w:bottom w:type="dxa" w:w="100"/>
              <w:right w:type="dxa" w:w="120"/>
            </w:tcMar>
          </w:tcPr>
          <w:p>
            <w:r>
              <w:rPr>
                <w:b w:val="false"/>
                <w:bCs w:val="false"/>
                <w:color w:val="1A1A1A"/>
                <w:sz w:val="20"/>
                <w:szCs w:val="20"/>
              </w:rPr>
              <w:t xml:space="preserve">Team familiarity; strong ML/data ecosystem (scikit-learn, numpy) for the planned Isolation Forest layer</w:t>
            </w:r>
          </w:p>
        </w:tc>
      </w:tr>
      <w:tr>
        <w:tc>
          <w:tcPr>
            <w:tcW w:type="dxa" w:w="2400"/>
            <w:shd w:fill="F3F4F1" w:val="clear"/>
            <w:tcMar>
              <w:top w:type="dxa" w:w="100"/>
              <w:left w:type="dxa" w:w="120"/>
              <w:bottom w:type="dxa" w:w="100"/>
              <w:right w:type="dxa" w:w="120"/>
            </w:tcMar>
          </w:tcPr>
          <w:p>
            <w:r>
              <w:rPr>
                <w:b w:val="false"/>
                <w:bCs w:val="false"/>
                <w:color w:val="1A1A1A"/>
                <w:sz w:val="20"/>
                <w:szCs w:val="20"/>
              </w:rPr>
              <w:t xml:space="preserve">FastAPI + Pydantic</w:t>
            </w:r>
          </w:p>
        </w:tc>
        <w:tc>
          <w:tcPr>
            <w:tcW w:type="dxa" w:w="2200"/>
            <w:shd w:fill="F3F4F1" w:val="clear"/>
            <w:tcMar>
              <w:top w:type="dxa" w:w="100"/>
              <w:left w:type="dxa" w:w="120"/>
              <w:bottom w:type="dxa" w:w="100"/>
              <w:right w:type="dxa" w:w="120"/>
            </w:tcMar>
          </w:tcPr>
          <w:p>
            <w:r>
              <w:rPr>
                <w:b w:val="false"/>
                <w:bCs w:val="false"/>
                <w:color w:val="1A1A1A"/>
                <w:sz w:val="20"/>
                <w:szCs w:val="20"/>
              </w:rPr>
              <w:t xml:space="preserve">API framework</w:t>
            </w:r>
          </w:p>
        </w:tc>
        <w:tc>
          <w:tcPr>
            <w:tcW w:type="dxa" w:w="4400"/>
            <w:shd w:fill="F3F4F1" w:val="clear"/>
            <w:tcMar>
              <w:top w:type="dxa" w:w="100"/>
              <w:left w:type="dxa" w:w="120"/>
              <w:bottom w:type="dxa" w:w="100"/>
              <w:right w:type="dxa" w:w="120"/>
            </w:tcMar>
          </w:tcPr>
          <w:p>
            <w:r>
              <w:rPr>
                <w:b w:val="false"/>
                <w:bCs w:val="false"/>
                <w:color w:val="1A1A1A"/>
                <w:sz w:val="20"/>
                <w:szCs w:val="20"/>
              </w:rPr>
              <w:t xml:space="preserve">Async support, automatic request validation, native WebSocket support for the future dashboard</w:t>
            </w:r>
          </w:p>
        </w:tc>
      </w:tr>
      <w:tr>
        <w:tc>
          <w:tcPr>
            <w:tcW w:type="dxa" w:w="2400"/>
            <w:tcMar>
              <w:top w:type="dxa" w:w="100"/>
              <w:left w:type="dxa" w:w="120"/>
              <w:bottom w:type="dxa" w:w="100"/>
              <w:right w:type="dxa" w:w="120"/>
            </w:tcMar>
          </w:tcPr>
          <w:p>
            <w:r>
              <w:rPr>
                <w:b w:val="false"/>
                <w:bCs w:val="false"/>
                <w:color w:val="1A1A1A"/>
                <w:sz w:val="20"/>
                <w:szCs w:val="20"/>
              </w:rPr>
              <w:t xml:space="preserve">pytest</w:t>
            </w:r>
          </w:p>
        </w:tc>
        <w:tc>
          <w:tcPr>
            <w:tcW w:type="dxa" w:w="2200"/>
            <w:tcMar>
              <w:top w:type="dxa" w:w="100"/>
              <w:left w:type="dxa" w:w="120"/>
              <w:bottom w:type="dxa" w:w="100"/>
              <w:right w:type="dxa" w:w="120"/>
            </w:tcMar>
          </w:tcPr>
          <w:p>
            <w:r>
              <w:rPr>
                <w:b w:val="false"/>
                <w:bCs w:val="false"/>
                <w:color w:val="1A1A1A"/>
                <w:sz w:val="20"/>
                <w:szCs w:val="20"/>
              </w:rPr>
              <w:t xml:space="preserve">Testing</w:t>
            </w:r>
          </w:p>
        </w:tc>
        <w:tc>
          <w:tcPr>
            <w:tcW w:type="dxa" w:w="4400"/>
            <w:tcMar>
              <w:top w:type="dxa" w:w="100"/>
              <w:left w:type="dxa" w:w="120"/>
              <w:bottom w:type="dxa" w:w="100"/>
              <w:right w:type="dxa" w:w="120"/>
            </w:tcMar>
          </w:tcPr>
          <w:p>
            <w:r>
              <w:rPr>
                <w:b w:val="false"/>
                <w:bCs w:val="false"/>
                <w:color w:val="1A1A1A"/>
                <w:sz w:val="20"/>
                <w:szCs w:val="20"/>
              </w:rPr>
              <w:t xml:space="preserve">Standard Python test framework; 37 tests currently passing across all layers</w:t>
            </w:r>
          </w:p>
        </w:tc>
      </w:tr>
      <w:tr>
        <w:tc>
          <w:tcPr>
            <w:tcW w:type="dxa" w:w="2400"/>
            <w:shd w:fill="F3F4F1" w:val="clear"/>
            <w:tcMar>
              <w:top w:type="dxa" w:w="100"/>
              <w:left w:type="dxa" w:w="120"/>
              <w:bottom w:type="dxa" w:w="100"/>
              <w:right w:type="dxa" w:w="120"/>
            </w:tcMar>
          </w:tcPr>
          <w:p>
            <w:r>
              <w:rPr>
                <w:b w:val="false"/>
                <w:bCs w:val="false"/>
                <w:color w:val="1A1A1A"/>
                <w:sz w:val="20"/>
                <w:szCs w:val="20"/>
              </w:rPr>
              <w:t xml:space="preserve">Docker</w:t>
            </w:r>
          </w:p>
        </w:tc>
        <w:tc>
          <w:tcPr>
            <w:tcW w:type="dxa" w:w="2200"/>
            <w:shd w:fill="F3F4F1" w:val="clear"/>
            <w:tcMar>
              <w:top w:type="dxa" w:w="100"/>
              <w:left w:type="dxa" w:w="120"/>
              <w:bottom w:type="dxa" w:w="100"/>
              <w:right w:type="dxa" w:w="120"/>
            </w:tcMar>
          </w:tcPr>
          <w:p>
            <w:r>
              <w:rPr>
                <w:b w:val="false"/>
                <w:bCs w:val="false"/>
                <w:color w:val="1A1A1A"/>
                <w:sz w:val="20"/>
                <w:szCs w:val="20"/>
              </w:rPr>
              <w:t xml:space="preserve">Containerization</w:t>
            </w:r>
          </w:p>
        </w:tc>
        <w:tc>
          <w:tcPr>
            <w:tcW w:type="dxa" w:w="4400"/>
            <w:shd w:fill="F3F4F1" w:val="clear"/>
            <w:tcMar>
              <w:top w:type="dxa" w:w="100"/>
              <w:left w:type="dxa" w:w="120"/>
              <w:bottom w:type="dxa" w:w="100"/>
              <w:right w:type="dxa" w:w="120"/>
            </w:tcMar>
          </w:tcPr>
          <w:p>
            <w:r>
              <w:rPr>
                <w:b w:val="false"/>
                <w:bCs w:val="false"/>
                <w:color w:val="1A1A1A"/>
                <w:sz w:val="20"/>
                <w:szCs w:val="20"/>
              </w:rPr>
              <w:t xml:space="preserve">Reproducible environment for grading and demos</w:t>
            </w:r>
          </w:p>
        </w:tc>
      </w:tr>
      <w:tr>
        <w:tc>
          <w:tcPr>
            <w:tcW w:type="dxa" w:w="2400"/>
            <w:tcMar>
              <w:top w:type="dxa" w:w="100"/>
              <w:left w:type="dxa" w:w="120"/>
              <w:bottom w:type="dxa" w:w="100"/>
              <w:right w:type="dxa" w:w="120"/>
            </w:tcMar>
          </w:tcPr>
          <w:p>
            <w:r>
              <w:rPr>
                <w:b w:val="false"/>
                <w:bCs w:val="false"/>
                <w:color w:val="1A1A1A"/>
                <w:sz w:val="20"/>
                <w:szCs w:val="20"/>
              </w:rPr>
              <w:t xml:space="preserve">scikit-learn (planned)</w:t>
            </w:r>
          </w:p>
        </w:tc>
        <w:tc>
          <w:tcPr>
            <w:tcW w:type="dxa" w:w="2200"/>
            <w:tcMar>
              <w:top w:type="dxa" w:w="100"/>
              <w:left w:type="dxa" w:w="120"/>
              <w:bottom w:type="dxa" w:w="100"/>
              <w:right w:type="dxa" w:w="120"/>
            </w:tcMar>
          </w:tcPr>
          <w:p>
            <w:r>
              <w:rPr>
                <w:b w:val="false"/>
                <w:bCs w:val="false"/>
                <w:color w:val="1A1A1A"/>
                <w:sz w:val="20"/>
                <w:szCs w:val="20"/>
              </w:rPr>
              <w:t xml:space="preserve">Isolation Forest</w:t>
            </w:r>
          </w:p>
        </w:tc>
        <w:tc>
          <w:tcPr>
            <w:tcW w:type="dxa" w:w="4400"/>
            <w:tcMar>
              <w:top w:type="dxa" w:w="100"/>
              <w:left w:type="dxa" w:w="120"/>
              <w:bottom w:type="dxa" w:w="100"/>
              <w:right w:type="dxa" w:w="120"/>
            </w:tcMar>
          </w:tcPr>
          <w:p>
            <w:r>
              <w:rPr>
                <w:b w:val="false"/>
                <w:bCs w:val="false"/>
                <w:color w:val="1A1A1A"/>
                <w:sz w:val="20"/>
                <w:szCs w:val="20"/>
              </w:rPr>
              <w:t xml:space="preserve">Not yet added — requires team sign-off per project rule before any new dependency is introduced</w:t>
            </w:r>
          </w:p>
        </w:tc>
      </w:tr>
    </w:tbl>
    <w:p>
      <w:pPr>
        <w:spacing w:after="160" w:line="300"/>
      </w:pPr>
      <w:r>
        <w:rPr>
          <w:b w:val="false"/>
          <w:bCs w:val="false"/>
          <w:i w:val="false"/>
          <w:iCs w:val="false"/>
          <w:color w:val="1A1A1A"/>
          <w:sz w:val="22"/>
          <w:szCs w:val="22"/>
        </w:rPr>
        <w:t xml:space="preserve"/>
      </w:r>
    </w:p>
    <w:p>
      <w:pPr>
        <w:pStyle w:val="Heading3"/>
        <w:spacing w:after="100" w:before="220"/>
      </w:pPr>
      <w:r>
        <w:rPr>
          <w:b/>
          <w:bCs/>
          <w:color w:val="8A6D1F"/>
          <w:sz w:val="22"/>
          <w:szCs w:val="22"/>
        </w:rPr>
        <w:t xml:space="preserve">Likely question: "Why z-score before Isolation Forest, rather than building the ML layer first?"</w:t>
      </w:r>
    </w:p>
    <w:p>
      <w:pPr>
        <w:spacing w:after="160" w:line="300"/>
      </w:pPr>
      <w:r>
        <w:rPr>
          <w:b w:val="false"/>
          <w:bCs w:val="false"/>
          <w:i w:val="false"/>
          <w:iCs w:val="false"/>
          <w:color w:val="1A1A1A"/>
          <w:sz w:val="22"/>
          <w:szCs w:val="22"/>
        </w:rPr>
        <w:t xml:space="preserve">Because the statistical layer needs zero training data and every result can be sanity-checked by hand — it gives us ground truth for our own intuition before trusting a black-box-ish ML model, and it directly produces the human-readable explanation strings ("300% above your typical order size") that UEBA literature identifies as a common gap in purely ML-driven tools. It also let us validate the full pipeline end-to-end (ingestion through API) before adding ML complexity on top.</w:t>
      </w:r>
    </w:p>
    <w:p>
      <w:pPr>
        <w:pStyle w:val="Heading3"/>
        <w:spacing w:after="100" w:before="220"/>
      </w:pPr>
      <w:r>
        <w:rPr>
          <w:b/>
          <w:bCs/>
          <w:color w:val="8A6D1F"/>
          <w:sz w:val="22"/>
          <w:szCs w:val="22"/>
        </w:rPr>
        <w:t xml:space="preserve">Likely question: "How would this scale to real trading volume?"</w:t>
      </w:r>
    </w:p>
    <w:p>
      <w:pPr>
        <w:spacing w:after="160" w:line="300"/>
      </w:pPr>
      <w:r>
        <w:rPr>
          <w:b w:val="false"/>
          <w:bCs w:val="false"/>
          <w:i w:val="false"/>
          <w:iCs w:val="false"/>
          <w:color w:val="1A1A1A"/>
          <w:sz w:val="22"/>
          <w:szCs w:val="22"/>
        </w:rPr>
        <w:t xml:space="preserve">The rolling-stats approach is O(1) per event per account (Welford's algorithm needs no history storage), so the statistical layer itself scales linearly with event volume. The current prototype is in-memory and single-process by design for this stage (see DESIGN.md §3) — PostgreSQL/Redis persistence is explicitly deferred until the system needs to survive a restart or run multi-process, which is a real engineering constraint, not an oversight.</w:t>
      </w:r>
    </w:p>
    <w:p>
      <w:pPr>
        <w:pBdr>
          <w:bottom w:val="single" w:color="CCCCCC" w:sz="6" w:space="1"/>
        </w:pBdr>
        <w:spacing w:after="300" w:before="100"/>
      </w:pPr>
    </w:p>
    <w:p>
      <w:pPr>
        <w:pStyle w:val="Heading1"/>
        <w:spacing w:after="200" w:before="400"/>
      </w:pPr>
      <w:r>
        <w:rPr>
          <w:b/>
          <w:bCs/>
          <w:color w:val="14213D"/>
          <w:sz w:val="32"/>
          <w:szCs w:val="32"/>
        </w:rPr>
        <w:t xml:space="preserve">Slide 8 — Results / Initial Implementation</w:t>
      </w:r>
    </w:p>
    <w:p>
      <w:pPr>
        <w:pStyle w:val="Heading3"/>
        <w:spacing w:after="100" w:before="220"/>
      </w:pPr>
      <w:r>
        <w:rPr>
          <w:b/>
          <w:bCs/>
          <w:color w:val="8A6D1F"/>
          <w:sz w:val="22"/>
          <w:szCs w:val="22"/>
        </w:rPr>
        <w:t xml:space="preserve">What's actually built and tested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c>
          <w:tcPr>
            <w:tcW w:type="dxa" w:w="4600"/>
            <w:shd w:fill="14213D" w:val="clear"/>
            <w:tcMar>
              <w:top w:type="dxa" w:w="100"/>
              <w:left w:type="dxa" w:w="120"/>
              <w:bottom w:type="dxa" w:w="100"/>
              <w:right w:type="dxa" w:w="120"/>
            </w:tcMar>
          </w:tcPr>
          <w:p>
            <w:r>
              <w:rPr>
                <w:b/>
                <w:bCs/>
                <w:color w:val="FFFFFF"/>
                <w:sz w:val="20"/>
                <w:szCs w:val="20"/>
              </w:rPr>
              <w:t xml:space="preserve">Component</w:t>
            </w:r>
          </w:p>
        </w:tc>
        <w:tc>
          <w:tcPr>
            <w:tcW w:type="dxa" w:w="2200"/>
            <w:shd w:fill="14213D" w:val="clear"/>
            <w:tcMar>
              <w:top w:type="dxa" w:w="100"/>
              <w:left w:type="dxa" w:w="120"/>
              <w:bottom w:type="dxa" w:w="100"/>
              <w:right w:type="dxa" w:w="120"/>
            </w:tcMar>
          </w:tcPr>
          <w:p>
            <w:r>
              <w:rPr>
                <w:b/>
                <w:bCs/>
                <w:color w:val="FFFFFF"/>
                <w:sz w:val="20"/>
                <w:szCs w:val="20"/>
              </w:rPr>
              <w:t xml:space="preserve">Status</w:t>
            </w:r>
          </w:p>
        </w:tc>
        <w:tc>
          <w:tcPr>
            <w:tcW w:type="dxa" w:w="2200"/>
            <w:shd w:fill="14213D" w:val="clear"/>
            <w:tcMar>
              <w:top w:type="dxa" w:w="100"/>
              <w:left w:type="dxa" w:w="120"/>
              <w:bottom w:type="dxa" w:w="100"/>
              <w:right w:type="dxa" w:w="120"/>
            </w:tcMar>
          </w:tcPr>
          <w:p>
            <w:r>
              <w:rPr>
                <w:b/>
                <w:bCs/>
                <w:color w:val="FFFFFF"/>
                <w:sz w:val="20"/>
                <w:szCs w:val="20"/>
              </w:rPr>
              <w:t xml:space="preserve">Tests</w:t>
            </w:r>
          </w:p>
        </w:tc>
      </w:tr>
      <w:tr>
        <w:tc>
          <w:tcPr>
            <w:tcW w:type="dxa" w:w="4600"/>
            <w:tcMar>
              <w:top w:type="dxa" w:w="100"/>
              <w:left w:type="dxa" w:w="120"/>
              <w:bottom w:type="dxa" w:w="100"/>
              <w:right w:type="dxa" w:w="120"/>
            </w:tcMar>
          </w:tcPr>
          <w:p>
            <w:r>
              <w:rPr>
                <w:b w:val="false"/>
                <w:bCs w:val="false"/>
                <w:color w:val="1A1A1A"/>
                <w:sz w:val="20"/>
                <w:szCs w:val="20"/>
              </w:rPr>
              <w:t xml:space="preserve">Synthetic event generator (3 attack types, ground-truth labeled)</w:t>
            </w:r>
          </w:p>
        </w:tc>
        <w:tc>
          <w:tcPr>
            <w:tcW w:type="dxa" w:w="2200"/>
            <w:tcMar>
              <w:top w:type="dxa" w:w="100"/>
              <w:left w:type="dxa" w:w="120"/>
              <w:bottom w:type="dxa" w:w="100"/>
              <w:right w:type="dxa" w:w="120"/>
            </w:tcMar>
          </w:tcPr>
          <w:p>
            <w:r>
              <w:rPr>
                <w:b w:val="false"/>
                <w:bCs w:val="false"/>
                <w:color w:val="1A1A1A"/>
                <w:sz w:val="20"/>
                <w:szCs w:val="20"/>
              </w:rPr>
              <w:t xml:space="preserve">Done</w:t>
            </w:r>
          </w:p>
        </w:tc>
        <w:tc>
          <w:tcPr>
            <w:tcW w:type="dxa" w:w="2200"/>
            <w:tcMar>
              <w:top w:type="dxa" w:w="100"/>
              <w:left w:type="dxa" w:w="120"/>
              <w:bottom w:type="dxa" w:w="100"/>
              <w:right w:type="dxa" w:w="120"/>
            </w:tcMar>
          </w:tcPr>
          <w:p>
            <w:r>
              <w:rPr>
                <w:b w:val="false"/>
                <w:bCs w:val="false"/>
                <w:color w:val="1A1A1A"/>
                <w:sz w:val="20"/>
                <w:szCs w:val="20"/>
              </w:rPr>
              <w:t xml:space="preserve">14</w:t>
            </w:r>
          </w:p>
        </w:tc>
      </w:tr>
      <w:tr>
        <w:tc>
          <w:tcPr>
            <w:tcW w:type="dxa" w:w="4600"/>
            <w:shd w:fill="F3F4F1" w:val="clear"/>
            <w:tcMar>
              <w:top w:type="dxa" w:w="100"/>
              <w:left w:type="dxa" w:w="120"/>
              <w:bottom w:type="dxa" w:w="100"/>
              <w:right w:type="dxa" w:w="120"/>
            </w:tcMar>
          </w:tcPr>
          <w:p>
            <w:r>
              <w:rPr>
                <w:b w:val="false"/>
                <w:bCs w:val="false"/>
                <w:color w:val="1A1A1A"/>
                <w:sz w:val="20"/>
                <w:szCs w:val="20"/>
              </w:rPr>
              <w:t xml:space="preserve">Rolling statistical feature extraction (Welford's algorithm)</w:t>
            </w:r>
          </w:p>
        </w:tc>
        <w:tc>
          <w:tcPr>
            <w:tcW w:type="dxa" w:w="2200"/>
            <w:shd w:fill="F3F4F1" w:val="clear"/>
            <w:tcMar>
              <w:top w:type="dxa" w:w="100"/>
              <w:left w:type="dxa" w:w="120"/>
              <w:bottom w:type="dxa" w:w="100"/>
              <w:right w:type="dxa" w:w="120"/>
            </w:tcMar>
          </w:tcPr>
          <w:p>
            <w:r>
              <w:rPr>
                <w:b w:val="false"/>
                <w:bCs w:val="false"/>
                <w:color w:val="1A1A1A"/>
                <w:sz w:val="20"/>
                <w:szCs w:val="20"/>
              </w:rPr>
              <w:t xml:space="preserve">Done</w:t>
            </w:r>
          </w:p>
        </w:tc>
        <w:tc>
          <w:tcPr>
            <w:tcW w:type="dxa" w:w="2200"/>
            <w:shd w:fill="F3F4F1" w:val="clear"/>
            <w:tcMar>
              <w:top w:type="dxa" w:w="100"/>
              <w:left w:type="dxa" w:w="120"/>
              <w:bottom w:type="dxa" w:w="100"/>
              <w:right w:type="dxa" w:w="120"/>
            </w:tcMar>
          </w:tcPr>
          <w:p>
            <w:r>
              <w:rPr>
                <w:b w:val="false"/>
                <w:bCs w:val="false"/>
                <w:color w:val="1A1A1A"/>
                <w:sz w:val="20"/>
                <w:szCs w:val="20"/>
              </w:rPr>
              <w:t xml:space="preserve">9</w:t>
            </w:r>
          </w:p>
        </w:tc>
      </w:tr>
      <w:tr>
        <w:tc>
          <w:tcPr>
            <w:tcW w:type="dxa" w:w="4600"/>
            <w:tcMar>
              <w:top w:type="dxa" w:w="100"/>
              <w:left w:type="dxa" w:w="120"/>
              <w:bottom w:type="dxa" w:w="100"/>
              <w:right w:type="dxa" w:w="120"/>
            </w:tcMar>
          </w:tcPr>
          <w:p>
            <w:r>
              <w:rPr>
                <w:b w:val="false"/>
                <w:bCs w:val="false"/>
                <w:color w:val="1A1A1A"/>
                <w:sz w:val="20"/>
                <w:szCs w:val="20"/>
              </w:rPr>
              <w:t xml:space="preserve">Z-score anomaly detector (explainable 0–100 risk score)</w:t>
            </w:r>
          </w:p>
        </w:tc>
        <w:tc>
          <w:tcPr>
            <w:tcW w:type="dxa" w:w="2200"/>
            <w:tcMar>
              <w:top w:type="dxa" w:w="100"/>
              <w:left w:type="dxa" w:w="120"/>
              <w:bottom w:type="dxa" w:w="100"/>
              <w:right w:type="dxa" w:w="120"/>
            </w:tcMar>
          </w:tcPr>
          <w:p>
            <w:r>
              <w:rPr>
                <w:b w:val="false"/>
                <w:bCs w:val="false"/>
                <w:color w:val="1A1A1A"/>
                <w:sz w:val="20"/>
                <w:szCs w:val="20"/>
              </w:rPr>
              <w:t xml:space="preserve">Done</w:t>
            </w:r>
          </w:p>
        </w:tc>
        <w:tc>
          <w:tcPr>
            <w:tcW w:type="dxa" w:w="2200"/>
            <w:tcMar>
              <w:top w:type="dxa" w:w="100"/>
              <w:left w:type="dxa" w:w="120"/>
              <w:bottom w:type="dxa" w:w="100"/>
              <w:right w:type="dxa" w:w="120"/>
            </w:tcMar>
          </w:tcPr>
          <w:p>
            <w:r>
              <w:rPr>
                <w:b w:val="false"/>
                <w:bCs w:val="false"/>
                <w:color w:val="1A1A1A"/>
                <w:sz w:val="20"/>
                <w:szCs w:val="20"/>
              </w:rPr>
              <w:t xml:space="preserve">9</w:t>
            </w:r>
          </w:p>
        </w:tc>
      </w:tr>
      <w:tr>
        <w:tc>
          <w:tcPr>
            <w:tcW w:type="dxa" w:w="4600"/>
            <w:shd w:fill="F3F4F1" w:val="clear"/>
            <w:tcMar>
              <w:top w:type="dxa" w:w="100"/>
              <w:left w:type="dxa" w:w="120"/>
              <w:bottom w:type="dxa" w:w="100"/>
              <w:right w:type="dxa" w:w="120"/>
            </w:tcMar>
          </w:tcPr>
          <w:p>
            <w:r>
              <w:rPr>
                <w:b w:val="false"/>
                <w:bCs w:val="false"/>
                <w:color w:val="1A1A1A"/>
                <w:sz w:val="20"/>
                <w:szCs w:val="20"/>
              </w:rPr>
              <w:t xml:space="preserve">POST /score API endpoint, full pipeline wired end-to-end</w:t>
            </w:r>
          </w:p>
        </w:tc>
        <w:tc>
          <w:tcPr>
            <w:tcW w:type="dxa" w:w="2200"/>
            <w:shd w:fill="F3F4F1" w:val="clear"/>
            <w:tcMar>
              <w:top w:type="dxa" w:w="100"/>
              <w:left w:type="dxa" w:w="120"/>
              <w:bottom w:type="dxa" w:w="100"/>
              <w:right w:type="dxa" w:w="120"/>
            </w:tcMar>
          </w:tcPr>
          <w:p>
            <w:r>
              <w:rPr>
                <w:b w:val="false"/>
                <w:bCs w:val="false"/>
                <w:color w:val="1A1A1A"/>
                <w:sz w:val="20"/>
                <w:szCs w:val="20"/>
              </w:rPr>
              <w:t xml:space="preserve">Done</w:t>
            </w:r>
          </w:p>
        </w:tc>
        <w:tc>
          <w:tcPr>
            <w:tcW w:type="dxa" w:w="2200"/>
            <w:shd w:fill="F3F4F1" w:val="clear"/>
            <w:tcMar>
              <w:top w:type="dxa" w:w="100"/>
              <w:left w:type="dxa" w:w="120"/>
              <w:bottom w:type="dxa" w:w="100"/>
              <w:right w:type="dxa" w:w="120"/>
            </w:tcMar>
          </w:tcPr>
          <w:p>
            <w:r>
              <w:rPr>
                <w:b w:val="false"/>
                <w:bCs w:val="false"/>
                <w:color w:val="1A1A1A"/>
                <w:sz w:val="20"/>
                <w:szCs w:val="20"/>
              </w:rPr>
              <w:t xml:space="preserve">5</w:t>
            </w:r>
          </w:p>
        </w:tc>
      </w:tr>
      <w:tr>
        <w:tc>
          <w:tcPr>
            <w:tcW w:type="dxa" w:w="4600"/>
            <w:tcMar>
              <w:top w:type="dxa" w:w="100"/>
              <w:left w:type="dxa" w:w="120"/>
              <w:bottom w:type="dxa" w:w="100"/>
              <w:right w:type="dxa" w:w="120"/>
            </w:tcMar>
          </w:tcPr>
          <w:p>
            <w:r>
              <w:rPr>
                <w:b w:val="false"/>
                <w:bCs w:val="false"/>
                <w:color w:val="1A1A1A"/>
                <w:sz w:val="20"/>
                <w:szCs w:val="20"/>
              </w:rPr>
              <w:t xml:space="preserve">Isolation Forest ML layer</w:t>
            </w:r>
          </w:p>
        </w:tc>
        <w:tc>
          <w:tcPr>
            <w:tcW w:type="dxa" w:w="2200"/>
            <w:tcMar>
              <w:top w:type="dxa" w:w="100"/>
              <w:left w:type="dxa" w:w="120"/>
              <w:bottom w:type="dxa" w:w="100"/>
              <w:right w:type="dxa" w:w="120"/>
            </w:tcMar>
          </w:tcPr>
          <w:p>
            <w:r>
              <w:rPr>
                <w:b w:val="false"/>
                <w:bCs w:val="false"/>
                <w:color w:val="1A1A1A"/>
                <w:sz w:val="20"/>
                <w:szCs w:val="20"/>
              </w:rPr>
              <w:t xml:space="preserve">Next phase</w:t>
            </w:r>
          </w:p>
        </w:tc>
        <w:tc>
          <w:tcPr>
            <w:tcW w:type="dxa" w:w="2200"/>
            <w:tcMar>
              <w:top w:type="dxa" w:w="100"/>
              <w:left w:type="dxa" w:w="120"/>
              <w:bottom w:type="dxa" w:w="100"/>
              <w:right w:type="dxa" w:w="120"/>
            </w:tcMar>
          </w:tcPr>
          <w:p>
            <w:r>
              <w:rPr>
                <w:b w:val="false"/>
                <w:bCs w:val="false"/>
                <w:color w:val="1A1A1A"/>
                <w:sz w:val="20"/>
                <w:szCs w:val="20"/>
              </w:rPr>
              <w:t xml:space="preserve">—</w:t>
            </w:r>
          </w:p>
        </w:tc>
      </w:tr>
    </w:tbl>
    <w:p>
      <w:pPr>
        <w:spacing w:after="160" w:line="300"/>
      </w:pPr>
      <w:r>
        <w:rPr>
          <w:b w:val="false"/>
          <w:bCs w:val="false"/>
          <w:i w:val="false"/>
          <w:iCs w:val="false"/>
          <w:color w:val="1A1A1A"/>
          <w:sz w:val="22"/>
          <w:szCs w:val="22"/>
        </w:rPr>
        <w:t xml:space="preserve"/>
      </w:r>
    </w:p>
    <w:p>
      <w:pPr>
        <w:spacing w:after="160" w:line="300"/>
      </w:pPr>
      <w:r>
        <w:rPr>
          <w:b w:val="false"/>
          <w:bCs w:val="false"/>
          <w:i w:val="false"/>
          <w:iCs w:val="false"/>
          <w:color w:val="1A1A1A"/>
          <w:sz w:val="22"/>
          <w:szCs w:val="22"/>
        </w:rPr>
        <w:t xml:space="preserve">Total: 37 passing tests, run with a single pytest command from the repository root.</w:t>
      </w:r>
    </w:p>
    <w:p>
      <w:pPr>
        <w:pStyle w:val="Heading3"/>
        <w:spacing w:after="100" w:before="220"/>
      </w:pPr>
      <w:r>
        <w:rPr>
          <w:b/>
          <w:bCs/>
          <w:color w:val="8A6D1F"/>
          <w:sz w:val="22"/>
          <w:szCs w:val="22"/>
        </w:rPr>
        <w:t xml:space="preserve">Example live output</w:t>
      </w:r>
    </w:p>
    <w:p>
      <w:pPr>
        <w:spacing w:after="160" w:line="300"/>
      </w:pPr>
      <w:r>
        <w:rPr>
          <w:b w:val="false"/>
          <w:bCs w:val="false"/>
          <w:i w:val="false"/>
          <w:iCs w:val="false"/>
          <w:color w:val="1A1A1A"/>
          <w:sz w:val="22"/>
          <w:szCs w:val="22"/>
        </w:rPr>
        <w:t xml:space="preserve">A POST to /score with a plausible account-takeover event returns something like: risk_score 78, explanation "New device, new active hour, order size 3.4σ above baseline", attack_type_guess "account_takeover" — demonstrating the full pipeline runs correctly on realistic input, not just on unit-test fixtures.</w:t>
      </w:r>
    </w:p>
    <w:p>
      <w:pPr>
        <w:pStyle w:val="Heading3"/>
        <w:spacing w:after="100" w:before="220"/>
      </w:pPr>
      <w:r>
        <w:rPr>
          <w:b/>
          <w:bCs/>
          <w:color w:val="8A6D1F"/>
          <w:sz w:val="22"/>
          <w:szCs w:val="22"/>
        </w:rPr>
        <w:t xml:space="preserve">Two real bugs caught by manual testing, not unit tests — worth mentioning if asked about testing rigor</w:t>
      </w:r>
    </w:p>
    <w:p>
      <w:pPr>
        <w:pStyle w:val="ListParagraph"/>
        <w:numPr>
          <w:ilvl w:val="0"/>
          <w:numId w:val="3"/>
        </w:numPr>
        <w:spacing w:after="90" w:line="280"/>
      </w:pPr>
      <w:r>
        <w:rPr>
          <w:sz w:val="22"/>
          <w:szCs w:val="22"/>
        </w:rPr>
        <w:t xml:space="preserve">Every scored event was initially being mis-flagged as automated_trading regardless of content. Root cause: a feature default of 0.0 for a signal that should default to "no signal" (infinity), which accidentally always looked suspicious. Unit tests didn't catch it because the test helpers used the same wrong default, masking the mismatch. Caught only by manually exercising the live API with realistic events.</w:t>
      </w:r>
    </w:p>
    <w:p>
      <w:pPr>
        <w:pStyle w:val="ListParagraph"/>
        <w:numPr>
          <w:ilvl w:val="0"/>
          <w:numId w:val="3"/>
        </w:numPr>
        <w:spacing w:after="90" w:line="280"/>
      </w:pPr>
      <w:r>
        <w:rPr>
          <w:sz w:val="22"/>
          <w:szCs w:val="22"/>
        </w:rPr>
        <w:t xml:space="preserve">A burst of API requests wasn't being flagged as anomalous at first, because the rolling baseline was updating on every single request within the burst — effectively "chasing its own tail." Fixed by only updating the baseline once per elapsed time bucket, not per request.</w:t>
      </w:r>
    </w:p>
    <w:p>
      <w:pPr>
        <w:spacing w:after="160" w:line="300"/>
      </w:pPr>
      <w:r>
        <w:rPr>
          <w:b w:val="false"/>
          <w:bCs w:val="false"/>
          <w:i w:val="false"/>
          <w:iCs w:val="false"/>
          <w:color w:val="1A1A1A"/>
          <w:sz w:val="22"/>
          <w:szCs w:val="22"/>
        </w:rPr>
        <w:t xml:space="preserve">This is a genuinely useful, honest thing to mention if a panelist asks how confident we are in the results: automated tests alone weren't sufficient, and we specifically added manual smoke-testing as a check against exactly this kind of blind spot.</w:t>
      </w:r>
    </w:p>
    <w:p>
      <w:pPr>
        <w:pStyle w:val="Heading3"/>
        <w:spacing w:after="100" w:before="220"/>
      </w:pPr>
      <w:r>
        <w:rPr>
          <w:b/>
          <w:bCs/>
          <w:color w:val="8A6D1F"/>
          <w:sz w:val="22"/>
          <w:szCs w:val="22"/>
        </w:rPr>
        <w:t xml:space="preserve">Why this satisfies the rubric's 'Methodology &amp; Preliminary Implementation' criterion</w:t>
      </w:r>
    </w:p>
    <w:p>
      <w:pPr>
        <w:spacing w:after="160" w:line="300"/>
      </w:pPr>
      <w:r>
        <w:rPr>
          <w:b w:val="false"/>
          <w:bCs w:val="false"/>
          <w:i w:val="false"/>
          <w:iCs w:val="false"/>
          <w:color w:val="1A1A1A"/>
          <w:sz w:val="22"/>
          <w:szCs w:val="22"/>
        </w:rPr>
        <w:t xml:space="preserve">The rubric asks for module workflow and at least 20% completion demonstrating an initial prototype or module development. We have a complete, working vertical slice — not a set of disconnected stubs — that proves the pipeline concept end-to-end, which is the strongest form of 'feasibility demonstrated' available at this stage. This is consistent with Technology Readiness Level 3 (experimental proof of concept), which the general rubric explicitly encourages at this stage.</w:t>
      </w:r>
    </w:p>
    <w:p>
      <w:pPr>
        <w:pBdr>
          <w:bottom w:val="single" w:color="CCCCCC" w:sz="6" w:space="1"/>
        </w:pBdr>
        <w:spacing w:after="300" w:before="100"/>
      </w:pPr>
    </w:p>
    <w:p>
      <w:pPr>
        <w:pStyle w:val="Heading1"/>
        <w:spacing w:after="200" w:before="400"/>
      </w:pPr>
      <w:r>
        <w:rPr>
          <w:b/>
          <w:bCs/>
          <w:color w:val="14213D"/>
          <w:sz w:val="32"/>
          <w:szCs w:val="32"/>
        </w:rPr>
        <w:t xml:space="preserve">Conclusion &amp; Future Work slide</w:t>
      </w:r>
    </w:p>
    <w:p>
      <w:pPr>
        <w:spacing w:after="160" w:line="300"/>
      </w:pPr>
      <w:r>
        <w:rPr>
          <w:b w:val="false"/>
          <w:bCs w:val="false"/>
          <w:i w:val="false"/>
          <w:iCs w:val="false"/>
          <w:color w:val="1A1A1A"/>
          <w:sz w:val="22"/>
          <w:szCs w:val="22"/>
        </w:rPr>
        <w:t xml:space="preserve">Summarizes that feasibility has been shown end-to-end — synthetic events through explainable statistical risk scoring through API, backed by 37 passing tests and a live demo — grounded in a real, cited research gap. Names three concrete, scoped next steps: the Isolation Forest layer, a formal evaluation harness (turning the working 80% recall / &lt;10% FPR targets into real measured numbers), and the analyst dashboard, each tied to a specific upcoming review rather than presented as a vague wishlist.</w:t>
      </w:r>
    </w:p>
    <w:p>
      <w:pPr>
        <w:pStyle w:val="Heading3"/>
        <w:spacing w:after="100" w:before="220"/>
      </w:pPr>
      <w:r>
        <w:rPr>
          <w:b/>
          <w:bCs/>
          <w:color w:val="8A6D1F"/>
          <w:sz w:val="22"/>
          <w:szCs w:val="22"/>
        </w:rPr>
        <w:t xml:space="preserve">Likely question: "What would you do differently if you started over?"</w:t>
      </w:r>
    </w:p>
    <w:p>
      <w:pPr>
        <w:spacing w:after="160" w:line="300"/>
      </w:pPr>
      <w:r>
        <w:rPr>
          <w:b w:val="false"/>
          <w:bCs w:val="false"/>
          <w:i w:val="false"/>
          <w:iCs w:val="false"/>
          <w:color w:val="1A1A1A"/>
          <w:sz w:val="22"/>
          <w:szCs w:val="22"/>
        </w:rPr>
        <w:t xml:space="preserve">A reasonable, honest answer: start the evaluation harness earlier, in parallel with the z-score detector, rather than sequentially after — having real measured numbers even at this early stage would strengthen the requirement-analysis story further. This is a fair thing to say if asked; it shows reflective thinking without undermining what's been built.</w:t>
      </w:r>
    </w:p>
    <w:p>
      <w:pPr>
        <w:pBdr>
          <w:bottom w:val="single" w:color="CCCCCC" w:sz="6" w:space="1"/>
        </w:pBdr>
        <w:spacing w:after="300" w:before="100"/>
      </w:pPr>
    </w:p>
    <w:p>
      <w:pPr>
        <w:pStyle w:val="Heading1"/>
        <w:spacing w:after="200" w:before="400"/>
      </w:pPr>
      <w:r>
        <w:rPr>
          <w:b/>
          <w:bCs/>
          <w:color w:val="14213D"/>
          <w:sz w:val="32"/>
          <w:szCs w:val="32"/>
        </w:rPr>
        <w:t xml:space="preserve">References slide — full citation list and how each is used</w:t>
      </w:r>
    </w:p>
    <w:p>
      <w:pPr>
        <w:pStyle w:val="ListParagraph"/>
        <w:numPr>
          <w:ilvl w:val="0"/>
          <w:numId w:val="3"/>
        </w:numPr>
        <w:spacing w:after="90" w:line="280"/>
      </w:pPr>
      <w:r>
        <w:rPr>
          <w:sz w:val="22"/>
          <w:szCs w:val="22"/>
        </w:rPr>
        <w:t xml:space="preserve">Khodabandehlou, S., &amp; Hashemi Golpayegani, S. A. (2022). Market manipulation detection: A systematic literature review. Expert Systems with Applications, 210, 118330. — Establishes that trading-surveillance research is price/order-book-only; used on Slides 3, 4, 5.</w:t>
      </w:r>
    </w:p>
    <w:p>
      <w:pPr>
        <w:pStyle w:val="ListParagraph"/>
        <w:numPr>
          <w:ilvl w:val="0"/>
          <w:numId w:val="3"/>
        </w:numPr>
        <w:spacing w:after="90" w:line="280"/>
      </w:pPr>
      <w:r>
        <w:rPr>
          <w:sz w:val="22"/>
          <w:szCs w:val="22"/>
        </w:rPr>
        <w:t xml:space="preserve">Zulkifley, M. A., Munir, A. F., Abd Sukor, M. E., &amp; Mohd Shafiai, M. H. (2023). A Survey on Stock Market Manipulation Detectors Using Artificial Intelligence. Computers, Materials &amp; Continua, 75(2), 4395–4418. — Confirms Indian-market relevance and the no-benchmark-dataset problem; used on Slides 3, 4, 5.</w:t>
      </w:r>
    </w:p>
    <w:p>
      <w:pPr>
        <w:pStyle w:val="ListParagraph"/>
        <w:numPr>
          <w:ilvl w:val="0"/>
          <w:numId w:val="3"/>
        </w:numPr>
        <w:spacing w:after="90" w:line="280"/>
      </w:pPr>
      <w:r>
        <w:rPr>
          <w:sz w:val="22"/>
          <w:szCs w:val="22"/>
        </w:rPr>
        <w:t xml:space="preserve">Insider Threat Detection Using Machine Learning Approach. Applied Sciences, 13(1), 259 (2023). — Source of the 91% precision/recall/F1 figure on CERT data, and the UEBA-standard-formulation claim; used on Slides 3, 4, and in the NFR-1 recall-target justification.</w:t>
      </w:r>
    </w:p>
    <w:p>
      <w:pPr>
        <w:pStyle w:val="ListParagraph"/>
        <w:numPr>
          <w:ilvl w:val="0"/>
          <w:numId w:val="3"/>
        </w:numPr>
        <w:spacing w:after="90" w:line="280"/>
      </w:pPr>
      <w:r>
        <w:rPr>
          <w:sz w:val="22"/>
          <w:szCs w:val="22"/>
        </w:rPr>
        <w:t xml:space="preserve">Liu, F. T., Ting, K. M., &amp; Zhou, Z.-H. (2008). Isolation Forest. ICDM'08, 413–422. — The foundational Isolation Forest paper; justifies the choice of ML method, used on Slides 4, 5, 7.</w:t>
      </w:r>
    </w:p>
    <w:p>
      <w:pPr>
        <w:pStyle w:val="ListParagraph"/>
        <w:numPr>
          <w:ilvl w:val="0"/>
          <w:numId w:val="3"/>
        </w:numPr>
        <w:spacing w:after="90" w:line="280"/>
      </w:pPr>
      <w:r>
        <w:rPr>
          <w:sz w:val="22"/>
          <w:szCs w:val="22"/>
        </w:rPr>
        <w:t xml:space="preserve">Glasser, J., &amp; Lindauer, B. (2013). Bridging the Gap: A Pragmatic Approach to Generating Insider Threat Data. IEEE Security and Privacy Workshops. — Justifies the synthetic-data methodology by precedent (the CERT dataset itself is synthetic for the same reason); used on Slide 5.</w:t>
      </w:r>
    </w:p>
    <w:p>
      <w:pPr>
        <w:pStyle w:val="ListParagraph"/>
        <w:numPr>
          <w:ilvl w:val="0"/>
          <w:numId w:val="3"/>
        </w:numPr>
        <w:spacing w:after="90" w:line="280"/>
      </w:pPr>
      <w:r>
        <w:rPr>
          <w:sz w:val="22"/>
          <w:szCs w:val="22"/>
        </w:rPr>
        <w:t xml:space="preserve">Real-Time Fraud Detection: Latency, Features &amp; Scale — Redis Inc. engineering blog. — Source of the 10–50ms production fraud-latency figure, used to explain why our own &lt;5s target is deliberately different (alerting, not blocking); used in NFR-3.</w:t>
      </w:r>
    </w:p>
    <w:p>
      <w:pPr>
        <w:pStyle w:val="ListParagraph"/>
        <w:numPr>
          <w:ilvl w:val="0"/>
          <w:numId w:val="3"/>
        </w:numPr>
        <w:spacing w:after="90" w:line="280"/>
      </w:pPr>
      <w:r>
        <w:rPr>
          <w:sz w:val="22"/>
          <w:szCs w:val="22"/>
        </w:rPr>
        <w:t xml:space="preserve">SilIF: Silhouette-Augmented Isolation Forest for Unsupervised Transaction Fraud Detection (IEEE-CIS dataset). — Shows plain Isolation Forest performance (AUC-PR 0.126) on a different dataset, used to demonstrate that IF's real-world performance is dataset-dependent, so our own 80% recall target is a working number, not a guaranteed outcome; used in NFR-1/NFR-2 justification.</w:t>
      </w:r>
    </w:p>
    <w:p>
      <w:pPr>
        <w:pBdr>
          <w:bottom w:val="single" w:color="CCCCCC" w:sz="6" w:space="1"/>
        </w:pBdr>
        <w:spacing w:after="300" w:before="100"/>
      </w:pPr>
    </w:p>
    <w:p>
      <w:pPr>
        <w:pStyle w:val="Heading1"/>
        <w:spacing w:after="200" w:before="400"/>
      </w:pPr>
      <w:r>
        <w:rPr>
          <w:b/>
          <w:bCs/>
          <w:color w:val="14213D"/>
          <w:sz w:val="32"/>
          <w:szCs w:val="32"/>
        </w:rPr>
        <w:t xml:space="preserve">Where every number in this project comes from</w:t>
      </w:r>
    </w:p>
    <w:p>
      <w:pPr>
        <w:spacing w:after="160" w:line="300"/>
      </w:pPr>
      <w:r>
        <w:rPr>
          <w:b w:val="false"/>
          <w:bCs w:val="false"/>
          <w:i w:val="false"/>
          <w:iCs w:val="false"/>
          <w:color w:val="1A1A1A"/>
          <w:sz w:val="22"/>
          <w:szCs w:val="22"/>
        </w:rPr>
        <w:t xml:space="preserve">A rule was set at the start of this project: every numeric threshold we use must be traceable to a real citation, or explicitly flagged as our own engineering choice with a stated reason — never asserted without justification. This section is the single place all of that reasoning lives, in case a panelist challenges any specific number.</w:t>
      </w:r>
    </w:p>
    <w:p>
      <w:pPr>
        <w:pStyle w:val="Heading3"/>
        <w:spacing w:after="100" w:before="220"/>
      </w:pPr>
      <w:r>
        <w:rPr>
          <w:b/>
          <w:bCs/>
          <w:color w:val="8A6D1F"/>
          <w:sz w:val="22"/>
          <w:szCs w:val="22"/>
        </w:rPr>
        <w:t xml:space="preserve">Recall (detection rate) target: ≥80%</w:t>
      </w:r>
    </w:p>
    <w:p>
      <w:pPr>
        <w:spacing w:after="160" w:line="300"/>
      </w:pPr>
      <w:r>
        <w:rPr>
          <w:b w:val="false"/>
          <w:bCs w:val="false"/>
          <w:i w:val="false"/>
          <w:iCs w:val="false"/>
          <w:color w:val="1A1A1A"/>
          <w:sz w:val="22"/>
          <w:szCs w:val="22"/>
        </w:rPr>
        <w:t xml:space="preserve">Status: working target, not a literature guarantee. Isolation Forest's reported recall varies enormously by dataset — from as low as 2–17% on adversarial/network-traffic synthetic data, to 91% precision/recall/accuracy on the CERT insider-threat dataset, the closest published analogue to our own account-level, behavioral, moderately imbalanced setting. 80% is chosen as a target within that plausible range for a CERT-like setup, not a number a single paper guarantees. We commit to reporting our actual measured recall, whatever it turns out to be, rather than defending 80% as fixed.</w:t>
      </w:r>
    </w:p>
    <w:p>
      <w:pPr>
        <w:pStyle w:val="Heading3"/>
        <w:spacing w:after="100" w:before="220"/>
      </w:pPr>
      <w:r>
        <w:rPr>
          <w:b/>
          <w:bCs/>
          <w:color w:val="8A6D1F"/>
          <w:sz w:val="22"/>
          <w:szCs w:val="22"/>
        </w:rPr>
        <w:t xml:space="preserve">False positive rate target: &lt;10%</w:t>
      </w:r>
    </w:p>
    <w:p>
      <w:pPr>
        <w:spacing w:after="160" w:line="300"/>
      </w:pPr>
      <w:r>
        <w:rPr>
          <w:b w:val="false"/>
          <w:bCs w:val="false"/>
          <w:i w:val="false"/>
          <w:iCs w:val="false"/>
          <w:color w:val="1A1A1A"/>
          <w:sz w:val="22"/>
          <w:szCs w:val="22"/>
        </w:rPr>
        <w:t xml:space="preserve">Status: engineering requirement, not a literature-derived number. None of the papers we reviewed report FPR as an isolated metric for Isolation Forest — it's usually only inferable from (1 − precision), and precision itself ranges from single digits to 91% depending on dataset. We set &lt;10% as our own requirement because it's the threshold above which a human analyst cannot realistically triage the alert volume — an interpretable-workload constraint, not a benchmark we're matching.</w:t>
      </w:r>
    </w:p>
    <w:p>
      <w:pPr>
        <w:pStyle w:val="Heading3"/>
        <w:spacing w:after="100" w:before="220"/>
      </w:pPr>
      <w:r>
        <w:rPr>
          <w:b/>
          <w:bCs/>
          <w:color w:val="8A6D1F"/>
          <w:sz w:val="22"/>
          <w:szCs w:val="22"/>
        </w:rPr>
        <w:t xml:space="preserve">Detection latency target: &lt;5 seconds</w:t>
      </w:r>
    </w:p>
    <w:p>
      <w:pPr>
        <w:spacing w:after="160" w:line="300"/>
      </w:pPr>
      <w:r>
        <w:rPr>
          <w:b w:val="false"/>
          <w:bCs w:val="false"/>
          <w:i w:val="false"/>
          <w:iCs w:val="false"/>
          <w:color w:val="1A1A1A"/>
          <w:sz w:val="22"/>
          <w:szCs w:val="22"/>
        </w:rPr>
        <w:t xml:space="preserve">Status: deliberately different from production fintech, for a stated reason. Production card-network fraud scoring targets 10–50ms end-to-end because it gates a live transaction authorization within a roughly 100ms budget. Our system does not gate or block a trade — it raises an alert to a human analyst asynchronously. The relevant bar is therefore "fast enough to feel real-time on a live dashboard," not "fast enough to authorize a transaction." 5 seconds is chosen as a human-perceptible real-time threshold for an alerting, not blocking, workflow — consistent with our architecture, not derived from fintech authorization latency numbers.</w:t>
      </w:r>
    </w:p>
    <w:p>
      <w:pPr>
        <w:pStyle w:val="Heading3"/>
        <w:spacing w:after="100" w:before="220"/>
      </w:pPr>
      <w:r>
        <w:rPr>
          <w:b/>
          <w:bCs/>
          <w:color w:val="8A6D1F"/>
          <w:sz w:val="22"/>
          <w:szCs w:val="22"/>
        </w:rPr>
        <w:t xml:space="preserve">No labeled fraud data required for the ML layer</w:t>
      </w:r>
    </w:p>
    <w:p>
      <w:pPr>
        <w:spacing w:after="160" w:line="300"/>
      </w:pPr>
      <w:r>
        <w:rPr>
          <w:b w:val="false"/>
          <w:bCs w:val="false"/>
          <w:i w:val="false"/>
          <w:iCs w:val="false"/>
          <w:color w:val="1A1A1A"/>
          <w:sz w:val="22"/>
          <w:szCs w:val="22"/>
        </w:rPr>
        <w:t xml:space="preserve">This is a property of the Isolation Forest algorithm itself, not a target we chose — it is trained on mostly-normal behavior and does not require labeled anomalies by design.</w:t>
      </w:r>
    </w:p>
    <w:p>
      <w:pPr>
        <w:pBdr>
          <w:bottom w:val="single" w:color="CCCCCC" w:sz="6" w:space="1"/>
        </w:pBdr>
        <w:spacing w:after="300" w:before="100"/>
      </w:pPr>
    </w:p>
    <w:p>
      <w:pPr>
        <w:pStyle w:val="Heading1"/>
        <w:spacing w:after="200" w:before="400"/>
      </w:pPr>
      <w:r>
        <w:rPr>
          <w:b/>
          <w:bCs/>
          <w:color w:val="14213D"/>
          <w:sz w:val="32"/>
          <w:szCs w:val="32"/>
        </w:rPr>
        <w:t xml:space="preserve">Proof of concept, innovation, and prior art — the direct answers</w:t>
      </w:r>
    </w:p>
    <w:p>
      <w:pPr>
        <w:pStyle w:val="Heading3"/>
        <w:spacing w:after="100" w:before="220"/>
      </w:pPr>
      <w:r>
        <w:rPr>
          <w:b/>
          <w:bCs/>
          <w:color w:val="8A6D1F"/>
          <w:sz w:val="22"/>
          <w:szCs w:val="22"/>
        </w:rPr>
        <w:t xml:space="preserve">"What proof of concept are you establishing?"</w:t>
      </w:r>
    </w:p>
    <w:p>
      <w:pPr>
        <w:spacing w:after="160" w:line="300"/>
      </w:pPr>
      <w:r>
        <w:rPr>
          <w:b w:val="false"/>
          <w:bCs w:val="false"/>
          <w:i w:val="false"/>
          <w:iCs w:val="false"/>
          <w:color w:val="1A1A1A"/>
          <w:sz w:val="22"/>
          <w:szCs w:val="22"/>
        </w:rPr>
        <w:t xml:space="preserve">That per-account behavioral baselining (the UEBA method, proven in enterprise insider-threat security) can be applied to a simulated trading platform's event stream and produce an interpretable, explainable anomaly score in real time, without needing labeled fraud data to train on. The working /score endpoint, exercised against synthetic planted attacks, is the concrete evidence for this — it shows the pipeline concept works end-to-end, not just in theory.</w:t>
      </w:r>
    </w:p>
    <w:p>
      <w:pPr>
        <w:pStyle w:val="Heading3"/>
        <w:spacing w:after="100" w:before="220"/>
      </w:pPr>
      <w:r>
        <w:rPr>
          <w:b/>
          <w:bCs/>
          <w:color w:val="8A6D1F"/>
          <w:sz w:val="22"/>
          <w:szCs w:val="22"/>
        </w:rPr>
        <w:t xml:space="preserve">"Has something like this already been done?"</w:t>
      </w:r>
    </w:p>
    <w:p>
      <w:pPr>
        <w:spacing w:after="160" w:line="300"/>
      </w:pPr>
      <w:r>
        <w:rPr>
          <w:b w:val="false"/>
          <w:bCs w:val="false"/>
          <w:i w:val="false"/>
          <w:iCs w:val="false"/>
          <w:color w:val="1A1A1A"/>
          <w:sz w:val="22"/>
          <w:szCs w:val="22"/>
        </w:rPr>
        <w:t xml:space="preserve">Two adjacent things exist, and our literature survey explicitly maps where each stops short of what we're doing. First, market-manipulation detection exists and is mature, but operates on price/order-book data across the market, not on one account's own behavior. Second, UEBA/behavioral-baseline detection exists and is mature, but has been built and evaluated almost entirely for enterprise IT security (file access, login patterns, data exfiltration) — not trading platforms. No paper we found combines per-account behavioral baselining with the trading-platform domain, particularly with an Indian-retail framing.</w:t>
      </w:r>
    </w:p>
    <w:p>
      <w:pPr>
        <w:pStyle w:val="Heading3"/>
        <w:spacing w:after="100" w:before="220"/>
      </w:pPr>
      <w:r>
        <w:rPr>
          <w:b/>
          <w:bCs/>
          <w:color w:val="8A6D1F"/>
          <w:sz w:val="22"/>
          <w:szCs w:val="22"/>
        </w:rPr>
        <w:t xml:space="preserve">"How is yours any different?"</w:t>
      </w:r>
    </w:p>
    <w:p>
      <w:pPr>
        <w:spacing w:after="160" w:line="300"/>
      </w:pPr>
      <w:r>
        <w:rPr>
          <w:b w:val="false"/>
          <w:bCs w:val="false"/>
          <w:i w:val="false"/>
          <w:iCs w:val="false"/>
          <w:color w:val="1A1A1A"/>
          <w:sz w:val="22"/>
          <w:szCs w:val="22"/>
        </w:rPr>
        <w:t xml:space="preserve">We are not proposing a new detection algorithm — we are applying an established, well-validated method (UEBA-style per-account baselining, with Isolation Forest as the unsupervised ML layer) to a domain where it has not been studied. The difference is the domain and the feature engineering: which behavioral signals actually matter for trading accounts specifically (order-size deviation from personal baseline, new device/IP combined with new active hours, near-zero-variance order→cancel timing suggesting automation) rather than the enterprise-IT signals the existing UEBA literature focuses on (file access patterns, login geography, data transfer volume).</w:t>
      </w:r>
    </w:p>
    <w:p>
      <w:pPr>
        <w:pStyle w:val="Heading3"/>
        <w:spacing w:after="100" w:before="220"/>
      </w:pPr>
      <w:r>
        <w:rPr>
          <w:b/>
          <w:bCs/>
          <w:color w:val="8A6D1F"/>
          <w:sz w:val="22"/>
          <w:szCs w:val="22"/>
        </w:rPr>
        <w:t xml:space="preserve">"How is this innovative or useful?"</w:t>
      </w:r>
    </w:p>
    <w:p>
      <w:pPr>
        <w:spacing w:after="160" w:line="300"/>
      </w:pPr>
      <w:r>
        <w:rPr>
          <w:b w:val="false"/>
          <w:bCs w:val="false"/>
          <w:i w:val="false"/>
          <w:iCs w:val="false"/>
          <w:color w:val="1A1A1A"/>
          <w:sz w:val="22"/>
          <w:szCs w:val="22"/>
        </w:rPr>
        <w:t xml:space="preserve">Usefulness: Indian retail trading platforms currently rely primarily on authentication (password, OTP, 2FA) to protect accounts — which fails the moment credentials are stolen or an API key is abused. A behavioral layer catches exactly the attacks authentication cannot: valid-credential misuse. Innovation, stated honestly: not a new algorithm, but a new, tested application combining two previously separate research threads (trading-domain relevance and account-level behavioral detection), plus the specific feature set we designed for this domain (see above).</w:t>
      </w:r>
    </w:p>
    <w:p>
      <w:pPr>
        <w:pStyle w:val="Heading3"/>
        <w:spacing w:after="100" w:before="220"/>
      </w:pPr>
      <w:r>
        <w:rPr>
          <w:b/>
          <w:bCs/>
          <w:color w:val="8A6D1F"/>
          <w:sz w:val="22"/>
          <w:szCs w:val="22"/>
        </w:rPr>
        <w:t xml:space="preserve">"Why should we believe this generalizes beyond your synthetic data?"</w:t>
      </w:r>
    </w:p>
    <w:p>
      <w:pPr>
        <w:spacing w:after="160" w:line="300"/>
      </w:pPr>
      <w:r>
        <w:rPr>
          <w:b w:val="false"/>
          <w:bCs w:val="false"/>
          <w:i w:val="false"/>
          <w:iCs w:val="false"/>
          <w:color w:val="1A1A1A"/>
          <w:sz w:val="22"/>
          <w:szCs w:val="22"/>
        </w:rPr>
        <w:t xml:space="preserve">We can't fully claim that yet, and we say so directly rather than overclaiming: this is exactly why NFR-1/NFR-2 are labeled 'working targets, not literature guarantees,' and why the evaluation harness (measuring real precision/recall against our labeled synthetic data) is the very next planned step. Synthetic, ground-truth-labeled data is the methodologically standard approach in this exact research area precisely because no public benchmark exists — the same justification the CERT dataset itself uses — but we are explicit that real-world generalization is a claim for after the evaluation phase, not before it.</w:t>
      </w:r>
    </w:p>
    <w:p>
      <w:pPr>
        <w:pBdr>
          <w:bottom w:val="single" w:color="CCCCCC" w:sz="6" w:space="1"/>
        </w:pBdr>
        <w:spacing w:after="300" w:before="100"/>
      </w:pPr>
    </w:p>
    <w:p>
      <w:pPr>
        <w:pStyle w:val="Heading1"/>
        <w:spacing w:after="200" w:before="400"/>
      </w:pPr>
      <w:r>
        <w:rPr>
          <w:b/>
          <w:bCs/>
          <w:color w:val="14213D"/>
          <w:sz w:val="32"/>
          <w:szCs w:val="32"/>
        </w:rPr>
        <w:t xml:space="preserve">Ground rules governing the whole project</w:t>
      </w:r>
    </w:p>
    <w:p>
      <w:pPr>
        <w:pStyle w:val="ListParagraph"/>
        <w:numPr>
          <w:ilvl w:val="0"/>
          <w:numId w:val="2"/>
        </w:numPr>
        <w:spacing w:after="90" w:line="280"/>
      </w:pPr>
      <w:r>
        <w:rPr>
          <w:sz w:val="22"/>
          <w:szCs w:val="22"/>
        </w:rPr>
        <w:t xml:space="preserve">The detection pipeline never reads the is_attack or attack_type ground-truth fields on synthetic events — those exist only for evaluation. A detector that reads them would be solving a fake, trivial problem, and this rule is enforced in the code's own module docstrings.</w:t>
      </w:r>
    </w:p>
    <w:p>
      <w:pPr>
        <w:pStyle w:val="ListParagraph"/>
        <w:numPr>
          <w:ilvl w:val="0"/>
          <w:numId w:val="2"/>
        </w:numPr>
        <w:spacing w:after="90" w:line="280"/>
      </w:pPr>
      <w:r>
        <w:rPr>
          <w:sz w:val="22"/>
          <w:szCs w:val="22"/>
        </w:rPr>
        <w:t xml:space="preserve">Every new dependency requires team sign-off before being added — no library is introduced without checking first (this is why Isolation Forest, which needs scikit-learn, hasn't been added yet).</w:t>
      </w:r>
    </w:p>
    <w:p>
      <w:pPr>
        <w:pStyle w:val="ListParagraph"/>
        <w:numPr>
          <w:ilvl w:val="0"/>
          <w:numId w:val="2"/>
        </w:numPr>
        <w:spacing w:after="90" w:line="280"/>
      </w:pPr>
      <w:r>
        <w:rPr>
          <w:sz w:val="22"/>
          <w:szCs w:val="22"/>
        </w:rPr>
        <w:t xml:space="preserve">Every numeric threshold or claim is either cited to a real source or explicitly marked as our own engineering choice with a stated reason — see the 'Where every number comes from' section above.</w:t>
      </w:r>
    </w:p>
    <w:p>
      <w:pPr>
        <w:pStyle w:val="ListParagraph"/>
        <w:numPr>
          <w:ilvl w:val="0"/>
          <w:numId w:val="2"/>
        </w:numPr>
        <w:spacing w:after="90" w:line="280"/>
      </w:pPr>
      <w:r>
        <w:rPr>
          <w:sz w:val="22"/>
          <w:szCs w:val="22"/>
        </w:rPr>
        <w:t xml:space="preserve">pytest must pass before anything is merged — 37 tests currently pass; nothing is merged that breaks them.</w:t>
      </w:r>
    </w:p>
    <w:p>
      <w:pPr>
        <w:pBdr>
          <w:bottom w:val="single" w:color="CCCCCC" w:sz="6" w:space="1"/>
        </w:pBdr>
        <w:spacing w:after="300" w:before="100"/>
      </w:pPr>
    </w:p>
    <w:p>
      <w:r>
        <w:br w:type="page"/>
      </w:r>
    </w:p>
    <w:p>
      <w:pPr>
        <w:spacing w:after="100" w:before="200"/>
        <w:jc w:val="center"/>
      </w:pPr>
      <w:r>
        <w:rPr>
          <w:b/>
          <w:bCs/>
          <w:color w:val="8A6D1F"/>
          <w:sz w:val="24"/>
          <w:szCs w:val="24"/>
        </w:rPr>
        <w:t xml:space="preserve">APPENDIX</w:t>
      </w:r>
    </w:p>
    <w:p>
      <w:pPr>
        <w:spacing w:after="300"/>
        <w:jc w:val="center"/>
      </w:pPr>
      <w:r>
        <w:rPr>
          <w:b/>
          <w:bCs/>
          <w:color w:val="14213D"/>
          <w:sz w:val="36"/>
          <w:szCs w:val="36"/>
        </w:rPr>
        <w:t xml:space="preserve">Panel Q&amp;A and Deck Corrections</w:t>
      </w:r>
    </w:p>
    <w:p>
      <w:pPr>
        <w:spacing w:after="160" w:line="300"/>
      </w:pPr>
      <w:r>
        <w:rPr>
          <w:b w:val="false"/>
          <w:bCs w:val="false"/>
          <w:i w:val="false"/>
          <w:iCs w:val="false"/>
          <w:color w:val="1A1A1A"/>
          <w:sz w:val="22"/>
          <w:szCs w:val="22"/>
        </w:rPr>
        <w:t xml:space="preserve">Added after a first read-through flagged specific gaps and raised panel-style questions. Each is answered honestly, including where the answer is "this is a real limitation, here's how we're handling it" rather than a reassuring dodge.</w:t>
      </w:r>
    </w:p>
    <w:p>
      <w:pPr>
        <w:pBdr>
          <w:bottom w:val="single" w:color="CCCCCC" w:sz="6" w:space="1"/>
        </w:pBdr>
        <w:spacing w:after="300" w:before="100"/>
      </w:pPr>
    </w:p>
    <w:p>
      <w:pPr>
        <w:pStyle w:val="Heading1"/>
        <w:spacing w:after="200" w:before="400"/>
      </w:pPr>
      <w:r>
        <w:rPr>
          <w:b/>
          <w:bCs/>
          <w:color w:val="14213D"/>
          <w:sz w:val="32"/>
          <w:szCs w:val="32"/>
        </w:rPr>
        <w:t xml:space="preserve">A. Questions from the panel's perspective</w:t>
      </w:r>
    </w:p>
    <w:p>
      <w:pPr>
        <w:pStyle w:val="Heading2"/>
        <w:spacing w:after="150" w:before="320"/>
      </w:pPr>
      <w:r>
        <w:rPr>
          <w:b/>
          <w:bCs/>
          <w:color w:val="14213D"/>
          <w:sz w:val="26"/>
          <w:szCs w:val="26"/>
        </w:rPr>
        <w:t xml:space="preserve">A1. How will you build the baseline behavior for each account, and is it scalable?</w:t>
      </w:r>
    </w:p>
    <w:p>
      <w:pPr>
        <w:spacing w:after="160" w:line="300"/>
      </w:pPr>
      <w:r>
        <w:rPr>
          <w:b w:val="false"/>
          <w:bCs w:val="false"/>
          <w:i w:val="false"/>
          <w:iCs w:val="false"/>
          <w:color w:val="1A1A1A"/>
          <w:sz w:val="22"/>
          <w:szCs w:val="22"/>
        </w:rPr>
        <w:t xml:space="preserve">Each account keeps a running mean and variance for each behavioral signal we track (order size, login hour, API request rate, and so on), using Welford's online algorithm (Welford, 1962 — added to the references list). This updates incrementally, one event at a time, without ever storing the account's full event history — so memory per account stays constant no matter how long the account has been active or how many events it has generated.</w:t>
      </w:r>
    </w:p>
    <w:p>
      <w:pPr>
        <w:spacing w:after="160" w:line="300"/>
      </w:pPr>
      <w:r>
        <w:rPr>
          <w:b w:val="false"/>
          <w:bCs w:val="false"/>
          <w:i w:val="false"/>
          <w:iCs w:val="false"/>
          <w:color w:val="1A1A1A"/>
          <w:sz w:val="22"/>
          <w:szCs w:val="22"/>
        </w:rPr>
        <w:t xml:space="preserve">Two honest caveats worth stating directly if asked. First, cold start: a brand-new account has no baseline yet, so its first several events cannot be reliably scored against "normal" — the system needs a minimum number of observations before z-scores are meaningful. This is a known, standard limitation of any baselining approach, not unique to us, and the current implementation does not yet enforce an explicit minimum-observations gate before scoring — that's a concrete, honest gap to name if pressed, and a natural next fix.</w:t>
      </w:r>
    </w:p>
    <w:p>
      <w:pPr>
        <w:spacing w:after="160" w:line="300"/>
      </w:pPr>
      <w:r>
        <w:rPr>
          <w:b w:val="false"/>
          <w:bCs w:val="false"/>
          <w:i w:val="false"/>
          <w:iCs w:val="false"/>
          <w:color w:val="1A1A1A"/>
          <w:sz w:val="22"/>
          <w:szCs w:val="22"/>
        </w:rPr>
        <w:t xml:space="preserve">On scalability: the algorithm itself is O(1) time and O(1) memory per event per account, so compute and memory scale linearly with the number of accounts and events — the algorithm is not the bottleneck. The real scaling question is that the current prototype holds all account state in a single process's memory, which is why persistence (Redis for fast lookups, PostgreSQL for durability) is explicitly deferred rather than built now — it becomes necessary once the system needs to survive a restart or run across multiple processes, not because the underlying math doesn't scale.</w:t>
      </w:r>
    </w:p>
    <w:p>
      <w:pPr>
        <w:pStyle w:val="Heading2"/>
        <w:spacing w:after="150" w:before="320"/>
      </w:pPr>
      <w:r>
        <w:rPr>
          <w:b/>
          <w:bCs/>
          <w:color w:val="14213D"/>
          <w:sz w:val="26"/>
          <w:szCs w:val="26"/>
        </w:rPr>
        <w:t xml:space="preserve">A2. Is this basically bot detection like on social media?</w:t>
      </w:r>
    </w:p>
    <w:p>
      <w:pPr>
        <w:spacing w:after="160" w:line="300"/>
      </w:pPr>
      <w:r>
        <w:rPr>
          <w:b w:val="false"/>
          <w:bCs w:val="false"/>
          <w:i w:val="false"/>
          <w:iCs w:val="false"/>
          <w:color w:val="1A1A1A"/>
          <w:sz w:val="22"/>
          <w:szCs w:val="22"/>
        </w:rPr>
        <w:t xml:space="preserve">Related in spirit — both ask "does this account behave like it usually does" — but the mechanism is different. Social media bot detection typically looks across many accounts for machine-generated patterns: posting cadence, network structure between accounts, duplicate or templated content, coordinated timing across a cluster of accounts. It's largely a population-level, cross-account pattern problem.</w:t>
      </w:r>
    </w:p>
    <w:p>
      <w:pPr>
        <w:spacing w:after="160" w:line="300"/>
      </w:pPr>
      <w:r>
        <w:rPr>
          <w:b w:val="false"/>
          <w:bCs w:val="false"/>
          <w:i w:val="false"/>
          <w:iCs w:val="false"/>
          <w:color w:val="1A1A1A"/>
          <w:sz w:val="22"/>
          <w:szCs w:val="22"/>
        </w:rPr>
        <w:t xml:space="preserve">Our system looks at one account against its own individual history — order sizes, login times, device, and request rate compared only to that same account's past behavior, not to other accounts. It's closer in spirit to banking/insider-threat behavioral analytics (UEBA) than to social-media bot-farm detection. Worth stating this distinction plainly if a panelist draws the comparison, since it's a natural one to make.</w:t>
      </w:r>
    </w:p>
    <w:p>
      <w:pPr>
        <w:pStyle w:val="Heading2"/>
        <w:spacing w:after="150" w:before="320"/>
      </w:pPr>
      <w:r>
        <w:rPr>
          <w:b/>
          <w:bCs/>
          <w:color w:val="14213D"/>
          <w:sz w:val="26"/>
          <w:szCs w:val="26"/>
        </w:rPr>
        <w:t xml:space="preserve">A3. What does "rolling per-account" mean, in plain terms?</w:t>
      </w:r>
    </w:p>
    <w:p>
      <w:pPr>
        <w:spacing w:after="160" w:line="300"/>
      </w:pPr>
      <w:r>
        <w:rPr>
          <w:b w:val="false"/>
          <w:bCs w:val="false"/>
          <w:i w:val="false"/>
          <w:iCs w:val="false"/>
          <w:color w:val="1A1A1A"/>
          <w:sz w:val="22"/>
          <w:szCs w:val="22"/>
        </w:rPr>
        <w:t xml:space="preserve">"Rolling" means the statistic is continuously updated as new events arrive, rather than computed once from a fixed batch of historical data. "Per-account" means every account gets its own separate baseline — account A's normal order size has nothing to do with account B's normal order size. So "rolling per-account baseline" = each account has its own running average and variability measure that updates with every new event from that account, and the system compares each new event against that account's own evolving normal, not a fixed global rule or any other account's behavior.</w:t>
      </w:r>
    </w:p>
    <w:p>
      <w:pPr>
        <w:pStyle w:val="Heading2"/>
        <w:spacing w:after="150" w:before="320"/>
      </w:pPr>
      <w:r>
        <w:rPr>
          <w:b/>
          <w:bCs/>
          <w:color w:val="14213D"/>
          <w:sz w:val="26"/>
          <w:szCs w:val="26"/>
        </w:rPr>
        <w:t xml:space="preserve">A4. Can the built and tested part actually be shown to the reviewers?</w:t>
      </w:r>
    </w:p>
    <w:p>
      <w:pPr>
        <w:spacing w:after="160" w:line="300"/>
      </w:pPr>
      <w:r>
        <w:rPr>
          <w:b w:val="false"/>
          <w:bCs w:val="false"/>
          <w:i w:val="false"/>
          <w:iCs w:val="false"/>
          <w:color w:val="1A1A1A"/>
          <w:sz w:val="22"/>
          <w:szCs w:val="22"/>
        </w:rPr>
        <w:t xml:space="preserve">Yes, and this should be the plan rather than just reading a JSON example off a slide. FastAPI auto-generates an interactive Swagger UI at the /docs endpoint. Running the API locally (uvicorn threat_detection.api.main:app --app-dir src --reload) and opening /docs lets us submit a live event to POST /score in front of the panel and show the real-time JSON response — risk score, explanation, and attack-type guess — computed live, not pre-recorded. This runs entirely on a laptop with no network dependency, which makes it a low-risk, credible way to demonstrate the prototype is real and working, not just described.</w:t>
      </w:r>
    </w:p>
    <w:p>
      <w:pPr>
        <w:spacing w:after="160" w:line="300"/>
      </w:pPr>
      <w:r>
        <w:rPr>
          <w:b w:val="false"/>
          <w:bCs w:val="false"/>
          <w:i w:val="false"/>
          <w:iCs w:val="false"/>
          <w:color w:val="1A1A1A"/>
          <w:sz w:val="22"/>
          <w:szCs w:val="22"/>
        </w:rPr>
        <w:t xml:space="preserve">Practical note: test this exact demo flow once beforehand on the actual machine that will be used in the review room, including having a backup slide with a screenshot of a successful /score call in case of a live technical hiccup — this is standard, sensible demo hygiene, not a sign of distrust in the system.</w:t>
      </w:r>
    </w:p>
    <w:p>
      <w:pPr>
        <w:pStyle w:val="Heading2"/>
        <w:spacing w:after="150" w:before="320"/>
      </w:pPr>
      <w:r>
        <w:rPr>
          <w:b/>
          <w:bCs/>
          <w:color w:val="14213D"/>
          <w:sz w:val="26"/>
          <w:szCs w:val="26"/>
        </w:rPr>
        <w:t xml:space="preserve">A5. Is the dataset taken from CERT, or built from scratch? If built, how?</w:t>
      </w:r>
    </w:p>
    <w:p>
      <w:pPr>
        <w:spacing w:after="160" w:line="300"/>
      </w:pPr>
      <w:r>
        <w:rPr>
          <w:b w:val="false"/>
          <w:bCs w:val="false"/>
          <w:i w:val="false"/>
          <w:iCs w:val="false"/>
          <w:color w:val="1A1A1A"/>
          <w:sz w:val="22"/>
          <w:szCs w:val="22"/>
        </w:rPr>
        <w:t xml:space="preserve">Built entirely from scratch — this needs to be stated unambiguously, because the deck's heavy citation of CERT could easily be misread as "we used CERT's data." We do not use the CERT dataset. CERT is cited only as methodological precedent: it's the most-cited example of a research team choosing synthetic, ground-truth-labeled data instead of real data, for the same reason we did (no real labeled fraud/attack data exists to train or evaluate against).</w:t>
      </w:r>
    </w:p>
    <w:p>
      <w:pPr>
        <w:spacing w:after="160" w:line="300"/>
      </w:pPr>
      <w:r>
        <w:rPr>
          <w:b w:val="false"/>
          <w:bCs w:val="false"/>
          <w:i w:val="false"/>
          <w:iCs w:val="false"/>
          <w:color w:val="1A1A1A"/>
          <w:sz w:val="22"/>
          <w:szCs w:val="22"/>
        </w:rPr>
        <w:t xml:space="preserve">Our own dataset is produced by our own synthetic event generator (src/threat_detection/ingestion/synthetic.py). It simulates a population of trading accounts, generates realistic event streams (logins, orders, cancellations, API requests) for each one, and deliberately plants three attack patterns into a subset of accounts with ground-truth labels (is_attack, attack_type) attached only for evaluation purposes — the detector itself never sees these labels while scoring, which is a strict rule enforced in the code.</w:t>
      </w:r>
    </w:p>
    <w:p>
      <w:pPr>
        <w:pStyle w:val="Heading2"/>
        <w:spacing w:after="150" w:before="320"/>
      </w:pPr>
      <w:r>
        <w:rPr>
          <w:b/>
          <w:bCs/>
          <w:color w:val="14213D"/>
          <w:sz w:val="26"/>
          <w:szCs w:val="26"/>
        </w:rPr>
        <w:t xml:space="preserve">A6. Why only three attack patterns? Is there future scope to expand, or is it a hard limit?</w:t>
      </w:r>
    </w:p>
    <w:p>
      <w:pPr>
        <w:spacing w:after="160" w:line="300"/>
      </w:pPr>
      <w:r>
        <w:rPr>
          <w:b w:val="false"/>
          <w:bCs w:val="false"/>
          <w:i w:val="false"/>
          <w:iCs w:val="false"/>
          <w:color w:val="1A1A1A"/>
          <w:sz w:val="22"/>
          <w:szCs w:val="22"/>
        </w:rPr>
        <w:t xml:space="preserve">Three (account takeover, API abuse, automated trading) was a scope decision for this stage of a 7-month project, not an architectural ceiling. The detection logic combines behavioral signals (new device, new active hour, order-size deviation, request-rate deviation, order-cancel timing variance) into a risk score — adding a new attack pattern means defining which combination of existing or new signals characterizes it, which the current architecture supports without a redesign. It is explicitly named as future scope, alongside the Isolation Forest layer and evaluation harness, in DECISIONS.md §9 and docs/DESIGN.md. The honest reason we stopped at three for now: each pattern needed its own signal definition, synthetic-generator logic, and test coverage, and three was enough to prove the pipeline concept end-to-end without spreading effort too thin before Review 2.</w:t>
      </w:r>
    </w:p>
    <w:p>
      <w:pPr>
        <w:pBdr>
          <w:bottom w:val="single" w:color="CCCCCC" w:sz="6" w:space="1"/>
        </w:pBdr>
        <w:spacing w:after="300" w:before="100"/>
      </w:pPr>
    </w:p>
    <w:p>
      <w:pPr>
        <w:pStyle w:val="Heading1"/>
        <w:spacing w:after="200" w:before="400"/>
      </w:pPr>
      <w:r>
        <w:rPr>
          <w:b/>
          <w:bCs/>
          <w:color w:val="14213D"/>
          <w:sz w:val="32"/>
          <w:szCs w:val="32"/>
        </w:rPr>
        <w:t xml:space="preserve">B. Deck corrections and concerns raised</w:t>
      </w:r>
    </w:p>
    <w:p>
      <w:pPr>
        <w:pStyle w:val="Heading2"/>
        <w:spacing w:after="150" w:before="320"/>
      </w:pPr>
      <w:r>
        <w:rPr>
          <w:b/>
          <w:bCs/>
          <w:color w:val="14213D"/>
          <w:sz w:val="26"/>
          <w:szCs w:val="26"/>
        </w:rPr>
        <w:t xml:space="preserve">B1. Slide 3 referenced "Field 1" / "Field 2" before those terms were introduced — fixed</w:t>
      </w:r>
    </w:p>
    <w:p>
      <w:pPr>
        <w:spacing w:after="160" w:line="300"/>
      </w:pPr>
      <w:r>
        <w:rPr>
          <w:b w:val="false"/>
          <w:bCs w:val="false"/>
          <w:i w:val="false"/>
          <w:iCs w:val="false"/>
          <w:color w:val="1A1A1A"/>
          <w:sz w:val="22"/>
          <w:szCs w:val="22"/>
        </w:rPr>
        <w:t xml:space="preserve">Confirmed as a real sequencing problem: the Introduction slide (slide 3) used the placeholder labels "Field 1" and "Field 2" to refer to the two research literatures, but those literatures aren't actually named and explained until the Literature Survey slide (slide 4) introduces them properly as Pillar 1 (market manipulation/trading surveillance) and Pillar 2 (behavioral analytics/insider-threat). A reader or panelist seeing slide 3 first would have no idea what "Field 1" and "Field 2" refer to.</w:t>
      </w:r>
    </w:p>
    <w:p>
      <w:pPr>
        <w:spacing w:after="160" w:line="300"/>
      </w:pPr>
      <w:r>
        <w:rPr>
          <w:b w:val="false"/>
          <w:bCs w:val="false"/>
          <w:i w:val="false"/>
          <w:iCs w:val="false"/>
          <w:color w:val="1A1A1A"/>
          <w:sz w:val="22"/>
          <w:szCs w:val="22"/>
        </w:rPr>
        <w:t xml:space="preserve">Fixed: slide 3 now names the two areas in plain language directly — "behavioral analytics' method" and "market surveillance's domain" — instead of numbered placeholders, and explicitly points forward ("see Literature Survey, next") so the terms are self-contained on first read rather than depending on a slide that hasn't been shown yet.</w:t>
      </w:r>
    </w:p>
    <w:p>
      <w:pPr>
        <w:spacing w:after="160" w:line="300"/>
      </w:pPr>
      <w:r>
        <w:rPr>
          <w:b w:val="false"/>
          <w:bCs w:val="false"/>
          <w:i w:val="false"/>
          <w:iCs w:val="false"/>
          <w:color w:val="1A1A1A"/>
          <w:sz w:val="22"/>
          <w:szCs w:val="22"/>
        </w:rPr>
        <w:t xml:space="preserve">The same slide's opening claim was also softened: it previously said a credential thief "behaves nothing like" the real owner, which is an absolute claim. It now says the attacker "in the common case, still behaves differently" — leaving room for the sophisticated-attacker exception (an attacker who has studied the victim's behavior) that was separately raised and is a genuine, known limitation of behavioral detection worth naming rather than hiding.</w:t>
      </w:r>
    </w:p>
    <w:p>
      <w:pPr>
        <w:pStyle w:val="Heading2"/>
        <w:spacing w:after="150" w:before="320"/>
      </w:pPr>
      <w:r>
        <w:rPr>
          <w:b/>
          <w:bCs/>
          <w:color w:val="14213D"/>
          <w:sz w:val="26"/>
          <w:szCs w:val="26"/>
        </w:rPr>
        <w:t xml:space="preserve">B2. Do we access the entire research paper, or just the abstract? If only abstracts, the survey isn't comprehensive</w:t>
      </w:r>
    </w:p>
    <w:p>
      <w:pPr>
        <w:spacing w:after="160" w:line="300"/>
      </w:pPr>
      <w:r>
        <w:rPr>
          <w:b w:val="false"/>
          <w:bCs w:val="false"/>
          <w:i w:val="false"/>
          <w:iCs w:val="false"/>
          <w:color w:val="1A1A1A"/>
          <w:sz w:val="22"/>
          <w:szCs w:val="22"/>
        </w:rPr>
        <w:t xml:space="preserve">This is a fair and important methodological-honesty question, and the direct answer is: the literature survey was built from reading the full available text of each paper where accessible — abstract, methodology, findings, and conclusion sections — not abstracts alone. The specific claims cited in the deck and DECISIONS.md (for example, the 91% precision/recall/F1 figure from the CERT-based insider-threat study, or the specific finding that 12 manipulation types remain understudied in Khodabandehlou &amp; Hashemi Golpayegani 2022) come from the papers' results and discussion sections, which cannot be extracted from an abstract alone.</w:t>
      </w:r>
    </w:p>
    <w:p>
      <w:pPr>
        <w:spacing w:after="160" w:line="300"/>
      </w:pPr>
      <w:r>
        <w:rPr>
          <w:b w:val="false"/>
          <w:bCs w:val="false"/>
          <w:i w:val="false"/>
          <w:iCs w:val="false"/>
          <w:color w:val="1A1A1A"/>
          <w:sz w:val="22"/>
          <w:szCs w:val="22"/>
        </w:rPr>
        <w:t xml:space="preserve">The honest caveat to state if pressed further: this is a focused literature survey appropriate to Review 2's scope (identify a research gap and justify the approach), built around a small number of representative and recent systematic reviews rather than an exhaustive systematic review of the entire field ourselves. Two of the seven citations are themselves systematic reviews that each synthesize dozens of underlying papers (52 studies in one case), which is why citing them gives broader coverage than the raw citation count suggests — but we should not claim to have independently read every primary study those reviews reference.</w:t>
      </w:r>
    </w:p>
    <w:p>
      <w:pPr>
        <w:pStyle w:val="Heading2"/>
        <w:spacing w:after="150" w:before="320"/>
      </w:pPr>
      <w:r>
        <w:rPr>
          <w:b/>
          <w:bCs/>
          <w:color w:val="14213D"/>
          <w:sz w:val="26"/>
          <w:szCs w:val="26"/>
        </w:rPr>
        <w:t xml:space="preserve">B3. No citation existed for Welford's algorithm — fixed</w:t>
      </w:r>
    </w:p>
    <w:p>
      <w:pPr>
        <w:spacing w:after="160" w:line="300"/>
      </w:pPr>
      <w:r>
        <w:rPr>
          <w:b w:val="false"/>
          <w:bCs w:val="false"/>
          <w:i w:val="false"/>
          <w:iCs w:val="false"/>
          <w:color w:val="1A1A1A"/>
          <w:sz w:val="22"/>
          <w:szCs w:val="22"/>
        </w:rPr>
        <w:t xml:space="preserve">Correct, this was a real gap — Welford's algorithm was used and named throughout the deck and the requirements/design docs but never actually cited, which breaks the project's own stated rule that every technical choice should be traceable to a source.</w:t>
      </w:r>
    </w:p>
    <w:p>
      <w:pPr>
        <w:spacing w:after="160" w:line="300"/>
      </w:pPr>
      <w:r>
        <w:rPr>
          <w:b w:val="false"/>
          <w:bCs w:val="false"/>
          <w:i w:val="false"/>
          <w:iCs w:val="false"/>
          <w:color w:val="1A1A1A"/>
          <w:sz w:val="22"/>
          <w:szCs w:val="22"/>
        </w:rPr>
        <w:t xml:space="preserve">Fixed: added Welford, B. P. (1962). Note on a Method for Calculating Corrected Sums of Squares and Products. Technometrics, 4(3), 419–420 to the References slide as citation [8], and added the [8] marker next to "Welford's algorithm" on the Methodology &amp; System Architecture slide. This is the original, standard citation for the algorithm — it is the correct and well-established source, not a substitute.</w:t>
      </w:r>
    </w:p>
    <w:p>
      <w:pPr>
        <w:spacing w:after="160" w:line="300"/>
      </w:pPr>
      <w:r>
        <w:rPr>
          <w:b w:val="false"/>
          <w:bCs w:val="false"/>
          <w:i w:val="false"/>
          <w:iCs w:val="false"/>
          <w:color w:val="1A1A1A"/>
          <w:sz w:val="22"/>
          <w:szCs w:val="22"/>
        </w:rPr>
        <w:t xml:space="preserve">Why we chose Welford's algorithm specifically, for completeness: it computes a running mean and variance in a single pass, incrementally, with better numerical stability than the naive "sum of squares" approach to variance (which can suffer from catastrophic cancellation with large values or many events) — and it requires no stored history, only a few running numbers per account. This matches the real-time, constant-memory-per-account requirement discussed in the scalability answer above.</w:t>
      </w:r>
    </w:p>
    <w:p>
      <w:pPr>
        <w:pStyle w:val="Heading2"/>
        <w:spacing w:after="150" w:before="320"/>
      </w:pPr>
      <w:r>
        <w:rPr>
          <w:b/>
          <w:bCs/>
          <w:color w:val="14213D"/>
          <w:sz w:val="26"/>
          <w:szCs w:val="26"/>
        </w:rPr>
        <w:t xml:space="preserve">B4. Can the working prototype be shown to the panel, and how?</w:t>
      </w:r>
    </w:p>
    <w:p>
      <w:pPr>
        <w:spacing w:after="160" w:line="300"/>
      </w:pPr>
      <w:r>
        <w:rPr>
          <w:b w:val="false"/>
          <w:bCs w:val="false"/>
          <w:i w:val="false"/>
          <w:iCs w:val="false"/>
          <w:color w:val="1A1A1A"/>
          <w:sz w:val="22"/>
          <w:szCs w:val="22"/>
        </w:rPr>
        <w:t xml:space="preserve">Same substantive answer as A4 above: yes, via the FastAPI interactive docs UI at /docs, run locally and demonstrated live by submitting a real event to POST /score and showing the JSON response come back in real time. This is the most credible way to prove the "built and tested" claim in the Results slide is genuine — reading a static JSON example off a slide is far less convincing than a live call, and the live version is achievable with no infrastructure beyond a laptop with the repository and its dependencies installed.</w:t>
      </w:r>
    </w:p>
    <w:p>
      <w:pPr>
        <w:pBdr>
          <w:bottom w:val="single" w:color="CCCCCC" w:sz="6" w:space="1"/>
        </w:pBdr>
        <w:spacing w:after="300" w:before="100"/>
      </w:pPr>
    </w:p>
    <w:p>
      <w:pPr>
        <w:pStyle w:val="Heading1"/>
        <w:spacing w:after="200" w:before="400"/>
      </w:pPr>
      <w:r>
        <w:rPr>
          <w:b/>
          <w:bCs/>
          <w:color w:val="14213D"/>
          <w:sz w:val="32"/>
          <w:szCs w:val="32"/>
        </w:rPr>
        <w:t xml:space="preserve">Summary of changes made to the deck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4213D" w:val="clear"/>
            <w:tcMar>
              <w:top w:type="dxa" w:w="100"/>
              <w:left w:type="dxa" w:w="120"/>
              <w:bottom w:type="dxa" w:w="100"/>
              <w:right w:type="dxa" w:w="120"/>
            </w:tcMar>
          </w:tcPr>
          <w:p>
            <w:r>
              <w:rPr>
                <w:b/>
                <w:bCs/>
                <w:color w:val="FFFFFF"/>
                <w:sz w:val="20"/>
                <w:szCs w:val="20"/>
              </w:rPr>
              <w:t xml:space="preserve">Slide</w:t>
            </w:r>
          </w:p>
        </w:tc>
        <w:tc>
          <w:tcPr>
            <w:tcW w:type="dxa" w:w="6500"/>
            <w:shd w:fill="14213D" w:val="clear"/>
            <w:tcMar>
              <w:top w:type="dxa" w:w="100"/>
              <w:left w:type="dxa" w:w="120"/>
              <w:bottom w:type="dxa" w:w="100"/>
              <w:right w:type="dxa" w:w="120"/>
            </w:tcMar>
          </w:tcPr>
          <w:p>
            <w:r>
              <w:rPr>
                <w:b/>
                <w:bCs/>
                <w:color w:val="FFFFFF"/>
                <w:sz w:val="20"/>
                <w:szCs w:val="20"/>
              </w:rPr>
              <w:t xml:space="preserve">Change</w:t>
            </w:r>
          </w:p>
        </w:tc>
      </w:tr>
      <w:tr>
        <w:tc>
          <w:tcPr>
            <w:tcW w:type="dxa" w:w="2500"/>
            <w:tcMar>
              <w:top w:type="dxa" w:w="100"/>
              <w:left w:type="dxa" w:w="120"/>
              <w:bottom w:type="dxa" w:w="100"/>
              <w:right w:type="dxa" w:w="120"/>
            </w:tcMar>
          </w:tcPr>
          <w:p>
            <w:r>
              <w:rPr>
                <w:b w:val="false"/>
                <w:bCs w:val="false"/>
                <w:color w:val="1A1A1A"/>
                <w:sz w:val="20"/>
                <w:szCs w:val="20"/>
              </w:rPr>
              <w:t xml:space="preserve">3 — Introduction</w:t>
            </w:r>
          </w:p>
        </w:tc>
        <w:tc>
          <w:tcPr>
            <w:tcW w:type="dxa" w:w="6500"/>
            <w:tcMar>
              <w:top w:type="dxa" w:w="100"/>
              <w:left w:type="dxa" w:w="120"/>
              <w:bottom w:type="dxa" w:w="100"/>
              <w:right w:type="dxa" w:w="120"/>
            </w:tcMar>
          </w:tcPr>
          <w:p>
            <w:r>
              <w:rPr>
                <w:b w:val="false"/>
                <w:bCs w:val="false"/>
                <w:color w:val="1A1A1A"/>
                <w:sz w:val="20"/>
                <w:szCs w:val="20"/>
              </w:rPr>
              <w:t xml:space="preserve">Replaced "Field 1"/"Field 2" placeholders with plain-language names and a forward pointer to the Literature Survey slide</w:t>
            </w:r>
          </w:p>
        </w:tc>
      </w:tr>
      <w:tr>
        <w:tc>
          <w:tcPr>
            <w:tcW w:type="dxa" w:w="2500"/>
            <w:shd w:fill="F3F4F1" w:val="clear"/>
            <w:tcMar>
              <w:top w:type="dxa" w:w="100"/>
              <w:left w:type="dxa" w:w="120"/>
              <w:bottom w:type="dxa" w:w="100"/>
              <w:right w:type="dxa" w:w="120"/>
            </w:tcMar>
          </w:tcPr>
          <w:p>
            <w:r>
              <w:rPr>
                <w:b w:val="false"/>
                <w:bCs w:val="false"/>
                <w:color w:val="1A1A1A"/>
                <w:sz w:val="20"/>
                <w:szCs w:val="20"/>
              </w:rPr>
              <w:t xml:space="preserve">3 — Introduction</w:t>
            </w:r>
          </w:p>
        </w:tc>
        <w:tc>
          <w:tcPr>
            <w:tcW w:type="dxa" w:w="6500"/>
            <w:shd w:fill="F3F4F1" w:val="clear"/>
            <w:tcMar>
              <w:top w:type="dxa" w:w="100"/>
              <w:left w:type="dxa" w:w="120"/>
              <w:bottom w:type="dxa" w:w="100"/>
              <w:right w:type="dxa" w:w="120"/>
            </w:tcMar>
          </w:tcPr>
          <w:p>
            <w:r>
              <w:rPr>
                <w:b w:val="false"/>
                <w:bCs w:val="false"/>
                <w:color w:val="1A1A1A"/>
                <w:sz w:val="20"/>
                <w:szCs w:val="20"/>
              </w:rPr>
              <w:t xml:space="preserve">Softened "behaves nothing like the owner" to "in the common case, still behaves differently"</w:t>
            </w:r>
          </w:p>
        </w:tc>
      </w:tr>
      <w:tr>
        <w:tc>
          <w:tcPr>
            <w:tcW w:type="dxa" w:w="2500"/>
            <w:tcMar>
              <w:top w:type="dxa" w:w="100"/>
              <w:left w:type="dxa" w:w="120"/>
              <w:bottom w:type="dxa" w:w="100"/>
              <w:right w:type="dxa" w:w="120"/>
            </w:tcMar>
          </w:tcPr>
          <w:p>
            <w:r>
              <w:rPr>
                <w:b w:val="false"/>
                <w:bCs w:val="false"/>
                <w:color w:val="1A1A1A"/>
                <w:sz w:val="20"/>
                <w:szCs w:val="20"/>
              </w:rPr>
              <w:t xml:space="preserve">7 — Methodology</w:t>
            </w:r>
          </w:p>
        </w:tc>
        <w:tc>
          <w:tcPr>
            <w:tcW w:type="dxa" w:w="6500"/>
            <w:tcMar>
              <w:top w:type="dxa" w:w="100"/>
              <w:left w:type="dxa" w:w="120"/>
              <w:bottom w:type="dxa" w:w="100"/>
              <w:right w:type="dxa" w:w="120"/>
            </w:tcMar>
          </w:tcPr>
          <w:p>
            <w:r>
              <w:rPr>
                <w:b w:val="false"/>
                <w:bCs w:val="false"/>
                <w:color w:val="1A1A1A"/>
                <w:sz w:val="20"/>
                <w:szCs w:val="20"/>
              </w:rPr>
              <w:t xml:space="preserve">Added a plain-English definition of "rolling per-account" combined into the Ground rule card</w:t>
            </w:r>
          </w:p>
        </w:tc>
      </w:tr>
      <w:tr>
        <w:tc>
          <w:tcPr>
            <w:tcW w:type="dxa" w:w="2500"/>
            <w:shd w:fill="F3F4F1" w:val="clear"/>
            <w:tcMar>
              <w:top w:type="dxa" w:w="100"/>
              <w:left w:type="dxa" w:w="120"/>
              <w:bottom w:type="dxa" w:w="100"/>
              <w:right w:type="dxa" w:w="120"/>
            </w:tcMar>
          </w:tcPr>
          <w:p>
            <w:r>
              <w:rPr>
                <w:b w:val="false"/>
                <w:bCs w:val="false"/>
                <w:color w:val="1A1A1A"/>
                <w:sz w:val="20"/>
                <w:szCs w:val="20"/>
              </w:rPr>
              <w:t xml:space="preserve">7 — Methodology</w:t>
            </w:r>
          </w:p>
        </w:tc>
        <w:tc>
          <w:tcPr>
            <w:tcW w:type="dxa" w:w="6500"/>
            <w:shd w:fill="F3F4F1" w:val="clear"/>
            <w:tcMar>
              <w:top w:type="dxa" w:w="100"/>
              <w:left w:type="dxa" w:w="120"/>
              <w:bottom w:type="dxa" w:w="100"/>
              <w:right w:type="dxa" w:w="120"/>
            </w:tcMar>
          </w:tcPr>
          <w:p>
            <w:r>
              <w:rPr>
                <w:b w:val="false"/>
                <w:bCs w:val="false"/>
                <w:color w:val="1A1A1A"/>
                <w:sz w:val="20"/>
                <w:szCs w:val="20"/>
              </w:rPr>
              <w:t xml:space="preserve">Added citation [8] next to Welford's algorithm</w:t>
            </w:r>
          </w:p>
        </w:tc>
      </w:tr>
      <w:tr>
        <w:tc>
          <w:tcPr>
            <w:tcW w:type="dxa" w:w="2500"/>
            <w:tcMar>
              <w:top w:type="dxa" w:w="100"/>
              <w:left w:type="dxa" w:w="120"/>
              <w:bottom w:type="dxa" w:w="100"/>
              <w:right w:type="dxa" w:w="120"/>
            </w:tcMar>
          </w:tcPr>
          <w:p>
            <w:r>
              <w:rPr>
                <w:b w:val="false"/>
                <w:bCs w:val="false"/>
                <w:color w:val="1A1A1A"/>
                <w:sz w:val="20"/>
                <w:szCs w:val="20"/>
              </w:rPr>
              <w:t xml:space="preserve">10 — References</w:t>
            </w:r>
          </w:p>
        </w:tc>
        <w:tc>
          <w:tcPr>
            <w:tcW w:type="dxa" w:w="6500"/>
            <w:tcMar>
              <w:top w:type="dxa" w:w="100"/>
              <w:left w:type="dxa" w:w="120"/>
              <w:bottom w:type="dxa" w:w="100"/>
              <w:right w:type="dxa" w:w="120"/>
            </w:tcMar>
          </w:tcPr>
          <w:p>
            <w:r>
              <w:rPr>
                <w:b w:val="false"/>
                <w:bCs w:val="false"/>
                <w:color w:val="1A1A1A"/>
                <w:sz w:val="20"/>
                <w:szCs w:val="20"/>
              </w:rPr>
              <w:t xml:space="preserve">Added Welford (1962) as citation [8]</w:t>
            </w:r>
          </w:p>
        </w:tc>
      </w:tr>
    </w:tbl>
    <w:p>
      <w:pPr>
        <w:spacing w:after="160" w:line="300"/>
      </w:pPr>
      <w:r>
        <w:rPr>
          <w:b w:val="false"/>
          <w:bCs w:val="false"/>
          <w:i w:val="false"/>
          <w:iCs w:val="false"/>
          <w:color w:val="1A1A1A"/>
          <w:sz w:val="22"/>
          <w:szCs w:val="22"/>
        </w:rPr>
        <w:t xml:space="preserve"/>
      </w:r>
    </w:p>
    <w:p>
      <w:pPr>
        <w:spacing w:after="160" w:line="300"/>
      </w:pPr>
      <w:r>
        <w:rPr>
          <w:b w:val="false"/>
          <w:bCs w:val="false"/>
          <w:i w:val="false"/>
          <w:iCs w:val="false"/>
          <w:color w:val="1A1A1A"/>
          <w:sz w:val="22"/>
          <w:szCs w:val="22"/>
        </w:rPr>
        <w:t xml:space="preserve">Everything in Section A above (baseline construction/scalability, bot-detection comparison, rolling per-account definition, live-demo plan, CERT clarification, and the three-attack-types scoping reason) is answered here in this appendix rather than added to the slides themselves, since most of these are Q&amp;A depth rather than material the 11-slide deck has room for without breaking the one-idea-per-slide rule. Read this appendix alongside the deck before the review so each of these is a rehearsed answer, not an improvised one.</w:t>
      </w:r>
    </w:p>
    <w:p>
      <w:pPr>
        <w:pBdr>
          <w:bottom w:val="single" w:color="CCCCCC" w:sz="6" w:space="1"/>
        </w:pBdr>
        <w:spacing w:after="300" w:before="100"/>
      </w:pPr>
    </w:p>
    <w:p>
      <w:pPr>
        <w:pStyle w:val="Heading1"/>
        <w:spacing w:after="200" w:before="400"/>
      </w:pPr>
      <w:r>
        <w:rPr>
          <w:b/>
          <w:bCs/>
          <w:color w:val="14213D"/>
          <w:sz w:val="32"/>
          <w:szCs w:val="32"/>
        </w:rPr>
        <w:t xml:space="preserve">Final note</w:t>
      </w:r>
    </w:p>
    <w:p>
      <w:pPr>
        <w:spacing w:after="160" w:line="300"/>
      </w:pPr>
      <w:r>
        <w:rPr>
          <w:b w:val="false"/>
          <w:bCs w:val="false"/>
          <w:i w:val="false"/>
          <w:iCs w:val="false"/>
          <w:color w:val="1A1A1A"/>
          <w:sz w:val="22"/>
          <w:szCs w:val="22"/>
        </w:rPr>
        <w:t xml:space="preserve">If a question comes up that isn't covered here, the honest default answer is always available and defensible: state what's built and tested today, state what's explicitly next-phase and why it's sequenced that way, and point to the specific citation or engineering rationale behind any number. Nothing in this project claims more certainty than the evidence supports — that consistency is itself part of the answer to 'why should we trust this analysis.'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2026-09-20T15:17:08.573Z</dcterms:created>
  <dcterms:modified xsi:type="dcterms:W3CDTF">2026-09-20T15:17:08.584Z</dcterms:modified>
</cp:coreProperties>
</file>

<file path=docProps/custom.xml><?xml version="1.0" encoding="utf-8"?>
<Properties xmlns="http://schemas.openxmlformats.org/officeDocument/2006/custom-properties" xmlns:vt="http://schemas.openxmlformats.org/officeDocument/2006/docPropsVTypes"/>
</file>