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1F3864"/>
          <w:sz w:val="56"/>
          <w:szCs w:val="56"/>
        </w:rPr>
        <w:t xml:space="preserve">CONDO ASSISTANT</w:t>
      </w:r>
    </w:p>
    <w:p>
      <w:pPr>
        <w:pBdr>
          <w:bottom w:val="single" w:color="2E74B5" w:sz="12" w:space="8"/>
        </w:pBdr>
        <w:spacing w:after="60"/>
        <w:jc w:val="center"/>
      </w:pPr>
      <w:r>
        <w:rPr>
          <w:sz w:val="8"/>
          <w:szCs w:val="8"/>
        </w:rPr>
        <w:t xml:space="preserve"/>
      </w:r>
    </w:p>
    <w:p>
      <w:pPr>
        <w:spacing w:before="160"/>
        <w:jc w:val="center"/>
      </w:pPr>
      <w:r>
        <w:rPr>
          <w:color w:val="2E74B5"/>
          <w:sz w:val="32"/>
          <w:szCs w:val="32"/>
        </w:rPr>
        <w:t xml:space="preserve">SaaS Business Plan &amp; Rollout</w:t>
      </w:r>
    </w:p>
    <w:p>
      <w:pPr>
        <w:spacing w:before="120"/>
        <w:jc w:val="center"/>
      </w:pPr>
      <w:r>
        <w:rPr>
          <w:i/>
          <w:iCs/>
          <w:color w:val="555555"/>
          <w:sz w:val="24"/>
          <w:szCs w:val="24"/>
        </w:rPr>
        <w:t xml:space="preserve">AI Concierge + Auto-Email for Short-Term Rentals</w:t>
      </w:r>
    </w:p>
    <w:p>
      <w:pPr>
        <w:spacing w:before="2200"/>
        <w:jc w:val="center"/>
      </w:pPr>
      <w:r>
        <w:rPr>
          <w:b/>
          <w:bCs/>
          <w:sz w:val="24"/>
          <w:szCs w:val="24"/>
        </w:rPr>
        <w:t xml:space="preserve">Prepared for: Alex</w:t>
      </w:r>
    </w:p>
    <w:p>
      <w:pPr>
        <w:spacing w:before="60"/>
        <w:jc w:val="center"/>
      </w:pPr>
      <w:r>
        <w:rPr>
          <w:sz w:val="20"/>
          <w:szCs w:val="20"/>
        </w:rPr>
        <w:t xml:space="preserve">July 2026 · Winter Park Management LLC (DBA Condo Assistant)</w:t>
      </w:r>
    </w:p>
    <w:p>
      <w:pPr>
        <w:spacing w:before="400"/>
        <w:jc w:val="center"/>
      </w:pPr>
      <w:r>
        <w:rPr>
          <w:b/>
          <w:bCs/>
          <w:color w:val="999999"/>
          <w:sz w:val="18"/>
          <w:szCs w:val="18"/>
        </w:rPr>
        <w:t xml:space="preserve">CONFIDENTIAL</w:t>
      </w:r>
    </w:p>
    <w:p>
      <w:r>
        <w:br w:type="page"/>
      </w:r>
    </w:p>
    <w:p>
      <w:pPr>
        <w:pStyle w:val="Heading1"/>
        <w:spacing w:after="120" w:before="260"/>
      </w:pPr>
      <w:r>
        <w:rPr>
          <w:b/>
          <w:bCs/>
          <w:color w:val="1F3864"/>
        </w:rPr>
        <w:t xml:space="preserve">1. Executive Summary</w:t>
      </w:r>
    </w:p>
    <w:p>
      <w:pPr>
        <w:spacing w:after="120"/>
      </w:pPr>
      <w:r>
        <w:t xml:space="preserve">Condo Assistant is an AI concierge for short-term rental (VRBO/Airbnb) properties. Guests get a private link and chat 24/7 with an AI that knows their specific unit, building, and management company. A second product, Auto Email, automatically answers inbound guest emails from the same knowledge base. The platform is live in production for Winter Park Management and is already multi-tenant — the foundation for selling it to thousands of other operators.</w:t>
      </w:r>
    </w:p>
    <w:p>
      <w:pPr>
        <w:spacing w:after="120"/>
      </w:pPr>
      <w:r>
        <w:t xml:space="preserve">This plan targets ~5,050 VRBO clients. At full penetration the model produces roughly $4.4M in annual recurring revenue at a ~78% gross margin, with best-in-class unit economics (LTV:CAC ~12.7x). Below are the product, pricing, revenue model, unit economics, and three rollout options.</w:t>
      </w:r>
    </w:p>
    <w:p>
      <w:pPr>
        <w:spacing w:after="120"/>
      </w:pPr>
      <w:r>
        <w:rPr>
          <w:i/>
          <w:iCs/>
        </w:rPr>
        <w:t xml:space="preserve">Strategy note: the priority is the under-5-unit owner — the biggest, most profitable-per-unit segment (4,000 of 5,050 clients). Large property managers are priced aggressively (a monthly cap) on purpose: their adoption and referrals make those small, high-margin owners cheaper and easier to land.</w:t>
      </w:r>
    </w:p>
    <w:p>
      <w:pPr>
        <w:spacing w:after="120"/>
      </w:pPr>
      <w:r>
        <w:rPr>
          <w:i/>
          <w:iCs/>
          <w:color w:val="777777"/>
          <w:sz w:val="18"/>
          <w:szCs w:val="18"/>
        </w:rPr>
        <w:t xml:space="preserve">Companion file: Condo_Assistant_SaaS_Model.xlsx — the live, editable financial model behind every number here.</w:t>
      </w:r>
    </w:p>
    <w:p>
      <w:pPr>
        <w:pStyle w:val="Heading1"/>
        <w:spacing w:after="120" w:before="260"/>
      </w:pPr>
      <w:r>
        <w:rPr>
          <w:b/>
          <w:bCs/>
          <w:color w:val="1F3864"/>
        </w:rPr>
        <w:t xml:space="preserve">2. Product</w:t>
      </w:r>
    </w:p>
    <w:p>
      <w:pPr>
        <w:pStyle w:val="ListParagraph"/>
        <w:numPr>
          <w:ilvl w:val="0"/>
          <w:numId w:val="1"/>
        </w:numPr>
        <w:spacing w:after="60"/>
      </w:pPr>
      <w:r>
        <w:rPr>
          <w:b/>
          <w:bCs/>
        </w:rPr>
        <w:t xml:space="preserve">Condo Assistant: </w:t>
      </w:r>
      <w:r>
        <w:t xml:space="preserve">An AI concierge guests chat with 24/7 about their stay — unit details, WiFi, check-in, local tips. Unanswered questions email the manager automatically. $15/unit/month.</w:t>
      </w:r>
    </w:p>
    <w:p>
      <w:pPr>
        <w:pStyle w:val="ListParagraph"/>
        <w:numPr>
          <w:ilvl w:val="0"/>
          <w:numId w:val="1"/>
        </w:numPr>
        <w:spacing w:after="60"/>
      </w:pPr>
      <w:r>
        <w:rPr>
          <w:b/>
          <w:bCs/>
        </w:rPr>
        <w:t xml:space="preserve">Auto Email: </w:t>
      </w:r>
      <w:r>
        <w:t xml:space="preserve">Inbound guest emails are answered automatically from the same knowledge base, or forwarded with a drafted reply. $15/unit/month.</w:t>
      </w:r>
    </w:p>
    <w:p>
      <w:pPr>
        <w:pStyle w:val="ListParagraph"/>
        <w:numPr>
          <w:ilvl w:val="0"/>
          <w:numId w:val="1"/>
        </w:numPr>
        <w:spacing w:after="60"/>
      </w:pPr>
      <w:r>
        <w:rPr>
          <w:b/>
          <w:bCs/>
        </w:rPr>
        <w:t xml:space="preserve">Bundle: </w:t>
      </w:r>
      <w:r>
        <w:t xml:space="preserve">Both products together for $25/unit/month — a $5 saving that drives attach and retention.</w:t>
      </w:r>
    </w:p>
    <w:p>
      <w:pPr>
        <w:spacing w:after="120"/>
      </w:pPr>
      <w:r>
        <w:t xml:space="preserve">Both products share one knowledge base (company → building → unit), so every property added compounds the value of both.</w:t>
      </w:r>
    </w:p>
    <w:p>
      <w:pPr>
        <w:pStyle w:val="Heading1"/>
        <w:spacing w:after="120" w:before="260"/>
      </w:pPr>
      <w:r>
        <w:rPr>
          <w:b/>
          <w:bCs/>
          <w:color w:val="1F3864"/>
        </w:rPr>
        <w:t xml:space="preserve">3. Pricing</w:t>
      </w:r>
    </w:p>
    <w:p>
      <w:pPr>
        <w:spacing w:after="120"/>
      </w:pPr>
      <w:r>
        <w:t xml:space="preserve">Per-unit monthly pricing with volume discounts — the more units a client runs, the lower the per-unit price. This rewards larger operators and property-management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rPr>
          <w:tblHeader/>
        </w:trPr>
        <w:tc>
          <w:tcPr>
            <w:tcW w:type="dxa" w:w="2760"/>
            <w:shd w:fill="1F3864" w:val="clear"/>
            <w:tcMar>
              <w:top w:type="dxa" w:w="60"/>
              <w:left w:type="dxa" w:w="90"/>
              <w:bottom w:type="dxa" w:w="60"/>
              <w:right w:type="dxa" w:w="90"/>
            </w:tcMar>
          </w:tcPr>
          <w:p>
            <w:r>
              <w:rPr>
                <w:b/>
                <w:bCs/>
                <w:color w:val="FFFFFF"/>
                <w:sz w:val="19"/>
                <w:szCs w:val="19"/>
              </w:rPr>
              <w:t xml:space="preserve">Volume Band</w:t>
            </w:r>
          </w:p>
        </w:tc>
        <w:tc>
          <w:tcPr>
            <w:tcW w:type="dxa" w:w="2200"/>
            <w:shd w:fill="1F3864" w:val="clear"/>
            <w:tcMar>
              <w:top w:type="dxa" w:w="60"/>
              <w:left w:type="dxa" w:w="90"/>
              <w:bottom w:type="dxa" w:w="60"/>
              <w:right w:type="dxa" w:w="90"/>
            </w:tcMar>
          </w:tcPr>
          <w:p>
            <w:r>
              <w:rPr>
                <w:b/>
                <w:bCs/>
                <w:color w:val="FFFFFF"/>
                <w:sz w:val="19"/>
                <w:szCs w:val="19"/>
              </w:rPr>
              <w:t xml:space="preserve">Condo Assistant</w:t>
            </w:r>
          </w:p>
        </w:tc>
        <w:tc>
          <w:tcPr>
            <w:tcW w:type="dxa" w:w="2200"/>
            <w:shd w:fill="1F3864" w:val="clear"/>
            <w:tcMar>
              <w:top w:type="dxa" w:w="60"/>
              <w:left w:type="dxa" w:w="90"/>
              <w:bottom w:type="dxa" w:w="60"/>
              <w:right w:type="dxa" w:w="90"/>
            </w:tcMar>
          </w:tcPr>
          <w:p>
            <w:r>
              <w:rPr>
                <w:b/>
                <w:bCs/>
                <w:color w:val="FFFFFF"/>
                <w:sz w:val="19"/>
                <w:szCs w:val="19"/>
              </w:rPr>
              <w:t xml:space="preserve">Auto Email</w:t>
            </w:r>
          </w:p>
        </w:tc>
        <w:tc>
          <w:tcPr>
            <w:tcW w:type="dxa" w:w="2200"/>
            <w:shd w:fill="1F3864" w:val="clear"/>
            <w:tcMar>
              <w:top w:type="dxa" w:w="60"/>
              <w:left w:type="dxa" w:w="90"/>
              <w:bottom w:type="dxa" w:w="60"/>
              <w:right w:type="dxa" w:w="90"/>
            </w:tcMar>
          </w:tcPr>
          <w:p>
            <w:r>
              <w:rPr>
                <w:b/>
                <w:bCs/>
                <w:color w:val="FFFFFF"/>
                <w:sz w:val="19"/>
                <w:szCs w:val="19"/>
              </w:rPr>
              <w:t xml:space="preserve">Bundle (Both)</w:t>
            </w:r>
          </w:p>
        </w:tc>
      </w:tr>
      <w:tr>
        <w:tc>
          <w:tcPr>
            <w:tcW w:type="dxa" w:w="2760"/>
            <w:tcMar>
              <w:top w:type="dxa" w:w="60"/>
              <w:left w:type="dxa" w:w="90"/>
              <w:bottom w:type="dxa" w:w="60"/>
              <w:right w:type="dxa" w:w="90"/>
            </w:tcMar>
          </w:tcPr>
          <w:p>
            <w:r>
              <w:rPr>
                <w:b w:val="false"/>
                <w:bCs w:val="false"/>
                <w:sz w:val="19"/>
                <w:szCs w:val="19"/>
              </w:rPr>
              <w:t xml:space="preserve">1–2 units</w:t>
            </w:r>
          </w:p>
        </w:tc>
        <w:tc>
          <w:tcPr>
            <w:tcW w:type="dxa" w:w="2200"/>
            <w:tcMar>
              <w:top w:type="dxa" w:w="60"/>
              <w:left w:type="dxa" w:w="90"/>
              <w:bottom w:type="dxa" w:w="60"/>
              <w:right w:type="dxa" w:w="90"/>
            </w:tcMar>
          </w:tcPr>
          <w:p>
            <w:r>
              <w:rPr>
                <w:b w:val="false"/>
                <w:bCs w:val="false"/>
                <w:sz w:val="19"/>
                <w:szCs w:val="19"/>
              </w:rPr>
              <w:t xml:space="preserve">$15.00</w:t>
            </w:r>
          </w:p>
        </w:tc>
        <w:tc>
          <w:tcPr>
            <w:tcW w:type="dxa" w:w="2200"/>
            <w:tcMar>
              <w:top w:type="dxa" w:w="60"/>
              <w:left w:type="dxa" w:w="90"/>
              <w:bottom w:type="dxa" w:w="60"/>
              <w:right w:type="dxa" w:w="90"/>
            </w:tcMar>
          </w:tcPr>
          <w:p>
            <w:r>
              <w:rPr>
                <w:b w:val="false"/>
                <w:bCs w:val="false"/>
                <w:sz w:val="19"/>
                <w:szCs w:val="19"/>
              </w:rPr>
              <w:t xml:space="preserve">$15.00</w:t>
            </w:r>
          </w:p>
        </w:tc>
        <w:tc>
          <w:tcPr>
            <w:tcW w:type="dxa" w:w="2200"/>
            <w:tcMar>
              <w:top w:type="dxa" w:w="60"/>
              <w:left w:type="dxa" w:w="90"/>
              <w:bottom w:type="dxa" w:w="60"/>
              <w:right w:type="dxa" w:w="90"/>
            </w:tcMar>
          </w:tcPr>
          <w:p>
            <w:r>
              <w:rPr>
                <w:b w:val="false"/>
                <w:bCs w:val="false"/>
                <w:sz w:val="19"/>
                <w:szCs w:val="19"/>
              </w:rPr>
              <w:t xml:space="preserve">$25.00 / unit</w:t>
            </w:r>
          </w:p>
        </w:tc>
      </w:tr>
      <w:tr>
        <w:tc>
          <w:tcPr>
            <w:tcW w:type="dxa" w:w="2760"/>
            <w:shd w:fill="F2F6FC" w:val="clear"/>
            <w:tcMar>
              <w:top w:type="dxa" w:w="60"/>
              <w:left w:type="dxa" w:w="90"/>
              <w:bottom w:type="dxa" w:w="60"/>
              <w:right w:type="dxa" w:w="90"/>
            </w:tcMar>
          </w:tcPr>
          <w:p>
            <w:r>
              <w:rPr>
                <w:b w:val="false"/>
                <w:bCs w:val="false"/>
                <w:sz w:val="19"/>
                <w:szCs w:val="19"/>
              </w:rPr>
              <w:t xml:space="preserve">3–9 units</w:t>
            </w:r>
          </w:p>
        </w:tc>
        <w:tc>
          <w:tcPr>
            <w:tcW w:type="dxa" w:w="2200"/>
            <w:shd w:fill="F2F6FC" w:val="clear"/>
            <w:tcMar>
              <w:top w:type="dxa" w:w="60"/>
              <w:left w:type="dxa" w:w="90"/>
              <w:bottom w:type="dxa" w:w="60"/>
              <w:right w:type="dxa" w:w="90"/>
            </w:tcMar>
          </w:tcPr>
          <w:p>
            <w:r>
              <w:rPr>
                <w:b w:val="false"/>
                <w:bCs w:val="false"/>
                <w:sz w:val="19"/>
                <w:szCs w:val="19"/>
              </w:rPr>
              <w:t xml:space="preserve">$13.25</w:t>
            </w:r>
          </w:p>
        </w:tc>
        <w:tc>
          <w:tcPr>
            <w:tcW w:type="dxa" w:w="2200"/>
            <w:shd w:fill="F2F6FC" w:val="clear"/>
            <w:tcMar>
              <w:top w:type="dxa" w:w="60"/>
              <w:left w:type="dxa" w:w="90"/>
              <w:bottom w:type="dxa" w:w="60"/>
              <w:right w:type="dxa" w:w="90"/>
            </w:tcMar>
          </w:tcPr>
          <w:p>
            <w:r>
              <w:rPr>
                <w:b w:val="false"/>
                <w:bCs w:val="false"/>
                <w:sz w:val="19"/>
                <w:szCs w:val="19"/>
              </w:rPr>
              <w:t xml:space="preserve">$13.25</w:t>
            </w:r>
          </w:p>
        </w:tc>
        <w:tc>
          <w:tcPr>
            <w:tcW w:type="dxa" w:w="2200"/>
            <w:shd w:fill="F2F6FC" w:val="clear"/>
            <w:tcMar>
              <w:top w:type="dxa" w:w="60"/>
              <w:left w:type="dxa" w:w="90"/>
              <w:bottom w:type="dxa" w:w="60"/>
              <w:right w:type="dxa" w:w="90"/>
            </w:tcMar>
          </w:tcPr>
          <w:p>
            <w:r>
              <w:rPr>
                <w:b w:val="false"/>
                <w:bCs w:val="false"/>
                <w:sz w:val="19"/>
                <w:szCs w:val="19"/>
              </w:rPr>
              <w:t xml:space="preserve">$22.00 / unit</w:t>
            </w:r>
          </w:p>
        </w:tc>
      </w:tr>
      <w:tr>
        <w:tc>
          <w:tcPr>
            <w:tcW w:type="dxa" w:w="2760"/>
            <w:tcMar>
              <w:top w:type="dxa" w:w="60"/>
              <w:left w:type="dxa" w:w="90"/>
              <w:bottom w:type="dxa" w:w="60"/>
              <w:right w:type="dxa" w:w="90"/>
            </w:tcMar>
          </w:tcPr>
          <w:p>
            <w:r>
              <w:rPr>
                <w:b w:val="false"/>
                <w:bCs w:val="false"/>
                <w:sz w:val="19"/>
                <w:szCs w:val="19"/>
              </w:rPr>
              <w:t xml:space="preserve">10+ units</w:t>
            </w:r>
          </w:p>
        </w:tc>
        <w:tc>
          <w:tcPr>
            <w:tcW w:type="dxa" w:w="2200"/>
            <w:tcMar>
              <w:top w:type="dxa" w:w="60"/>
              <w:left w:type="dxa" w:w="90"/>
              <w:bottom w:type="dxa" w:w="60"/>
              <w:right w:type="dxa" w:w="90"/>
            </w:tcMar>
          </w:tcPr>
          <w:p>
            <w:r>
              <w:rPr>
                <w:b w:val="false"/>
                <w:bCs w:val="false"/>
                <w:sz w:val="19"/>
                <w:szCs w:val="19"/>
              </w:rPr>
              <w:t xml:space="preserve">$12.00</w:t>
            </w:r>
          </w:p>
        </w:tc>
        <w:tc>
          <w:tcPr>
            <w:tcW w:type="dxa" w:w="2200"/>
            <w:tcMar>
              <w:top w:type="dxa" w:w="60"/>
              <w:left w:type="dxa" w:w="90"/>
              <w:bottom w:type="dxa" w:w="60"/>
              <w:right w:type="dxa" w:w="90"/>
            </w:tcMar>
          </w:tcPr>
          <w:p>
            <w:r>
              <w:rPr>
                <w:b w:val="false"/>
                <w:bCs w:val="false"/>
                <w:sz w:val="19"/>
                <w:szCs w:val="19"/>
              </w:rPr>
              <w:t xml:space="preserve">$12.00</w:t>
            </w:r>
          </w:p>
        </w:tc>
        <w:tc>
          <w:tcPr>
            <w:tcW w:type="dxa" w:w="2200"/>
            <w:tcMar>
              <w:top w:type="dxa" w:w="60"/>
              <w:left w:type="dxa" w:w="90"/>
              <w:bottom w:type="dxa" w:w="60"/>
              <w:right w:type="dxa" w:w="90"/>
            </w:tcMar>
          </w:tcPr>
          <w:p>
            <w:r>
              <w:rPr>
                <w:b w:val="false"/>
                <w:bCs w:val="false"/>
                <w:sz w:val="19"/>
                <w:szCs w:val="19"/>
              </w:rPr>
              <w:t xml:space="preserve">$20.00 / unit</w:t>
            </w:r>
          </w:p>
        </w:tc>
      </w:tr>
    </w:tbl>
    <w:p>
      <w:pPr>
        <w:spacing w:after="120"/>
      </w:pPr>
      <w:r>
        <w:rPr>
          <w:b/>
          <w:bCs/>
          <w:color w:val="1F3864"/>
          <w:sz w:val="22"/>
          <w:szCs w:val="22"/>
        </w:rPr>
        <w:t xml:space="preserve">Monthly cap: $500 per client, up to 100 units (100+ = custom).</w:t>
      </w:r>
    </w:p>
    <w:p>
      <w:pPr>
        <w:spacing w:after="120"/>
      </w:pPr>
      <w:r>
        <w:rPr>
          <w:sz w:val="20"/>
          <w:szCs w:val="20"/>
        </w:rPr>
        <w:t xml:space="preserve">The cap smooths the price curve — a client's bill rises with units, then plateaus at $500 and never drops as they add more. This delivers a deep effective discount to large managers (a 75-unit client pays ≈$6.67/unit) while keeping the small owner at full price.</w:t>
      </w:r>
    </w:p>
    <w:p>
      <w:pPr>
        <w:pStyle w:val="Heading1"/>
        <w:spacing w:after="120" w:before="260"/>
      </w:pPr>
      <w:r>
        <w:rPr>
          <w:b/>
          <w:bCs/>
          <w:color w:val="1F3864"/>
        </w:rPr>
        <w:t xml:space="preserve">4. Market Opportunity</w:t>
      </w:r>
    </w:p>
    <w:p>
      <w:pPr>
        <w:spacing w:after="120"/>
      </w:pPr>
      <w:r>
        <w:t xml:space="preserve">The U.S. has millions of short-term rental listings, and owners face constant, repetitive guest questions that eat time and hurt reviews when unanswered. Condo Assistant automates the front line of guest communication. The initial target is 5,000 VRBO clients — a mix of individual owners and small property-management companies — reachable through STR host communities, PM-software channels, and referrals.</w:t>
      </w:r>
    </w:p>
    <w:p>
      <w:pPr>
        <w:pStyle w:val="Heading1"/>
        <w:spacing w:after="120" w:before="260"/>
      </w:pPr>
      <w:r>
        <w:rPr>
          <w:b/>
          <w:bCs/>
          <w:color w:val="1F3864"/>
        </w:rPr>
        <w:t xml:space="preserve">5. Revenue Model (at full penetration of 5,000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0"/>
        <w:gridCol w:w="1200"/>
        <w:gridCol w:w="1300"/>
        <w:gridCol w:w="1400"/>
        <w:gridCol w:w="1400"/>
        <w:gridCol w:w="2400"/>
      </w:tblGrid>
      <w:tr>
        <w:trPr>
          <w:tblHeader/>
        </w:trPr>
        <w:tc>
          <w:tcPr>
            <w:tcW w:type="dxa" w:w="1660"/>
            <w:shd w:fill="1F3864" w:val="clear"/>
            <w:tcMar>
              <w:top w:type="dxa" w:w="60"/>
              <w:left w:type="dxa" w:w="90"/>
              <w:bottom w:type="dxa" w:w="60"/>
              <w:right w:type="dxa" w:w="90"/>
            </w:tcMar>
          </w:tcPr>
          <w:p>
            <w:r>
              <w:rPr>
                <w:b/>
                <w:bCs/>
                <w:color w:val="FFFFFF"/>
                <w:sz w:val="19"/>
                <w:szCs w:val="19"/>
              </w:rPr>
              <w:t xml:space="preserve">Client Band</w:t>
            </w:r>
          </w:p>
        </w:tc>
        <w:tc>
          <w:tcPr>
            <w:tcW w:type="dxa" w:w="1200"/>
            <w:shd w:fill="1F3864" w:val="clear"/>
            <w:tcMar>
              <w:top w:type="dxa" w:w="60"/>
              <w:left w:type="dxa" w:w="90"/>
              <w:bottom w:type="dxa" w:w="60"/>
              <w:right w:type="dxa" w:w="90"/>
            </w:tcMar>
          </w:tcPr>
          <w:p>
            <w:r>
              <w:rPr>
                <w:b/>
                <w:bCs/>
                <w:color w:val="FFFFFF"/>
                <w:sz w:val="19"/>
                <w:szCs w:val="19"/>
              </w:rPr>
              <w:t xml:space="preserve"># Clients</w:t>
            </w:r>
          </w:p>
        </w:tc>
        <w:tc>
          <w:tcPr>
            <w:tcW w:type="dxa" w:w="1300"/>
            <w:shd w:fill="1F3864" w:val="clear"/>
            <w:tcMar>
              <w:top w:type="dxa" w:w="60"/>
              <w:left w:type="dxa" w:w="90"/>
              <w:bottom w:type="dxa" w:w="60"/>
              <w:right w:type="dxa" w:w="90"/>
            </w:tcMar>
          </w:tcPr>
          <w:p>
            <w:r>
              <w:rPr>
                <w:b/>
                <w:bCs/>
                <w:color w:val="FFFFFF"/>
                <w:sz w:val="19"/>
                <w:szCs w:val="19"/>
              </w:rPr>
              <w:t xml:space="preserve">Avg Units</w:t>
            </w:r>
          </w:p>
        </w:tc>
        <w:tc>
          <w:tcPr>
            <w:tcW w:type="dxa" w:w="1400"/>
            <w:shd w:fill="1F3864" w:val="clear"/>
            <w:tcMar>
              <w:top w:type="dxa" w:w="60"/>
              <w:left w:type="dxa" w:w="90"/>
              <w:bottom w:type="dxa" w:w="60"/>
              <w:right w:type="dxa" w:w="90"/>
            </w:tcMar>
          </w:tcPr>
          <w:p>
            <w:r>
              <w:rPr>
                <w:b/>
                <w:bCs/>
                <w:color w:val="FFFFFF"/>
                <w:sz w:val="19"/>
                <w:szCs w:val="19"/>
              </w:rPr>
              <w:t xml:space="preserve">Total Units</w:t>
            </w:r>
          </w:p>
        </w:tc>
        <w:tc>
          <w:tcPr>
            <w:tcW w:type="dxa" w:w="1400"/>
            <w:shd w:fill="1F3864" w:val="clear"/>
            <w:tcMar>
              <w:top w:type="dxa" w:w="60"/>
              <w:left w:type="dxa" w:w="90"/>
              <w:bottom w:type="dxa" w:w="60"/>
              <w:right w:type="dxa" w:w="90"/>
            </w:tcMar>
          </w:tcPr>
          <w:p>
            <w:r>
              <w:rPr>
                <w:b/>
                <w:bCs/>
                <w:color w:val="FFFFFF"/>
                <w:sz w:val="19"/>
                <w:szCs w:val="19"/>
              </w:rPr>
              <w:t xml:space="preserve">Bill/Client/mo</w:t>
            </w:r>
          </w:p>
        </w:tc>
        <w:tc>
          <w:tcPr>
            <w:tcW w:type="dxa" w:w="2400"/>
            <w:shd w:fill="1F3864" w:val="clear"/>
            <w:tcMar>
              <w:top w:type="dxa" w:w="60"/>
              <w:left w:type="dxa" w:w="90"/>
              <w:bottom w:type="dxa" w:w="60"/>
              <w:right w:type="dxa" w:w="90"/>
            </w:tcMar>
          </w:tcPr>
          <w:p>
            <w:r>
              <w:rPr>
                <w:b/>
                <w:bCs/>
                <w:color w:val="FFFFFF"/>
                <w:sz w:val="19"/>
                <w:szCs w:val="19"/>
              </w:rPr>
              <w:t xml:space="preserve">Monthly Rev</w:t>
            </w:r>
          </w:p>
        </w:tc>
      </w:tr>
      <w:tr>
        <w:tc>
          <w:tcPr>
            <w:tcW w:type="dxa" w:w="1660"/>
            <w:tcMar>
              <w:top w:type="dxa" w:w="60"/>
              <w:left w:type="dxa" w:w="90"/>
              <w:bottom w:type="dxa" w:w="60"/>
              <w:right w:type="dxa" w:w="90"/>
            </w:tcMar>
          </w:tcPr>
          <w:p>
            <w:r>
              <w:rPr>
                <w:b w:val="false"/>
                <w:bCs w:val="false"/>
                <w:sz w:val="19"/>
                <w:szCs w:val="19"/>
              </w:rPr>
              <w:t xml:space="preserve">1–2 units</w:t>
            </w:r>
          </w:p>
        </w:tc>
        <w:tc>
          <w:tcPr>
            <w:tcW w:type="dxa" w:w="1200"/>
            <w:tcMar>
              <w:top w:type="dxa" w:w="60"/>
              <w:left w:type="dxa" w:w="90"/>
              <w:bottom w:type="dxa" w:w="60"/>
              <w:right w:type="dxa" w:w="90"/>
            </w:tcMar>
          </w:tcPr>
          <w:p>
            <w:r>
              <w:rPr>
                <w:b w:val="false"/>
                <w:bCs w:val="false"/>
                <w:sz w:val="19"/>
                <w:szCs w:val="19"/>
              </w:rPr>
              <w:t xml:space="preserve">4,000</w:t>
            </w:r>
          </w:p>
        </w:tc>
        <w:tc>
          <w:tcPr>
            <w:tcW w:type="dxa" w:w="1300"/>
            <w:tcMar>
              <w:top w:type="dxa" w:w="60"/>
              <w:left w:type="dxa" w:w="90"/>
              <w:bottom w:type="dxa" w:w="60"/>
              <w:right w:type="dxa" w:w="90"/>
            </w:tcMar>
          </w:tcPr>
          <w:p>
            <w:r>
              <w:rPr>
                <w:b w:val="false"/>
                <w:bCs w:val="false"/>
                <w:sz w:val="19"/>
                <w:szCs w:val="19"/>
              </w:rPr>
              <w:t xml:space="preserve">1.5</w:t>
            </w:r>
          </w:p>
        </w:tc>
        <w:tc>
          <w:tcPr>
            <w:tcW w:type="dxa" w:w="1400"/>
            <w:tcMar>
              <w:top w:type="dxa" w:w="60"/>
              <w:left w:type="dxa" w:w="90"/>
              <w:bottom w:type="dxa" w:w="60"/>
              <w:right w:type="dxa" w:w="90"/>
            </w:tcMar>
          </w:tcPr>
          <w:p>
            <w:r>
              <w:rPr>
                <w:b w:val="false"/>
                <w:bCs w:val="false"/>
                <w:sz w:val="19"/>
                <w:szCs w:val="19"/>
              </w:rPr>
              <w:t xml:space="preserve">6,000</w:t>
            </w:r>
          </w:p>
        </w:tc>
        <w:tc>
          <w:tcPr>
            <w:tcW w:type="dxa" w:w="1400"/>
            <w:tcMar>
              <w:top w:type="dxa" w:w="60"/>
              <w:left w:type="dxa" w:w="90"/>
              <w:bottom w:type="dxa" w:w="60"/>
              <w:right w:type="dxa" w:w="90"/>
            </w:tcMar>
          </w:tcPr>
          <w:p>
            <w:r>
              <w:rPr>
                <w:b w:val="false"/>
                <w:bCs w:val="false"/>
                <w:sz w:val="19"/>
                <w:szCs w:val="19"/>
              </w:rPr>
              <w:t xml:space="preserve">$32</w:t>
            </w:r>
          </w:p>
        </w:tc>
        <w:tc>
          <w:tcPr>
            <w:tcW w:type="dxa" w:w="2400"/>
            <w:tcMar>
              <w:top w:type="dxa" w:w="60"/>
              <w:left w:type="dxa" w:w="90"/>
              <w:bottom w:type="dxa" w:w="60"/>
              <w:right w:type="dxa" w:w="90"/>
            </w:tcMar>
          </w:tcPr>
          <w:p>
            <w:r>
              <w:rPr>
                <w:b w:val="false"/>
                <w:bCs w:val="false"/>
                <w:sz w:val="19"/>
                <w:szCs w:val="19"/>
              </w:rPr>
              <w:t xml:space="preserve">$129,000</w:t>
            </w:r>
          </w:p>
        </w:tc>
      </w:tr>
      <w:tr>
        <w:tc>
          <w:tcPr>
            <w:tcW w:type="dxa" w:w="1660"/>
            <w:shd w:fill="F2F6FC" w:val="clear"/>
            <w:tcMar>
              <w:top w:type="dxa" w:w="60"/>
              <w:left w:type="dxa" w:w="90"/>
              <w:bottom w:type="dxa" w:w="60"/>
              <w:right w:type="dxa" w:w="90"/>
            </w:tcMar>
          </w:tcPr>
          <w:p>
            <w:r>
              <w:rPr>
                <w:b w:val="false"/>
                <w:bCs w:val="false"/>
                <w:sz w:val="19"/>
                <w:szCs w:val="19"/>
              </w:rPr>
              <w:t xml:space="preserve">3–9 units</w:t>
            </w:r>
          </w:p>
        </w:tc>
        <w:tc>
          <w:tcPr>
            <w:tcW w:type="dxa" w:w="1200"/>
            <w:shd w:fill="F2F6FC" w:val="clear"/>
            <w:tcMar>
              <w:top w:type="dxa" w:w="60"/>
              <w:left w:type="dxa" w:w="90"/>
              <w:bottom w:type="dxa" w:w="60"/>
              <w:right w:type="dxa" w:w="90"/>
            </w:tcMar>
          </w:tcPr>
          <w:p>
            <w:r>
              <w:rPr>
                <w:b w:val="false"/>
                <w:bCs w:val="false"/>
                <w:sz w:val="19"/>
                <w:szCs w:val="19"/>
              </w:rPr>
              <w:t xml:space="preserve">500</w:t>
            </w:r>
          </w:p>
        </w:tc>
        <w:tc>
          <w:tcPr>
            <w:tcW w:type="dxa" w:w="1300"/>
            <w:shd w:fill="F2F6FC" w:val="clear"/>
            <w:tcMar>
              <w:top w:type="dxa" w:w="60"/>
              <w:left w:type="dxa" w:w="90"/>
              <w:bottom w:type="dxa" w:w="60"/>
              <w:right w:type="dxa" w:w="90"/>
            </w:tcMar>
          </w:tcPr>
          <w:p>
            <w:r>
              <w:rPr>
                <w:b w:val="false"/>
                <w:bCs w:val="false"/>
                <w:sz w:val="19"/>
                <w:szCs w:val="19"/>
              </w:rPr>
              <w:t xml:space="preserve">5</w:t>
            </w:r>
          </w:p>
        </w:tc>
        <w:tc>
          <w:tcPr>
            <w:tcW w:type="dxa" w:w="1400"/>
            <w:shd w:fill="F2F6FC" w:val="clear"/>
            <w:tcMar>
              <w:top w:type="dxa" w:w="60"/>
              <w:left w:type="dxa" w:w="90"/>
              <w:bottom w:type="dxa" w:w="60"/>
              <w:right w:type="dxa" w:w="90"/>
            </w:tcMar>
          </w:tcPr>
          <w:p>
            <w:r>
              <w:rPr>
                <w:b w:val="false"/>
                <w:bCs w:val="false"/>
                <w:sz w:val="19"/>
                <w:szCs w:val="19"/>
              </w:rPr>
              <w:t xml:space="preserve">2,500</w:t>
            </w:r>
          </w:p>
        </w:tc>
        <w:tc>
          <w:tcPr>
            <w:tcW w:type="dxa" w:w="1400"/>
            <w:shd w:fill="F2F6FC" w:val="clear"/>
            <w:tcMar>
              <w:top w:type="dxa" w:w="60"/>
              <w:left w:type="dxa" w:w="90"/>
              <w:bottom w:type="dxa" w:w="60"/>
              <w:right w:type="dxa" w:w="90"/>
            </w:tcMar>
          </w:tcPr>
          <w:p>
            <w:r>
              <w:rPr>
                <w:b w:val="false"/>
                <w:bCs w:val="false"/>
                <w:sz w:val="19"/>
                <w:szCs w:val="19"/>
              </w:rPr>
              <w:t xml:space="preserve">$95</w:t>
            </w:r>
          </w:p>
        </w:tc>
        <w:tc>
          <w:tcPr>
            <w:tcW w:type="dxa" w:w="2400"/>
            <w:shd w:fill="F2F6FC" w:val="clear"/>
            <w:tcMar>
              <w:top w:type="dxa" w:w="60"/>
              <w:left w:type="dxa" w:w="90"/>
              <w:bottom w:type="dxa" w:w="60"/>
              <w:right w:type="dxa" w:w="90"/>
            </w:tcMar>
          </w:tcPr>
          <w:p>
            <w:r>
              <w:rPr>
                <w:b w:val="false"/>
                <w:bCs w:val="false"/>
                <w:sz w:val="19"/>
                <w:szCs w:val="19"/>
              </w:rPr>
              <w:t xml:space="preserve">$47,344</w:t>
            </w:r>
          </w:p>
        </w:tc>
      </w:tr>
      <w:tr>
        <w:tc>
          <w:tcPr>
            <w:tcW w:type="dxa" w:w="1660"/>
            <w:tcMar>
              <w:top w:type="dxa" w:w="60"/>
              <w:left w:type="dxa" w:w="90"/>
              <w:bottom w:type="dxa" w:w="60"/>
              <w:right w:type="dxa" w:w="90"/>
            </w:tcMar>
          </w:tcPr>
          <w:p>
            <w:r>
              <w:rPr>
                <w:b w:val="false"/>
                <w:bCs w:val="false"/>
                <w:sz w:val="19"/>
                <w:szCs w:val="19"/>
              </w:rPr>
              <w:t xml:space="preserve">10–19 units</w:t>
            </w:r>
          </w:p>
        </w:tc>
        <w:tc>
          <w:tcPr>
            <w:tcW w:type="dxa" w:w="1200"/>
            <w:tcMar>
              <w:top w:type="dxa" w:w="60"/>
              <w:left w:type="dxa" w:w="90"/>
              <w:bottom w:type="dxa" w:w="60"/>
              <w:right w:type="dxa" w:w="90"/>
            </w:tcMar>
          </w:tcPr>
          <w:p>
            <w:r>
              <w:rPr>
                <w:b w:val="false"/>
                <w:bCs w:val="false"/>
                <w:sz w:val="19"/>
                <w:szCs w:val="19"/>
              </w:rPr>
              <w:t xml:space="preserve">300</w:t>
            </w:r>
          </w:p>
        </w:tc>
        <w:tc>
          <w:tcPr>
            <w:tcW w:type="dxa" w:w="1300"/>
            <w:tcMar>
              <w:top w:type="dxa" w:w="60"/>
              <w:left w:type="dxa" w:w="90"/>
              <w:bottom w:type="dxa" w:w="60"/>
              <w:right w:type="dxa" w:w="90"/>
            </w:tcMar>
          </w:tcPr>
          <w:p>
            <w:r>
              <w:rPr>
                <w:b w:val="false"/>
                <w:bCs w:val="false"/>
                <w:sz w:val="19"/>
                <w:szCs w:val="19"/>
              </w:rPr>
              <w:t xml:space="preserve">13</w:t>
            </w:r>
          </w:p>
        </w:tc>
        <w:tc>
          <w:tcPr>
            <w:tcW w:type="dxa" w:w="1400"/>
            <w:tcMar>
              <w:top w:type="dxa" w:w="60"/>
              <w:left w:type="dxa" w:w="90"/>
              <w:bottom w:type="dxa" w:w="60"/>
              <w:right w:type="dxa" w:w="90"/>
            </w:tcMar>
          </w:tcPr>
          <w:p>
            <w:r>
              <w:rPr>
                <w:b w:val="false"/>
                <w:bCs w:val="false"/>
                <w:sz w:val="19"/>
                <w:szCs w:val="19"/>
              </w:rPr>
              <w:t xml:space="preserve">3,900</w:t>
            </w:r>
          </w:p>
        </w:tc>
        <w:tc>
          <w:tcPr>
            <w:tcW w:type="dxa" w:w="1400"/>
            <w:tcMar>
              <w:top w:type="dxa" w:w="60"/>
              <w:left w:type="dxa" w:w="90"/>
              <w:bottom w:type="dxa" w:w="60"/>
              <w:right w:type="dxa" w:w="90"/>
            </w:tcMar>
          </w:tcPr>
          <w:p>
            <w:r>
              <w:rPr>
                <w:b w:val="false"/>
                <w:bCs w:val="false"/>
                <w:sz w:val="19"/>
                <w:szCs w:val="19"/>
              </w:rPr>
              <w:t xml:space="preserve">$224</w:t>
            </w:r>
          </w:p>
        </w:tc>
        <w:tc>
          <w:tcPr>
            <w:tcW w:type="dxa" w:w="2400"/>
            <w:tcMar>
              <w:top w:type="dxa" w:w="60"/>
              <w:left w:type="dxa" w:w="90"/>
              <w:bottom w:type="dxa" w:w="60"/>
              <w:right w:type="dxa" w:w="90"/>
            </w:tcMar>
          </w:tcPr>
          <w:p>
            <w:r>
              <w:rPr>
                <w:b w:val="false"/>
                <w:bCs w:val="false"/>
                <w:sz w:val="19"/>
                <w:szCs w:val="19"/>
              </w:rPr>
              <w:t xml:space="preserve">$67,080</w:t>
            </w:r>
          </w:p>
        </w:tc>
      </w:tr>
      <w:tr>
        <w:tc>
          <w:tcPr>
            <w:tcW w:type="dxa" w:w="1660"/>
            <w:shd w:fill="F2F6FC" w:val="clear"/>
            <w:tcMar>
              <w:top w:type="dxa" w:w="60"/>
              <w:left w:type="dxa" w:w="90"/>
              <w:bottom w:type="dxa" w:w="60"/>
              <w:right w:type="dxa" w:w="90"/>
            </w:tcMar>
          </w:tcPr>
          <w:p>
            <w:r>
              <w:rPr>
                <w:b w:val="false"/>
                <w:bCs w:val="false"/>
                <w:sz w:val="19"/>
                <w:szCs w:val="19"/>
              </w:rPr>
              <w:t xml:space="preserve">20–49 units</w:t>
            </w:r>
          </w:p>
        </w:tc>
        <w:tc>
          <w:tcPr>
            <w:tcW w:type="dxa" w:w="1200"/>
            <w:shd w:fill="F2F6FC" w:val="clear"/>
            <w:tcMar>
              <w:top w:type="dxa" w:w="60"/>
              <w:left w:type="dxa" w:w="90"/>
              <w:bottom w:type="dxa" w:w="60"/>
              <w:right w:type="dxa" w:w="90"/>
            </w:tcMar>
          </w:tcPr>
          <w:p>
            <w:r>
              <w:rPr>
                <w:b w:val="false"/>
                <w:bCs w:val="false"/>
                <w:sz w:val="19"/>
                <w:szCs w:val="19"/>
              </w:rPr>
              <w:t xml:space="preserve">200</w:t>
            </w:r>
          </w:p>
        </w:tc>
        <w:tc>
          <w:tcPr>
            <w:tcW w:type="dxa" w:w="1300"/>
            <w:shd w:fill="F2F6FC" w:val="clear"/>
            <w:tcMar>
              <w:top w:type="dxa" w:w="60"/>
              <w:left w:type="dxa" w:w="90"/>
              <w:bottom w:type="dxa" w:w="60"/>
              <w:right w:type="dxa" w:w="90"/>
            </w:tcMar>
          </w:tcPr>
          <w:p>
            <w:r>
              <w:rPr>
                <w:b w:val="false"/>
                <w:bCs w:val="false"/>
                <w:sz w:val="19"/>
                <w:szCs w:val="19"/>
              </w:rPr>
              <w:t xml:space="preserve">30</w:t>
            </w:r>
          </w:p>
        </w:tc>
        <w:tc>
          <w:tcPr>
            <w:tcW w:type="dxa" w:w="1400"/>
            <w:shd w:fill="F2F6FC" w:val="clear"/>
            <w:tcMar>
              <w:top w:type="dxa" w:w="60"/>
              <w:left w:type="dxa" w:w="90"/>
              <w:bottom w:type="dxa" w:w="60"/>
              <w:right w:type="dxa" w:w="90"/>
            </w:tcMar>
          </w:tcPr>
          <w:p>
            <w:r>
              <w:rPr>
                <w:b w:val="false"/>
                <w:bCs w:val="false"/>
                <w:sz w:val="19"/>
                <w:szCs w:val="19"/>
              </w:rPr>
              <w:t xml:space="preserve">6,000</w:t>
            </w:r>
          </w:p>
        </w:tc>
        <w:tc>
          <w:tcPr>
            <w:tcW w:type="dxa" w:w="1400"/>
            <w:shd w:fill="F2F6FC" w:val="clear"/>
            <w:tcMar>
              <w:top w:type="dxa" w:w="60"/>
              <w:left w:type="dxa" w:w="90"/>
              <w:bottom w:type="dxa" w:w="60"/>
              <w:right w:type="dxa" w:w="90"/>
            </w:tcMar>
          </w:tcPr>
          <w:p>
            <w:r>
              <w:rPr>
                <w:b w:val="false"/>
                <w:bCs w:val="false"/>
                <w:sz w:val="19"/>
                <w:szCs w:val="19"/>
              </w:rPr>
              <w:t xml:space="preserve">$500 (cap)</w:t>
            </w:r>
          </w:p>
        </w:tc>
        <w:tc>
          <w:tcPr>
            <w:tcW w:type="dxa" w:w="2400"/>
            <w:shd w:fill="F2F6FC" w:val="clear"/>
            <w:tcMar>
              <w:top w:type="dxa" w:w="60"/>
              <w:left w:type="dxa" w:w="90"/>
              <w:bottom w:type="dxa" w:w="60"/>
              <w:right w:type="dxa" w:w="90"/>
            </w:tcMar>
          </w:tcPr>
          <w:p>
            <w:r>
              <w:rPr>
                <w:b w:val="false"/>
                <w:bCs w:val="false"/>
                <w:sz w:val="19"/>
                <w:szCs w:val="19"/>
              </w:rPr>
              <w:t xml:space="preserve">$100,000</w:t>
            </w:r>
          </w:p>
        </w:tc>
      </w:tr>
      <w:tr>
        <w:tc>
          <w:tcPr>
            <w:tcW w:type="dxa" w:w="1660"/>
            <w:tcMar>
              <w:top w:type="dxa" w:w="60"/>
              <w:left w:type="dxa" w:w="90"/>
              <w:bottom w:type="dxa" w:w="60"/>
              <w:right w:type="dxa" w:w="90"/>
            </w:tcMar>
          </w:tcPr>
          <w:p>
            <w:r>
              <w:rPr>
                <w:b w:val="false"/>
                <w:bCs w:val="false"/>
                <w:sz w:val="19"/>
                <w:szCs w:val="19"/>
              </w:rPr>
              <w:t xml:space="preserve">50–100 units</w:t>
            </w:r>
          </w:p>
        </w:tc>
        <w:tc>
          <w:tcPr>
            <w:tcW w:type="dxa" w:w="1200"/>
            <w:tcMar>
              <w:top w:type="dxa" w:w="60"/>
              <w:left w:type="dxa" w:w="90"/>
              <w:bottom w:type="dxa" w:w="60"/>
              <w:right w:type="dxa" w:w="90"/>
            </w:tcMar>
          </w:tcPr>
          <w:p>
            <w:r>
              <w:rPr>
                <w:b w:val="false"/>
                <w:bCs w:val="false"/>
                <w:sz w:val="19"/>
                <w:szCs w:val="19"/>
              </w:rPr>
              <w:t xml:space="preserve">50</w:t>
            </w:r>
          </w:p>
        </w:tc>
        <w:tc>
          <w:tcPr>
            <w:tcW w:type="dxa" w:w="1300"/>
            <w:tcMar>
              <w:top w:type="dxa" w:w="60"/>
              <w:left w:type="dxa" w:w="90"/>
              <w:bottom w:type="dxa" w:w="60"/>
              <w:right w:type="dxa" w:w="90"/>
            </w:tcMar>
          </w:tcPr>
          <w:p>
            <w:r>
              <w:rPr>
                <w:b w:val="false"/>
                <w:bCs w:val="false"/>
                <w:sz w:val="19"/>
                <w:szCs w:val="19"/>
              </w:rPr>
              <w:t xml:space="preserve">75</w:t>
            </w:r>
          </w:p>
        </w:tc>
        <w:tc>
          <w:tcPr>
            <w:tcW w:type="dxa" w:w="1400"/>
            <w:tcMar>
              <w:top w:type="dxa" w:w="60"/>
              <w:left w:type="dxa" w:w="90"/>
              <w:bottom w:type="dxa" w:w="60"/>
              <w:right w:type="dxa" w:w="90"/>
            </w:tcMar>
          </w:tcPr>
          <w:p>
            <w:r>
              <w:rPr>
                <w:b w:val="false"/>
                <w:bCs w:val="false"/>
                <w:sz w:val="19"/>
                <w:szCs w:val="19"/>
              </w:rPr>
              <w:t xml:space="preserve">3,750</w:t>
            </w:r>
          </w:p>
        </w:tc>
        <w:tc>
          <w:tcPr>
            <w:tcW w:type="dxa" w:w="1400"/>
            <w:tcMar>
              <w:top w:type="dxa" w:w="60"/>
              <w:left w:type="dxa" w:w="90"/>
              <w:bottom w:type="dxa" w:w="60"/>
              <w:right w:type="dxa" w:w="90"/>
            </w:tcMar>
          </w:tcPr>
          <w:p>
            <w:r>
              <w:rPr>
                <w:b w:val="false"/>
                <w:bCs w:val="false"/>
                <w:sz w:val="19"/>
                <w:szCs w:val="19"/>
              </w:rPr>
              <w:t xml:space="preserve">$500 (cap)</w:t>
            </w:r>
          </w:p>
        </w:tc>
        <w:tc>
          <w:tcPr>
            <w:tcW w:type="dxa" w:w="2400"/>
            <w:tcMar>
              <w:top w:type="dxa" w:w="60"/>
              <w:left w:type="dxa" w:w="90"/>
              <w:bottom w:type="dxa" w:w="60"/>
              <w:right w:type="dxa" w:w="90"/>
            </w:tcMar>
          </w:tcPr>
          <w:p>
            <w:r>
              <w:rPr>
                <w:b w:val="false"/>
                <w:bCs w:val="false"/>
                <w:sz w:val="19"/>
                <w:szCs w:val="19"/>
              </w:rPr>
              <w:t xml:space="preserve">$25,000</w:t>
            </w:r>
          </w:p>
        </w:tc>
      </w:tr>
      <w:tr>
        <w:tc>
          <w:tcPr>
            <w:tcW w:type="dxa" w:w="1660"/>
            <w:shd w:fill="F2F6FC" w:val="clear"/>
            <w:tcMar>
              <w:top w:type="dxa" w:w="60"/>
              <w:left w:type="dxa" w:w="90"/>
              <w:bottom w:type="dxa" w:w="60"/>
              <w:right w:type="dxa" w:w="90"/>
            </w:tcMar>
          </w:tcPr>
          <w:p>
            <w:r>
              <w:rPr>
                <w:b w:val="false"/>
                <w:bCs w:val="false"/>
                <w:sz w:val="19"/>
                <w:szCs w:val="19"/>
              </w:rPr>
              <w:t xml:space="preserve">TOTAL</w:t>
            </w:r>
          </w:p>
        </w:tc>
        <w:tc>
          <w:tcPr>
            <w:tcW w:type="dxa" w:w="1200"/>
            <w:shd w:fill="F2F6FC" w:val="clear"/>
            <w:tcMar>
              <w:top w:type="dxa" w:w="60"/>
              <w:left w:type="dxa" w:w="90"/>
              <w:bottom w:type="dxa" w:w="60"/>
              <w:right w:type="dxa" w:w="90"/>
            </w:tcMar>
          </w:tcPr>
          <w:p>
            <w:r>
              <w:rPr>
                <w:b w:val="false"/>
                <w:bCs w:val="false"/>
                <w:sz w:val="19"/>
                <w:szCs w:val="19"/>
              </w:rPr>
              <w:t xml:space="preserve">5,050</w:t>
            </w:r>
          </w:p>
        </w:tc>
        <w:tc>
          <w:tcPr>
            <w:tcW w:type="dxa" w:w="1300"/>
            <w:shd w:fill="F2F6FC" w:val="clear"/>
            <w:tcMar>
              <w:top w:type="dxa" w:w="60"/>
              <w:left w:type="dxa" w:w="90"/>
              <w:bottom w:type="dxa" w:w="60"/>
              <w:right w:type="dxa" w:w="90"/>
            </w:tcMar>
          </w:tcPr>
          <w:p>
            <w:r>
              <w:rPr>
                <w:b w:val="false"/>
                <w:bCs w:val="false"/>
                <w:sz w:val="19"/>
                <w:szCs w:val="19"/>
              </w:rPr>
              <w:t xml:space="preserve">4.4 avg</w:t>
            </w:r>
          </w:p>
        </w:tc>
        <w:tc>
          <w:tcPr>
            <w:tcW w:type="dxa" w:w="1400"/>
            <w:shd w:fill="F2F6FC" w:val="clear"/>
            <w:tcMar>
              <w:top w:type="dxa" w:w="60"/>
              <w:left w:type="dxa" w:w="90"/>
              <w:bottom w:type="dxa" w:w="60"/>
              <w:right w:type="dxa" w:w="90"/>
            </w:tcMar>
          </w:tcPr>
          <w:p>
            <w:r>
              <w:rPr>
                <w:b w:val="false"/>
                <w:bCs w:val="false"/>
                <w:sz w:val="19"/>
                <w:szCs w:val="19"/>
              </w:rPr>
              <w:t xml:space="preserve">22,150</w:t>
            </w:r>
          </w:p>
        </w:tc>
        <w:tc>
          <w:tcPr>
            <w:tcW w:type="dxa" w:w="1400"/>
            <w:shd w:fill="F2F6FC" w:val="clear"/>
            <w:tcMar>
              <w:top w:type="dxa" w:w="60"/>
              <w:left w:type="dxa" w:w="90"/>
              <w:bottom w:type="dxa" w:w="60"/>
              <w:right w:type="dxa" w:w="90"/>
            </w:tcMar>
          </w:tcPr>
          <w:p>
            <w:r>
              <w:rPr>
                <w:b w:val="false"/>
                <w:bCs w:val="false"/>
                <w:sz w:val="19"/>
                <w:szCs w:val="19"/>
              </w:rPr>
              <w:t xml:space="preserve">—</w:t>
            </w:r>
          </w:p>
        </w:tc>
        <w:tc>
          <w:tcPr>
            <w:tcW w:type="dxa" w:w="2400"/>
            <w:shd w:fill="F2F6FC" w:val="clear"/>
            <w:tcMar>
              <w:top w:type="dxa" w:w="60"/>
              <w:left w:type="dxa" w:w="90"/>
              <w:bottom w:type="dxa" w:w="60"/>
              <w:right w:type="dxa" w:w="90"/>
            </w:tcMar>
          </w:tcPr>
          <w:p>
            <w:r>
              <w:rPr>
                <w:b w:val="false"/>
                <w:bCs w:val="false"/>
                <w:sz w:val="19"/>
                <w:szCs w:val="19"/>
              </w:rPr>
              <w:t xml:space="preserve">$368,424</w:t>
            </w:r>
          </w:p>
        </w:tc>
      </w:tr>
    </w:tbl>
    <w:p>
      <w:pPr>
        <w:spacing w:after="80"/>
      </w:pPr>
    </w:p>
    <w:p>
      <w:pPr>
        <w:spacing w:after="120"/>
      </w:pPr>
      <w:r>
        <w:rPr>
          <w:b/>
          <w:bCs/>
          <w:color w:val="1F3864"/>
          <w:sz w:val="24"/>
          <w:szCs w:val="24"/>
        </w:rPr>
        <w:t xml:space="preserve">Annual Recurring Revenue at full penetration: ~$4.4M.</w:t>
      </w:r>
    </w:p>
    <w:p>
      <w:pPr>
        <w:spacing w:after="120"/>
      </w:pPr>
      <w:r>
        <w:rPr>
          <w:i/>
          <w:iCs/>
          <w:color w:val="777777"/>
          <w:sz w:val="18"/>
          <w:szCs w:val="18"/>
        </w:rPr>
        <w:t xml:space="preserve">Client counts are yours; avg units/client and bundle-adoption (65%) are estimates — the model recalculates instantly as real numbers replace them.</w:t>
      </w:r>
    </w:p>
    <w:p>
      <w:pPr>
        <w:pStyle w:val="Heading1"/>
        <w:spacing w:after="120" w:before="260"/>
      </w:pPr>
      <w:r>
        <w:rPr>
          <w:b/>
          <w:bCs/>
          <w:color w:val="1F3864"/>
        </w:rPr>
        <w:t xml:space="preserve">6.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gridCol w:w="2600"/>
        <w:gridCol w:w="2080"/>
      </w:tblGrid>
      <w:tr>
        <w:trPr>
          <w:tblHeader/>
        </w:trPr>
        <w:tc>
          <w:tcPr>
            <w:tcW w:type="dxa" w:w="2600"/>
            <w:shd w:fill="1F3864" w:val="clear"/>
            <w:tcMar>
              <w:top w:type="dxa" w:w="60"/>
              <w:left w:type="dxa" w:w="90"/>
              <w:bottom w:type="dxa" w:w="60"/>
              <w:right w:type="dxa" w:w="90"/>
            </w:tcMar>
          </w:tcPr>
          <w:p>
            <w:r>
              <w:rPr>
                <w:b/>
                <w:bCs/>
                <w:color w:val="FFFFFF"/>
                <w:sz w:val="19"/>
                <w:szCs w:val="19"/>
              </w:rPr>
              <w:t xml:space="preserve">Metric</w:t>
            </w:r>
          </w:p>
        </w:tc>
        <w:tc>
          <w:tcPr>
            <w:tcW w:type="dxa" w:w="2080"/>
            <w:shd w:fill="1F3864" w:val="clear"/>
            <w:tcMar>
              <w:top w:type="dxa" w:w="60"/>
              <w:left w:type="dxa" w:w="90"/>
              <w:bottom w:type="dxa" w:w="60"/>
              <w:right w:type="dxa" w:w="90"/>
            </w:tcMar>
          </w:tcPr>
          <w:p>
            <w:r>
              <w:rPr>
                <w:b/>
                <w:bCs/>
                <w:color w:val="FFFFFF"/>
                <w:sz w:val="19"/>
                <w:szCs w:val="19"/>
              </w:rPr>
              <w:t xml:space="preserve">Value</w:t>
            </w:r>
          </w:p>
        </w:tc>
        <w:tc>
          <w:tcPr>
            <w:tcW w:type="dxa" w:w="2600"/>
            <w:shd w:fill="1F3864" w:val="clear"/>
            <w:tcMar>
              <w:top w:type="dxa" w:w="60"/>
              <w:left w:type="dxa" w:w="90"/>
              <w:bottom w:type="dxa" w:w="60"/>
              <w:right w:type="dxa" w:w="90"/>
            </w:tcMar>
          </w:tcPr>
          <w:p>
            <w:r>
              <w:rPr>
                <w:b/>
                <w:bCs/>
                <w:color w:val="FFFFFF"/>
                <w:sz w:val="19"/>
                <w:szCs w:val="19"/>
              </w:rPr>
              <w:t xml:space="preserve">Metric</w:t>
            </w:r>
          </w:p>
        </w:tc>
        <w:tc>
          <w:tcPr>
            <w:tcW w:type="dxa" w:w="2080"/>
            <w:shd w:fill="1F3864" w:val="clear"/>
            <w:tcMar>
              <w:top w:type="dxa" w:w="60"/>
              <w:left w:type="dxa" w:w="90"/>
              <w:bottom w:type="dxa" w:w="60"/>
              <w:right w:type="dxa" w:w="90"/>
            </w:tcMar>
          </w:tcPr>
          <w:p>
            <w:r>
              <w:rPr>
                <w:b/>
                <w:bCs/>
                <w:color w:val="FFFFFF"/>
                <w:sz w:val="19"/>
                <w:szCs w:val="19"/>
              </w:rPr>
              <w:t xml:space="preserve">Value</w:t>
            </w:r>
          </w:p>
        </w:tc>
      </w:tr>
      <w:tr>
        <w:tc>
          <w:tcPr>
            <w:tcW w:type="dxa" w:w="2600"/>
            <w:tcMar>
              <w:top w:type="dxa" w:w="60"/>
              <w:left w:type="dxa" w:w="90"/>
              <w:bottom w:type="dxa" w:w="60"/>
              <w:right w:type="dxa" w:w="90"/>
            </w:tcMar>
          </w:tcPr>
          <w:p>
            <w:r>
              <w:rPr>
                <w:b w:val="false"/>
                <w:bCs w:val="false"/>
                <w:sz w:val="19"/>
                <w:szCs w:val="19"/>
              </w:rPr>
              <w:t xml:space="preserve">Avg revenue / unit / mo</w:t>
            </w:r>
          </w:p>
        </w:tc>
        <w:tc>
          <w:tcPr>
            <w:tcW w:type="dxa" w:w="2080"/>
            <w:tcMar>
              <w:top w:type="dxa" w:w="60"/>
              <w:left w:type="dxa" w:w="90"/>
              <w:bottom w:type="dxa" w:w="60"/>
              <w:right w:type="dxa" w:w="90"/>
            </w:tcMar>
          </w:tcPr>
          <w:p>
            <w:r>
              <w:rPr>
                <w:b w:val="false"/>
                <w:bCs w:val="false"/>
                <w:sz w:val="19"/>
                <w:szCs w:val="19"/>
              </w:rPr>
              <w:t xml:space="preserve">$16.63</w:t>
            </w:r>
          </w:p>
        </w:tc>
        <w:tc>
          <w:tcPr>
            <w:tcW w:type="dxa" w:w="2600"/>
            <w:tcMar>
              <w:top w:type="dxa" w:w="60"/>
              <w:left w:type="dxa" w:w="90"/>
              <w:bottom w:type="dxa" w:w="60"/>
              <w:right w:type="dxa" w:w="90"/>
            </w:tcMar>
          </w:tcPr>
          <w:p>
            <w:r>
              <w:rPr>
                <w:b w:val="false"/>
                <w:bCs w:val="false"/>
                <w:sz w:val="19"/>
                <w:szCs w:val="19"/>
              </w:rPr>
              <w:t xml:space="preserve">Avg units / client</w:t>
            </w:r>
          </w:p>
        </w:tc>
        <w:tc>
          <w:tcPr>
            <w:tcW w:type="dxa" w:w="2080"/>
            <w:tcMar>
              <w:top w:type="dxa" w:w="60"/>
              <w:left w:type="dxa" w:w="90"/>
              <w:bottom w:type="dxa" w:w="60"/>
              <w:right w:type="dxa" w:w="90"/>
            </w:tcMar>
          </w:tcPr>
          <w:p>
            <w:r>
              <w:rPr>
                <w:b w:val="false"/>
                <w:bCs w:val="false"/>
                <w:sz w:val="19"/>
                <w:szCs w:val="19"/>
              </w:rPr>
              <w:t xml:space="preserve">4.4</w:t>
            </w:r>
          </w:p>
        </w:tc>
      </w:tr>
      <w:tr>
        <w:tc>
          <w:tcPr>
            <w:tcW w:type="dxa" w:w="2600"/>
            <w:shd w:fill="F2F6FC" w:val="clear"/>
            <w:tcMar>
              <w:top w:type="dxa" w:w="60"/>
              <w:left w:type="dxa" w:w="90"/>
              <w:bottom w:type="dxa" w:w="60"/>
              <w:right w:type="dxa" w:w="90"/>
            </w:tcMar>
          </w:tcPr>
          <w:p>
            <w:r>
              <w:rPr>
                <w:b w:val="false"/>
                <w:bCs w:val="false"/>
                <w:sz w:val="19"/>
                <w:szCs w:val="19"/>
              </w:rPr>
              <w:t xml:space="preserve">COGS / unit / mo</w:t>
            </w:r>
          </w:p>
        </w:tc>
        <w:tc>
          <w:tcPr>
            <w:tcW w:type="dxa" w:w="2080"/>
            <w:shd w:fill="F2F6FC" w:val="clear"/>
            <w:tcMar>
              <w:top w:type="dxa" w:w="60"/>
              <w:left w:type="dxa" w:w="90"/>
              <w:bottom w:type="dxa" w:w="60"/>
              <w:right w:type="dxa" w:w="90"/>
            </w:tcMar>
          </w:tcPr>
          <w:p>
            <w:r>
              <w:rPr>
                <w:b w:val="false"/>
                <w:bCs w:val="false"/>
                <w:sz w:val="19"/>
                <w:szCs w:val="19"/>
              </w:rPr>
              <w:t xml:space="preserve">$3.00</w:t>
            </w:r>
          </w:p>
        </w:tc>
        <w:tc>
          <w:tcPr>
            <w:tcW w:type="dxa" w:w="2600"/>
            <w:shd w:fill="F2F6FC" w:val="clear"/>
            <w:tcMar>
              <w:top w:type="dxa" w:w="60"/>
              <w:left w:type="dxa" w:w="90"/>
              <w:bottom w:type="dxa" w:w="60"/>
              <w:right w:type="dxa" w:w="90"/>
            </w:tcMar>
          </w:tcPr>
          <w:p>
            <w:r>
              <w:rPr>
                <w:b w:val="false"/>
                <w:bCs w:val="false"/>
                <w:sz w:val="19"/>
                <w:szCs w:val="19"/>
              </w:rPr>
              <w:t xml:space="preserve">Gross profit / client / mo</w:t>
            </w:r>
          </w:p>
        </w:tc>
        <w:tc>
          <w:tcPr>
            <w:tcW w:type="dxa" w:w="2080"/>
            <w:shd w:fill="F2F6FC" w:val="clear"/>
            <w:tcMar>
              <w:top w:type="dxa" w:w="60"/>
              <w:left w:type="dxa" w:w="90"/>
              <w:bottom w:type="dxa" w:w="60"/>
              <w:right w:type="dxa" w:w="90"/>
            </w:tcMar>
          </w:tcPr>
          <w:p>
            <w:r>
              <w:rPr>
                <w:b w:val="false"/>
                <w:bCs w:val="false"/>
                <w:sz w:val="19"/>
                <w:szCs w:val="19"/>
              </w:rPr>
              <w:t xml:space="preserve">$57</w:t>
            </w:r>
          </w:p>
        </w:tc>
      </w:tr>
      <w:tr>
        <w:tc>
          <w:tcPr>
            <w:tcW w:type="dxa" w:w="2600"/>
            <w:tcMar>
              <w:top w:type="dxa" w:w="60"/>
              <w:left w:type="dxa" w:w="90"/>
              <w:bottom w:type="dxa" w:w="60"/>
              <w:right w:type="dxa" w:w="90"/>
            </w:tcMar>
          </w:tcPr>
          <w:p>
            <w:r>
              <w:rPr>
                <w:b w:val="false"/>
                <w:bCs w:val="false"/>
                <w:sz w:val="19"/>
                <w:szCs w:val="19"/>
              </w:rPr>
              <w:t xml:space="preserve">Stripe (blended)</w:t>
            </w:r>
          </w:p>
        </w:tc>
        <w:tc>
          <w:tcPr>
            <w:tcW w:type="dxa" w:w="2080"/>
            <w:tcMar>
              <w:top w:type="dxa" w:w="60"/>
              <w:left w:type="dxa" w:w="90"/>
              <w:bottom w:type="dxa" w:w="60"/>
              <w:right w:type="dxa" w:w="90"/>
            </w:tcMar>
          </w:tcPr>
          <w:p>
            <w:r>
              <w:rPr>
                <w:b w:val="false"/>
                <w:bCs w:val="false"/>
                <w:sz w:val="19"/>
                <w:szCs w:val="19"/>
              </w:rPr>
              <w:t xml:space="preserve">~3.5%</w:t>
            </w:r>
          </w:p>
        </w:tc>
        <w:tc>
          <w:tcPr>
            <w:tcW w:type="dxa" w:w="2600"/>
            <w:tcMar>
              <w:top w:type="dxa" w:w="60"/>
              <w:left w:type="dxa" w:w="90"/>
              <w:bottom w:type="dxa" w:w="60"/>
              <w:right w:type="dxa" w:w="90"/>
            </w:tcMar>
          </w:tcPr>
          <w:p>
            <w:r>
              <w:rPr>
                <w:b w:val="false"/>
                <w:bCs w:val="false"/>
                <w:sz w:val="19"/>
                <w:szCs w:val="19"/>
              </w:rPr>
              <w:t xml:space="preserve">CAC</w:t>
            </w:r>
          </w:p>
        </w:tc>
        <w:tc>
          <w:tcPr>
            <w:tcW w:type="dxa" w:w="2080"/>
            <w:tcMar>
              <w:top w:type="dxa" w:w="60"/>
              <w:left w:type="dxa" w:w="90"/>
              <w:bottom w:type="dxa" w:w="60"/>
              <w:right w:type="dxa" w:w="90"/>
            </w:tcMar>
          </w:tcPr>
          <w:p>
            <w:r>
              <w:rPr>
                <w:b w:val="false"/>
                <w:bCs w:val="false"/>
                <w:sz w:val="19"/>
                <w:szCs w:val="19"/>
              </w:rPr>
              <w:t xml:space="preserve">$150</w:t>
            </w:r>
          </w:p>
        </w:tc>
      </w:tr>
      <w:tr>
        <w:tc>
          <w:tcPr>
            <w:tcW w:type="dxa" w:w="2600"/>
            <w:shd w:fill="F2F6FC" w:val="clear"/>
            <w:tcMar>
              <w:top w:type="dxa" w:w="60"/>
              <w:left w:type="dxa" w:w="90"/>
              <w:bottom w:type="dxa" w:w="60"/>
              <w:right w:type="dxa" w:w="90"/>
            </w:tcMar>
          </w:tcPr>
          <w:p>
            <w:r>
              <w:rPr>
                <w:b w:val="false"/>
                <w:bCs w:val="false"/>
                <w:sz w:val="19"/>
                <w:szCs w:val="19"/>
              </w:rPr>
              <w:t xml:space="preserve">Gross profit / unit / mo</w:t>
            </w:r>
          </w:p>
        </w:tc>
        <w:tc>
          <w:tcPr>
            <w:tcW w:type="dxa" w:w="2080"/>
            <w:shd w:fill="F2F6FC" w:val="clear"/>
            <w:tcMar>
              <w:top w:type="dxa" w:w="60"/>
              <w:left w:type="dxa" w:w="90"/>
              <w:bottom w:type="dxa" w:w="60"/>
              <w:right w:type="dxa" w:w="90"/>
            </w:tcMar>
          </w:tcPr>
          <w:p>
            <w:r>
              <w:rPr>
                <w:b w:val="false"/>
                <w:bCs w:val="false"/>
                <w:sz w:val="19"/>
                <w:szCs w:val="19"/>
              </w:rPr>
              <w:t xml:space="preserve">$13.05</w:t>
            </w:r>
          </w:p>
        </w:tc>
        <w:tc>
          <w:tcPr>
            <w:tcW w:type="dxa" w:w="2600"/>
            <w:shd w:fill="F2F6FC" w:val="clear"/>
            <w:tcMar>
              <w:top w:type="dxa" w:w="60"/>
              <w:left w:type="dxa" w:w="90"/>
              <w:bottom w:type="dxa" w:w="60"/>
              <w:right w:type="dxa" w:w="90"/>
            </w:tcMar>
          </w:tcPr>
          <w:p>
            <w:r>
              <w:rPr>
                <w:b w:val="false"/>
                <w:bCs w:val="false"/>
                <w:sz w:val="19"/>
                <w:szCs w:val="19"/>
              </w:rPr>
              <w:t xml:space="preserve">Monthly churn</w:t>
            </w:r>
          </w:p>
        </w:tc>
        <w:tc>
          <w:tcPr>
            <w:tcW w:type="dxa" w:w="2080"/>
            <w:shd w:fill="F2F6FC" w:val="clear"/>
            <w:tcMar>
              <w:top w:type="dxa" w:w="60"/>
              <w:left w:type="dxa" w:w="90"/>
              <w:bottom w:type="dxa" w:w="60"/>
              <w:right w:type="dxa" w:w="90"/>
            </w:tcMar>
          </w:tcPr>
          <w:p>
            <w:r>
              <w:rPr>
                <w:b w:val="false"/>
                <w:bCs w:val="false"/>
                <w:sz w:val="19"/>
                <w:szCs w:val="19"/>
              </w:rPr>
              <w:t xml:space="preserve">3%</w:t>
            </w:r>
          </w:p>
        </w:tc>
      </w:tr>
      <w:tr>
        <w:tc>
          <w:tcPr>
            <w:tcW w:type="dxa" w:w="2600"/>
            <w:tcMar>
              <w:top w:type="dxa" w:w="60"/>
              <w:left w:type="dxa" w:w="90"/>
              <w:bottom w:type="dxa" w:w="60"/>
              <w:right w:type="dxa" w:w="90"/>
            </w:tcMar>
          </w:tcPr>
          <w:p>
            <w:r>
              <w:rPr>
                <w:b w:val="false"/>
                <w:bCs w:val="false"/>
                <w:sz w:val="19"/>
                <w:szCs w:val="19"/>
              </w:rPr>
              <w:t xml:space="preserve">Gross margin</w:t>
            </w:r>
          </w:p>
        </w:tc>
        <w:tc>
          <w:tcPr>
            <w:tcW w:type="dxa" w:w="2080"/>
            <w:tcMar>
              <w:top w:type="dxa" w:w="60"/>
              <w:left w:type="dxa" w:w="90"/>
              <w:bottom w:type="dxa" w:w="60"/>
              <w:right w:type="dxa" w:w="90"/>
            </w:tcMar>
          </w:tcPr>
          <w:p>
            <w:r>
              <w:rPr>
                <w:b w:val="false"/>
                <w:bCs w:val="false"/>
                <w:sz w:val="19"/>
                <w:szCs w:val="19"/>
              </w:rPr>
              <w:t xml:space="preserve">78%</w:t>
            </w:r>
          </w:p>
        </w:tc>
        <w:tc>
          <w:tcPr>
            <w:tcW w:type="dxa" w:w="2600"/>
            <w:tcMar>
              <w:top w:type="dxa" w:w="60"/>
              <w:left w:type="dxa" w:w="90"/>
              <w:bottom w:type="dxa" w:w="60"/>
              <w:right w:type="dxa" w:w="90"/>
            </w:tcMar>
          </w:tcPr>
          <w:p>
            <w:r>
              <w:rPr>
                <w:b w:val="false"/>
                <w:bCs w:val="false"/>
                <w:sz w:val="19"/>
                <w:szCs w:val="19"/>
              </w:rPr>
              <w:t xml:space="preserve">LTV</w:t>
            </w:r>
          </w:p>
        </w:tc>
        <w:tc>
          <w:tcPr>
            <w:tcW w:type="dxa" w:w="2080"/>
            <w:tcMar>
              <w:top w:type="dxa" w:w="60"/>
              <w:left w:type="dxa" w:w="90"/>
              <w:bottom w:type="dxa" w:w="60"/>
              <w:right w:type="dxa" w:w="90"/>
            </w:tcMar>
          </w:tcPr>
          <w:p>
            <w:r>
              <w:rPr>
                <w:b w:val="false"/>
                <w:bCs w:val="false"/>
                <w:sz w:val="19"/>
                <w:szCs w:val="19"/>
              </w:rPr>
              <w:t xml:space="preserve">$1,908</w:t>
            </w:r>
          </w:p>
        </w:tc>
      </w:tr>
      <w:tr>
        <w:tc>
          <w:tcPr>
            <w:tcW w:type="dxa" w:w="2600"/>
            <w:shd w:fill="F2F6FC" w:val="clear"/>
            <w:tcMar>
              <w:top w:type="dxa" w:w="60"/>
              <w:left w:type="dxa" w:w="90"/>
              <w:bottom w:type="dxa" w:w="60"/>
              <w:right w:type="dxa" w:w="90"/>
            </w:tcMar>
          </w:tcPr>
          <w:p>
            <w:r>
              <w:rPr>
                <w:b w:val="false"/>
                <w:bCs w:val="false"/>
                <w:sz w:val="19"/>
                <w:szCs w:val="19"/>
              </w:rPr>
              <w:t xml:space="preserve">— </w:t>
            </w:r>
          </w:p>
        </w:tc>
        <w:tc>
          <w:tcPr>
            <w:tcW w:type="dxa" w:w="2080"/>
            <w:shd w:fill="F2F6FC" w:val="clear"/>
            <w:tcMar>
              <w:top w:type="dxa" w:w="60"/>
              <w:left w:type="dxa" w:w="90"/>
              <w:bottom w:type="dxa" w:w="60"/>
              <w:right w:type="dxa" w:w="90"/>
            </w:tcMar>
          </w:tcPr>
          <w:p>
            <w:r>
              <w:rPr>
                <w:b w:val="false"/>
                <w:bCs w:val="false"/>
                <w:sz w:val="19"/>
                <w:szCs w:val="19"/>
              </w:rPr>
              <w:t xml:space="preserve"> —</w:t>
            </w:r>
          </w:p>
        </w:tc>
        <w:tc>
          <w:tcPr>
            <w:tcW w:type="dxa" w:w="2600"/>
            <w:shd w:fill="F2F6FC" w:val="clear"/>
            <w:tcMar>
              <w:top w:type="dxa" w:w="60"/>
              <w:left w:type="dxa" w:w="90"/>
              <w:bottom w:type="dxa" w:w="60"/>
              <w:right w:type="dxa" w:w="90"/>
            </w:tcMar>
          </w:tcPr>
          <w:p>
            <w:r>
              <w:rPr>
                <w:b w:val="false"/>
                <w:bCs w:val="false"/>
                <w:sz w:val="19"/>
                <w:szCs w:val="19"/>
              </w:rPr>
              <w:t xml:space="preserve">LTV : CAC</w:t>
            </w:r>
          </w:p>
        </w:tc>
        <w:tc>
          <w:tcPr>
            <w:tcW w:type="dxa" w:w="2080"/>
            <w:shd w:fill="F2F6FC" w:val="clear"/>
            <w:tcMar>
              <w:top w:type="dxa" w:w="60"/>
              <w:left w:type="dxa" w:w="90"/>
              <w:bottom w:type="dxa" w:w="60"/>
              <w:right w:type="dxa" w:w="90"/>
            </w:tcMar>
          </w:tcPr>
          <w:p>
            <w:r>
              <w:rPr>
                <w:b w:val="false"/>
                <w:bCs w:val="false"/>
                <w:sz w:val="19"/>
                <w:szCs w:val="19"/>
              </w:rPr>
              <w:t xml:space="preserve">12.7x</w:t>
            </w:r>
          </w:p>
        </w:tc>
      </w:tr>
    </w:tbl>
    <w:p>
      <w:pPr>
        <w:spacing w:after="80"/>
      </w:pPr>
    </w:p>
    <w:p>
      <w:pPr>
        <w:spacing w:after="120"/>
      </w:pPr>
      <w:r>
        <w:t xml:space="preserve">A ~78% gross margin and ~12.7x LTV:CAC put Condo Assistant firmly in venture-grade SaaS territory. Every dollar of acquisition spend returns roughly thirteen over the customer lifetime.</w:t>
      </w:r>
    </w:p>
    <w:p>
      <w:pPr>
        <w:pStyle w:val="Heading1"/>
        <w:spacing w:after="120" w:before="260"/>
      </w:pPr>
      <w:r>
        <w:rPr>
          <w:b/>
          <w:bCs/>
          <w:color w:val="1F3864"/>
        </w:rPr>
        <w:t xml:space="preserve">7. Rollout Options</w:t>
      </w:r>
    </w:p>
    <w:p>
      <w:pPr>
        <w:spacing w:after="120"/>
      </w:pPr>
      <w:r>
        <w:t xml:space="preserve">Three go-to-market paths, which can be layered over time:</w:t>
      </w:r>
    </w:p>
    <w:p>
      <w:pPr>
        <w:pStyle w:val="Heading2"/>
        <w:spacing w:after="70" w:before="160"/>
      </w:pPr>
      <w:r>
        <w:rPr>
          <w:b/>
          <w:bCs/>
          <w:color w:val="2E74B5"/>
        </w:rPr>
        <w:t xml:space="preserve">Option A — Referral-Led (Lean, low-cash)</w:t>
      </w:r>
    </w:p>
    <w:p>
      <w:pPr>
        <w:pStyle w:val="ListParagraph"/>
        <w:numPr>
          <w:ilvl w:val="0"/>
          <w:numId w:val="1"/>
        </w:numPr>
        <w:spacing w:after="60"/>
      </w:pPr>
      <w:r>
        <w:rPr>
          <w:b/>
          <w:bCs/>
        </w:rPr>
        <w:t xml:space="preserve">Channels: </w:t>
      </w:r>
      <w:r>
        <w:t xml:space="preserve">Winter Park Management’s own network, Colorado STR Facebook groups, direct VRBO/Airbnb host DMs, word of mouth.</w:t>
      </w:r>
    </w:p>
    <w:p>
      <w:pPr>
        <w:pStyle w:val="ListParagraph"/>
        <w:numPr>
          <w:ilvl w:val="0"/>
          <w:numId w:val="1"/>
        </w:numPr>
        <w:spacing w:after="60"/>
      </w:pPr>
      <w:r>
        <w:rPr>
          <w:b/>
          <w:bCs/>
        </w:rPr>
        <w:t xml:space="preserve">Trade-off: </w:t>
      </w:r>
      <w:r>
        <w:t xml:space="preserve">Very low CAC, high trust, proves the product with real customers. Slower absolute growth.</w:t>
      </w:r>
    </w:p>
    <w:p>
      <w:pPr>
        <w:pStyle w:val="Heading2"/>
        <w:spacing w:after="70" w:before="160"/>
      </w:pPr>
      <w:r>
        <w:rPr>
          <w:b/>
          <w:bCs/>
          <w:color w:val="2E74B5"/>
        </w:rPr>
        <w:t xml:space="preserve">Option B — Paid Acquisition (Fast, higher-cash)</w:t>
      </w:r>
    </w:p>
    <w:p>
      <w:pPr>
        <w:pStyle w:val="ListParagraph"/>
        <w:numPr>
          <w:ilvl w:val="0"/>
          <w:numId w:val="1"/>
        </w:numPr>
        <w:spacing w:after="60"/>
      </w:pPr>
      <w:r>
        <w:rPr>
          <w:b/>
          <w:bCs/>
        </w:rPr>
        <w:t xml:space="preserve">Channels: </w:t>
      </w:r>
      <w:r>
        <w:t xml:space="preserve">Google/Meta paid search, a 60-second demo video, Product Hunt launch, YouTube/TikTok.</w:t>
      </w:r>
    </w:p>
    <w:p>
      <w:pPr>
        <w:pStyle w:val="ListParagraph"/>
        <w:numPr>
          <w:ilvl w:val="0"/>
          <w:numId w:val="1"/>
        </w:numPr>
        <w:spacing w:after="60"/>
      </w:pPr>
      <w:r>
        <w:rPr>
          <w:b/>
          <w:bCs/>
        </w:rPr>
        <w:t xml:space="preserve">Trade-off: </w:t>
      </w:r>
      <w:r>
        <w:t xml:space="preserve">Fastest scale, but higher CAC and requires ad budget and creative. Best once the funnel converts.</w:t>
      </w:r>
    </w:p>
    <w:p>
      <w:pPr>
        <w:pStyle w:val="Heading2"/>
        <w:spacing w:after="70" w:before="160"/>
      </w:pPr>
      <w:r>
        <w:rPr>
          <w:b/>
          <w:bCs/>
          <w:color w:val="2E74B5"/>
        </w:rPr>
        <w:t xml:space="preserve">Option C — Channel / Partner (Highest leverage)</w:t>
      </w:r>
    </w:p>
    <w:p>
      <w:pPr>
        <w:pStyle w:val="ListParagraph"/>
        <w:numPr>
          <w:ilvl w:val="0"/>
          <w:numId w:val="1"/>
        </w:numPr>
        <w:spacing w:after="60"/>
      </w:pPr>
      <w:r>
        <w:rPr>
          <w:b/>
          <w:bCs/>
        </w:rPr>
        <w:t xml:space="preserve">Channels: </w:t>
      </w:r>
      <w:r>
        <w:t xml:space="preserve">Escapia/Guesty affiliate program (recurring commission), white-label to PM companies, PM-software marketplaces.</w:t>
      </w:r>
    </w:p>
    <w:p>
      <w:pPr>
        <w:pStyle w:val="ListParagraph"/>
        <w:numPr>
          <w:ilvl w:val="0"/>
          <w:numId w:val="1"/>
        </w:numPr>
        <w:spacing w:after="60"/>
      </w:pPr>
      <w:r>
        <w:rPr>
          <w:b/>
          <w:bCs/>
        </w:rPr>
        <w:t xml:space="preserve">Trade-off: </w:t>
      </w:r>
      <w:r>
        <w:t xml:space="preserve">One partner can deliver dozens of clients (each with many units). Longer to set up, biggest payoff on the 10–50+ unit bands.</w:t>
      </w:r>
    </w:p>
    <w:p>
      <w:pPr>
        <w:pStyle w:val="Heading2"/>
        <w:spacing w:after="70" w:before="160"/>
      </w:pPr>
      <w:r>
        <w:rPr>
          <w:b/>
          <w:bCs/>
          <w:color w:val="2E74B5"/>
        </w:rPr>
        <w:t xml:space="preserve">Recommended: phased blend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600"/>
        <w:gridCol w:w="5360"/>
      </w:tblGrid>
      <w:tr>
        <w:trPr>
          <w:tblHeader/>
        </w:trPr>
        <w:tc>
          <w:tcPr>
            <w:tcW w:type="dxa" w:w="1100"/>
            <w:shd w:fill="1F3864" w:val="clear"/>
            <w:tcMar>
              <w:top w:type="dxa" w:w="60"/>
              <w:left w:type="dxa" w:w="90"/>
              <w:bottom w:type="dxa" w:w="60"/>
              <w:right w:type="dxa" w:w="90"/>
            </w:tcMar>
          </w:tcPr>
          <w:p>
            <w:r>
              <w:rPr>
                <w:b/>
                <w:bCs/>
                <w:color w:val="FFFFFF"/>
                <w:sz w:val="19"/>
                <w:szCs w:val="19"/>
              </w:rPr>
              <w:t xml:space="preserve">Year</w:t>
            </w:r>
          </w:p>
        </w:tc>
        <w:tc>
          <w:tcPr>
            <w:tcW w:type="dxa" w:w="1300"/>
            <w:shd w:fill="1F3864" w:val="clear"/>
            <w:tcMar>
              <w:top w:type="dxa" w:w="60"/>
              <w:left w:type="dxa" w:w="90"/>
              <w:bottom w:type="dxa" w:w="60"/>
              <w:right w:type="dxa" w:w="90"/>
            </w:tcMar>
          </w:tcPr>
          <w:p>
            <w:r>
              <w:rPr>
                <w:b/>
                <w:bCs/>
                <w:color w:val="FFFFFF"/>
                <w:sz w:val="19"/>
                <w:szCs w:val="19"/>
              </w:rPr>
              <w:t xml:space="preserve">Clients</w:t>
            </w:r>
          </w:p>
        </w:tc>
        <w:tc>
          <w:tcPr>
            <w:tcW w:type="dxa" w:w="1600"/>
            <w:shd w:fill="1F3864" w:val="clear"/>
            <w:tcMar>
              <w:top w:type="dxa" w:w="60"/>
              <w:left w:type="dxa" w:w="90"/>
              <w:bottom w:type="dxa" w:w="60"/>
              <w:right w:type="dxa" w:w="90"/>
            </w:tcMar>
          </w:tcPr>
          <w:p>
            <w:r>
              <w:rPr>
                <w:b/>
                <w:bCs/>
                <w:color w:val="FFFFFF"/>
                <w:sz w:val="19"/>
                <w:szCs w:val="19"/>
              </w:rPr>
              <w:t xml:space="preserve">Est. ARR</w:t>
            </w:r>
          </w:p>
        </w:tc>
        <w:tc>
          <w:tcPr>
            <w:tcW w:type="dxa" w:w="5360"/>
            <w:shd w:fill="1F3864" w:val="clear"/>
            <w:tcMar>
              <w:top w:type="dxa" w:w="60"/>
              <w:left w:type="dxa" w:w="90"/>
              <w:bottom w:type="dxa" w:w="60"/>
              <w:right w:type="dxa" w:w="90"/>
            </w:tcMar>
          </w:tcPr>
          <w:p>
            <w:r>
              <w:rPr>
                <w:b/>
                <w:bCs/>
                <w:color w:val="FFFFFF"/>
                <w:sz w:val="19"/>
                <w:szCs w:val="19"/>
              </w:rPr>
              <w:t xml:space="preserve">Primary Motion</w:t>
            </w:r>
          </w:p>
        </w:tc>
      </w:tr>
      <w:tr>
        <w:tc>
          <w:tcPr>
            <w:tcW w:type="dxa" w:w="1100"/>
            <w:tcMar>
              <w:top w:type="dxa" w:w="60"/>
              <w:left w:type="dxa" w:w="90"/>
              <w:bottom w:type="dxa" w:w="60"/>
              <w:right w:type="dxa" w:w="90"/>
            </w:tcMar>
          </w:tcPr>
          <w:p>
            <w:r>
              <w:rPr>
                <w:b w:val="false"/>
                <w:bCs w:val="false"/>
                <w:sz w:val="19"/>
                <w:szCs w:val="19"/>
              </w:rPr>
              <w:t xml:space="preserve">Year 1</w:t>
            </w:r>
          </w:p>
        </w:tc>
        <w:tc>
          <w:tcPr>
            <w:tcW w:type="dxa" w:w="1300"/>
            <w:tcMar>
              <w:top w:type="dxa" w:w="60"/>
              <w:left w:type="dxa" w:w="90"/>
              <w:bottom w:type="dxa" w:w="60"/>
              <w:right w:type="dxa" w:w="90"/>
            </w:tcMar>
          </w:tcPr>
          <w:p>
            <w:r>
              <w:rPr>
                <w:b w:val="false"/>
                <w:bCs w:val="false"/>
                <w:sz w:val="19"/>
                <w:szCs w:val="19"/>
              </w:rPr>
              <w:t xml:space="preserve">500</w:t>
            </w:r>
          </w:p>
        </w:tc>
        <w:tc>
          <w:tcPr>
            <w:tcW w:type="dxa" w:w="1600"/>
            <w:tcMar>
              <w:top w:type="dxa" w:w="60"/>
              <w:left w:type="dxa" w:w="90"/>
              <w:bottom w:type="dxa" w:w="60"/>
              <w:right w:type="dxa" w:w="90"/>
            </w:tcMar>
          </w:tcPr>
          <w:p>
            <w:r>
              <w:rPr>
                <w:b w:val="false"/>
                <w:bCs w:val="false"/>
                <w:sz w:val="19"/>
                <w:szCs w:val="19"/>
              </w:rPr>
              <w:t xml:space="preserve">~$438K</w:t>
            </w:r>
          </w:p>
        </w:tc>
        <w:tc>
          <w:tcPr>
            <w:tcW w:type="dxa" w:w="5360"/>
            <w:tcMar>
              <w:top w:type="dxa" w:w="60"/>
              <w:left w:type="dxa" w:w="90"/>
              <w:bottom w:type="dxa" w:w="60"/>
              <w:right w:type="dxa" w:w="90"/>
            </w:tcMar>
          </w:tcPr>
          <w:p>
            <w:r>
              <w:rPr>
                <w:b w:val="false"/>
                <w:bCs w:val="false"/>
                <w:sz w:val="19"/>
                <w:szCs w:val="19"/>
              </w:rPr>
              <w:t xml:space="preserve">Option A — small owners via referrals + STR communities (near-zero CAC)</w:t>
            </w:r>
          </w:p>
        </w:tc>
      </w:tr>
      <w:tr>
        <w:tc>
          <w:tcPr>
            <w:tcW w:type="dxa" w:w="1100"/>
            <w:shd w:fill="F2F6FC" w:val="clear"/>
            <w:tcMar>
              <w:top w:type="dxa" w:w="60"/>
              <w:left w:type="dxa" w:w="90"/>
              <w:bottom w:type="dxa" w:w="60"/>
              <w:right w:type="dxa" w:w="90"/>
            </w:tcMar>
          </w:tcPr>
          <w:p>
            <w:r>
              <w:rPr>
                <w:b w:val="false"/>
                <w:bCs w:val="false"/>
                <w:sz w:val="19"/>
                <w:szCs w:val="19"/>
              </w:rPr>
              <w:t xml:space="preserve">Year 2</w:t>
            </w:r>
          </w:p>
        </w:tc>
        <w:tc>
          <w:tcPr>
            <w:tcW w:type="dxa" w:w="1300"/>
            <w:shd w:fill="F2F6FC" w:val="clear"/>
            <w:tcMar>
              <w:top w:type="dxa" w:w="60"/>
              <w:left w:type="dxa" w:w="90"/>
              <w:bottom w:type="dxa" w:w="60"/>
              <w:right w:type="dxa" w:w="90"/>
            </w:tcMar>
          </w:tcPr>
          <w:p>
            <w:r>
              <w:rPr>
                <w:b w:val="false"/>
                <w:bCs w:val="false"/>
                <w:sz w:val="19"/>
                <w:szCs w:val="19"/>
              </w:rPr>
              <w:t xml:space="preserve">2,000</w:t>
            </w:r>
          </w:p>
        </w:tc>
        <w:tc>
          <w:tcPr>
            <w:tcW w:type="dxa" w:w="1600"/>
            <w:shd w:fill="F2F6FC" w:val="clear"/>
            <w:tcMar>
              <w:top w:type="dxa" w:w="60"/>
              <w:left w:type="dxa" w:w="90"/>
              <w:bottom w:type="dxa" w:w="60"/>
              <w:right w:type="dxa" w:w="90"/>
            </w:tcMar>
          </w:tcPr>
          <w:p>
            <w:r>
              <w:rPr>
                <w:b w:val="false"/>
                <w:bCs w:val="false"/>
                <w:sz w:val="19"/>
                <w:szCs w:val="19"/>
              </w:rPr>
              <w:t xml:space="preserve">~$1.75M</w:t>
            </w:r>
          </w:p>
        </w:tc>
        <w:tc>
          <w:tcPr>
            <w:tcW w:type="dxa" w:w="5360"/>
            <w:shd w:fill="F2F6FC" w:val="clear"/>
            <w:tcMar>
              <w:top w:type="dxa" w:w="60"/>
              <w:left w:type="dxa" w:w="90"/>
              <w:bottom w:type="dxa" w:w="60"/>
              <w:right w:type="dxa" w:w="90"/>
            </w:tcMar>
          </w:tcPr>
          <w:p>
            <w:r>
              <w:rPr>
                <w:b w:val="false"/>
                <w:bCs w:val="false"/>
                <w:sz w:val="19"/>
                <w:szCs w:val="19"/>
              </w:rPr>
              <w:t xml:space="preserve">Add Option C — land PM companies who refer &amp; credential small owners</w:t>
            </w:r>
          </w:p>
        </w:tc>
      </w:tr>
      <w:tr>
        <w:tc>
          <w:tcPr>
            <w:tcW w:type="dxa" w:w="1100"/>
            <w:tcMar>
              <w:top w:type="dxa" w:w="60"/>
              <w:left w:type="dxa" w:w="90"/>
              <w:bottom w:type="dxa" w:w="60"/>
              <w:right w:type="dxa" w:w="90"/>
            </w:tcMar>
          </w:tcPr>
          <w:p>
            <w:r>
              <w:rPr>
                <w:b w:val="false"/>
                <w:bCs w:val="false"/>
                <w:sz w:val="19"/>
                <w:szCs w:val="19"/>
              </w:rPr>
              <w:t xml:space="preserve">Year 3</w:t>
            </w:r>
          </w:p>
        </w:tc>
        <w:tc>
          <w:tcPr>
            <w:tcW w:type="dxa" w:w="1300"/>
            <w:tcMar>
              <w:top w:type="dxa" w:w="60"/>
              <w:left w:type="dxa" w:w="90"/>
              <w:bottom w:type="dxa" w:w="60"/>
              <w:right w:type="dxa" w:w="90"/>
            </w:tcMar>
          </w:tcPr>
          <w:p>
            <w:r>
              <w:rPr>
                <w:b w:val="false"/>
                <w:bCs w:val="false"/>
                <w:sz w:val="19"/>
                <w:szCs w:val="19"/>
              </w:rPr>
              <w:t xml:space="preserve">5,050</w:t>
            </w:r>
          </w:p>
        </w:tc>
        <w:tc>
          <w:tcPr>
            <w:tcW w:type="dxa" w:w="1600"/>
            <w:tcMar>
              <w:top w:type="dxa" w:w="60"/>
              <w:left w:type="dxa" w:w="90"/>
              <w:bottom w:type="dxa" w:w="60"/>
              <w:right w:type="dxa" w:w="90"/>
            </w:tcMar>
          </w:tcPr>
          <w:p>
            <w:r>
              <w:rPr>
                <w:b w:val="false"/>
                <w:bCs w:val="false"/>
                <w:sz w:val="19"/>
                <w:szCs w:val="19"/>
              </w:rPr>
              <w:t xml:space="preserve">~$4.4M</w:t>
            </w:r>
          </w:p>
        </w:tc>
        <w:tc>
          <w:tcPr>
            <w:tcW w:type="dxa" w:w="5360"/>
            <w:tcMar>
              <w:top w:type="dxa" w:w="60"/>
              <w:left w:type="dxa" w:w="90"/>
              <w:bottom w:type="dxa" w:w="60"/>
              <w:right w:type="dxa" w:w="90"/>
            </w:tcMar>
          </w:tcPr>
          <w:p>
            <w:r>
              <w:rPr>
                <w:b w:val="false"/>
                <w:bCs w:val="false"/>
                <w:sz w:val="19"/>
                <w:szCs w:val="19"/>
              </w:rPr>
              <w:t xml:space="preserve">Add Option B — paid acquisition + referral flywheel</w:t>
            </w:r>
          </w:p>
        </w:tc>
      </w:tr>
    </w:tbl>
    <w:p>
      <w:pPr>
        <w:pStyle w:val="Heading1"/>
        <w:spacing w:after="120" w:before="260"/>
      </w:pPr>
      <w:r>
        <w:rPr>
          <w:b/>
          <w:bCs/>
          <w:color w:val="1F3864"/>
        </w:rPr>
        <w:t xml:space="preserve">8. The Ask &amp; Next Steps</w:t>
      </w:r>
    </w:p>
    <w:p>
      <w:pPr>
        <w:pStyle w:val="ListParagraph"/>
        <w:numPr>
          <w:ilvl w:val="0"/>
          <w:numId w:val="1"/>
        </w:numPr>
        <w:spacing w:after="60"/>
      </w:pPr>
      <w:r>
        <w:rPr>
          <w:b/>
          <w:bCs/>
        </w:rPr>
        <w:t xml:space="preserve">Build: </w:t>
      </w:r>
      <w:r>
        <w:t xml:space="preserve">Finalize Stripe billing (Step 3) so trial signups convert to paid — the last piece before revenue.</w:t>
      </w:r>
    </w:p>
    <w:p>
      <w:pPr>
        <w:pStyle w:val="ListParagraph"/>
        <w:numPr>
          <w:ilvl w:val="0"/>
          <w:numId w:val="1"/>
        </w:numPr>
        <w:spacing w:after="60"/>
      </w:pPr>
      <w:r>
        <w:rPr>
          <w:b/>
          <w:bCs/>
        </w:rPr>
        <w:t xml:space="preserve">Secure: </w:t>
      </w:r>
      <w:r>
        <w:t xml:space="preserve">Rotate API keys, 1Password, RLS audit, webhook verification — reviewed by Rob (security/dev lead) before taking cards.</w:t>
      </w:r>
    </w:p>
    <w:p>
      <w:pPr>
        <w:pStyle w:val="ListParagraph"/>
        <w:numPr>
          <w:ilvl w:val="0"/>
          <w:numId w:val="1"/>
        </w:numPr>
        <w:spacing w:after="60"/>
      </w:pPr>
      <w:r>
        <w:rPr>
          <w:b/>
          <w:bCs/>
        </w:rPr>
        <w:t xml:space="preserve">Sell: </w:t>
      </w:r>
      <w:r>
        <w:t xml:space="preserve">Start Option A immediately — WPM referrals + Colorado STR groups — to land the first 25–50 paying clients.</w:t>
      </w:r>
    </w:p>
    <w:p>
      <w:pPr>
        <w:pStyle w:val="ListParagraph"/>
        <w:numPr>
          <w:ilvl w:val="0"/>
          <w:numId w:val="1"/>
        </w:numPr>
        <w:spacing w:after="60"/>
      </w:pPr>
      <w:r>
        <w:rPr>
          <w:b/>
          <w:bCs/>
        </w:rPr>
        <w:t xml:space="preserve">Structure: </w:t>
      </w:r>
      <w:r>
        <w:t xml:space="preserve">Register the "Condo Assistant" DBA (CO SOS ~$20) and open the dedicated WPM checking account.</w:t>
      </w:r>
    </w:p>
    <w:p>
      <w:pPr>
        <w:spacing w:after="120"/>
      </w:pPr>
      <w:r>
        <w:rPr>
          <w:i/>
          <w:iCs/>
        </w:rPr>
        <w:t xml:space="preserve">The product is built and live. The remaining work is billing, security hardening, and go-to-market. With the economics shown here, disciplined execution of Option A alone funds the move into Options C and 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Condo Assistant — SaaS Business Plan</dc:title>
  <dc:creator>Orion</dc:creator>
  <cp:lastModifiedBy>Un-named</cp:lastModifiedBy>
  <cp:revision>1</cp:revision>
  <dcterms:created xsi:type="dcterms:W3CDTF">2026-07-11T22:55:59.864Z</dcterms:created>
  <dcterms:modified xsi:type="dcterms:W3CDTF">2026-07-11T22:55:59.865Z</dcterms:modified>
</cp:coreProperties>
</file>

<file path=docProps/custom.xml><?xml version="1.0" encoding="utf-8"?>
<Properties xmlns="http://schemas.openxmlformats.org/officeDocument/2006/custom-properties" xmlns:vt="http://schemas.openxmlformats.org/officeDocument/2006/docPropsVTypes"/>
</file>