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3864"/>
          <w:sz w:val="52"/>
          <w:szCs w:val="52"/>
        </w:rPr>
        <w:t xml:space="preserve">WINDOWS IMPORT &amp; DISTRIBUTION</w:t>
      </w:r>
    </w:p>
    <w:p>
      <w:pPr>
        <w:pBdr>
          <w:bottom w:val="single" w:color="2E74B5" w:sz="12" w:space="8"/>
        </w:pBdr>
        <w:spacing w:after="60"/>
        <w:jc w:val="center"/>
      </w:pPr>
      <w:r>
        <w:rPr>
          <w:sz w:val="8"/>
          <w:szCs w:val="8"/>
        </w:rPr>
        <w:t xml:space="preserve"/>
      </w:r>
    </w:p>
    <w:p>
      <w:pPr>
        <w:spacing w:after="0" w:before="160"/>
        <w:jc w:val="center"/>
      </w:pPr>
      <w:r>
        <w:rPr>
          <w:color w:val="2E74B5"/>
          <w:sz w:val="34"/>
          <w:szCs w:val="34"/>
        </w:rPr>
        <w:t xml:space="preserve">Business Plan</w:t>
      </w:r>
    </w:p>
    <w:p>
      <w:pPr>
        <w:spacing w:before="120"/>
        <w:jc w:val="center"/>
      </w:pPr>
      <w:r>
        <w:rPr>
          <w:i/>
          <w:iCs/>
          <w:color w:val="555555"/>
          <w:sz w:val="24"/>
          <w:szCs w:val="24"/>
        </w:rPr>
        <w:t xml:space="preserve">Premium Fenestration for the U.S. &amp; Colorado Market</w:t>
      </w:r>
    </w:p>
    <w:p>
      <w:pPr>
        <w:spacing w:before="2200"/>
        <w:jc w:val="center"/>
      </w:pPr>
      <w:r>
        <w:rPr>
          <w:sz w:val="22"/>
          <w:szCs w:val="22"/>
        </w:rPr>
        <w:t xml:space="preserve">Prepared: July 2026</w:t>
      </w:r>
    </w:p>
    <w:p>
      <w:pPr>
        <w:spacing w:before="60"/>
        <w:jc w:val="center"/>
      </w:pPr>
      <w:r>
        <w:rPr>
          <w:sz w:val="22"/>
          <w:szCs w:val="22"/>
        </w:rPr>
        <w:t xml:space="preserve">Principals: Joaquin Lopez · Nour</w:t>
      </w:r>
    </w:p>
    <w:p>
      <w:pPr>
        <w:spacing w:before="400"/>
        <w:jc w:val="center"/>
      </w:pPr>
      <w:r>
        <w:rPr>
          <w:b/>
          <w:bCs/>
          <w:color w:val="999999"/>
          <w:sz w:val="18"/>
          <w:szCs w:val="18"/>
        </w:rPr>
        <w:t xml:space="preserve">CONFIDENTIAL — DRAFT</w:t>
      </w:r>
    </w:p>
    <w:p>
      <w:r>
        <w:br w:type="page"/>
      </w:r>
    </w:p>
    <w:p>
      <w:pPr>
        <w:pStyle w:val="Heading1"/>
        <w:spacing w:after="120" w:before="260"/>
      </w:pPr>
      <w:r>
        <w:rPr>
          <w:b/>
          <w:bCs/>
          <w:color w:val="1F3864"/>
        </w:rPr>
        <w:t xml:space="preserve">1. Executive Summary</w:t>
      </w:r>
    </w:p>
    <w:p>
      <w:pPr>
        <w:spacing w:after="120"/>
      </w:pPr>
      <w:r>
        <w:t xml:space="preserve">This venture imports premium residential windows and distributes them to contractors, custom home builders, and architects across the United States, with an initial focus on the Colorado mountain and resort market. The strategy is built on a simple arbitrage: sell European- and Canadian-quality fenestration at 20–50% below comparable U.S. brands (Marvin, Andersen, Pella) by sourcing directly from certified overseas manufacturers and structuring imports to minimize tariff exposure.</w:t>
      </w:r>
    </w:p>
    <w:p>
      <w:pPr>
        <w:spacing w:after="120"/>
      </w:pPr>
      <w:r>
        <w:t xml:space="preserve">The product portfolio is organized into three lines. Two are confirmed and low-risk; the third is an exploratory luxury play:</w:t>
      </w:r>
    </w:p>
    <w:p>
      <w:pPr>
        <w:pStyle w:val="ListParagraph"/>
        <w:numPr>
          <w:ilvl w:val="0"/>
          <w:numId w:val="1"/>
        </w:numPr>
        <w:spacing w:after="60"/>
      </w:pPr>
      <w:r>
        <w:rPr>
          <w:b/>
          <w:bCs/>
        </w:rPr>
        <w:t xml:space="preserve">Line 1: </w:t>
      </w:r>
      <w:r>
        <w:t xml:space="preserve">Canadian pultruded fiberglass — Marvin-equivalent quality, duty-free under USMCA.</w:t>
      </w:r>
    </w:p>
    <w:p>
      <w:pPr>
        <w:pStyle w:val="ListParagraph"/>
        <w:numPr>
          <w:ilvl w:val="0"/>
          <w:numId w:val="1"/>
        </w:numPr>
        <w:spacing w:after="60"/>
      </w:pPr>
      <w:r>
        <w:rPr>
          <w:b/>
          <w:bCs/>
        </w:rPr>
        <w:t xml:space="preserve">Line 2: </w:t>
      </w:r>
      <w:r>
        <w:t xml:space="preserve">Polish aluminum-clad solid wood — premium European product landed at ~15% tariff via a wood-primary tariff classification.</w:t>
      </w:r>
    </w:p>
    <w:p>
      <w:pPr>
        <w:pStyle w:val="ListParagraph"/>
        <w:numPr>
          <w:ilvl w:val="0"/>
          <w:numId w:val="1"/>
        </w:numPr>
        <w:spacing w:after="60"/>
      </w:pPr>
      <w:r>
        <w:rPr>
          <w:b/>
          <w:bCs/>
        </w:rPr>
        <w:t xml:space="preserve">Line 3: </w:t>
      </w:r>
      <w:r>
        <w:t xml:space="preserve">Dubai architectural thermally-broken aluminum — exploratory, luxury-tier only, subject to a heavy aluminum tariff.</w:t>
      </w:r>
    </w:p>
    <w:p>
      <w:pPr>
        <w:spacing w:after="120"/>
      </w:pPr>
      <w:r>
        <w:t xml:space="preserve">The plan below details each line, the tariff strategy that makes them viable, competitive positioning, a four-phase roadmap, and the principal risks and mitigations.</w:t>
      </w:r>
    </w:p>
    <w:p>
      <w:pPr>
        <w:pStyle w:val="Heading1"/>
        <w:spacing w:after="120" w:before="260"/>
      </w:pPr>
      <w:r>
        <w:rPr>
          <w:b/>
          <w:bCs/>
          <w:color w:val="1F3864"/>
        </w:rPr>
        <w:t xml:space="preserve">2. Company Overview</w:t>
      </w:r>
    </w:p>
    <w:p>
      <w:pPr>
        <w:pStyle w:val="ListParagraph"/>
        <w:numPr>
          <w:ilvl w:val="0"/>
          <w:numId w:val="1"/>
        </w:numPr>
        <w:spacing w:after="60"/>
      </w:pPr>
      <w:r>
        <w:rPr>
          <w:b/>
          <w:bCs/>
        </w:rPr>
        <w:t xml:space="preserve">Business: </w:t>
      </w:r>
      <w:r>
        <w:t xml:space="preserve">Premium window import and distribution business (to be formed as a U.S. LLC).</w:t>
      </w:r>
    </w:p>
    <w:p>
      <w:pPr>
        <w:pStyle w:val="ListParagraph"/>
        <w:numPr>
          <w:ilvl w:val="0"/>
          <w:numId w:val="1"/>
        </w:numPr>
        <w:spacing w:after="60"/>
      </w:pPr>
      <w:r>
        <w:rPr>
          <w:b/>
          <w:bCs/>
        </w:rPr>
        <w:t xml:space="preserve">Location: </w:t>
      </w:r>
      <w:r>
        <w:t xml:space="preserve">Colorado — Denver metro base serving the I-70 mountain/resort corridor.</w:t>
      </w:r>
    </w:p>
    <w:p>
      <w:pPr>
        <w:pStyle w:val="ListParagraph"/>
        <w:numPr>
          <w:ilvl w:val="0"/>
          <w:numId w:val="1"/>
        </w:numPr>
        <w:spacing w:after="60"/>
      </w:pPr>
      <w:r>
        <w:rPr>
          <w:b/>
          <w:bCs/>
        </w:rPr>
        <w:t xml:space="preserve">Principals: </w:t>
      </w:r>
      <w:r>
        <w:t xml:space="preserve">Joaquin Lopez and Nour (role to be confirmed), plus ownership.</w:t>
      </w:r>
    </w:p>
    <w:p>
      <w:pPr>
        <w:pStyle w:val="ListParagraph"/>
        <w:numPr>
          <w:ilvl w:val="0"/>
          <w:numId w:val="1"/>
        </w:numPr>
        <w:spacing w:after="60"/>
      </w:pPr>
      <w:r>
        <w:rPr>
          <w:b/>
          <w:bCs/>
        </w:rPr>
        <w:t xml:space="preserve">Model: </w:t>
      </w:r>
      <w:r>
        <w:t xml:space="preserve">Direct import from certified manufacturers, sold to contractors, custom builders, and architects. No manufacturing.</w:t>
      </w:r>
    </w:p>
    <w:p>
      <w:pPr>
        <w:pStyle w:val="Heading1"/>
        <w:spacing w:after="120" w:before="260"/>
      </w:pPr>
      <w:r>
        <w:rPr>
          <w:b/>
          <w:bCs/>
          <w:color w:val="1F3864"/>
        </w:rPr>
        <w:t xml:space="preserve">3. Market Opportunity</w:t>
      </w:r>
    </w:p>
    <w:p>
      <w:pPr>
        <w:spacing w:after="120"/>
      </w:pPr>
      <w:r>
        <w:t xml:space="preserve">Colorado’s mountain and resort communities are experiencing sustained high-end residential construction. These projects demand high-performance windows engineered for extreme cold, large glazed spans, and architect-driven aesthetics — exactly the categories where European and Canadian manufacturers excel. U.S. premium brands (Marvin, Andersen, Pella) dominate but at premium pricing and often with long lead times.</w:t>
      </w:r>
    </w:p>
    <w:p>
      <w:pPr>
        <w:spacing w:after="120"/>
      </w:pPr>
      <w:r>
        <w:t xml:space="preserve">The opportunity is to deliver equal-or-better product at materially lower prices by importing directly and passing tariff-optimized savings to builders and homeowners, while building durable relationships with the architects and custom builders who specify windows on luxury projects.</w:t>
      </w:r>
    </w:p>
    <w:p>
      <w:pPr>
        <w:pStyle w:val="Heading1"/>
        <w:spacing w:after="120" w:before="260"/>
      </w:pPr>
      <w:r>
        <w:rPr>
          <w:b/>
          <w:bCs/>
          <w:color w:val="1F3864"/>
        </w:rPr>
        <w:t xml:space="preserve">4. Product Strategy — Three 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000"/>
        <w:gridCol w:w="1760"/>
        <w:gridCol w:w="2700"/>
        <w:gridCol w:w="1000"/>
      </w:tblGrid>
      <w:tr>
        <w:trPr>
          <w:tblHeader/>
        </w:trPr>
        <w:tc>
          <w:tcPr>
            <w:tcW w:type="dxa" w:w="700"/>
            <w:shd w:fill="1F3864" w:val="clear"/>
            <w:tcMar>
              <w:top w:type="dxa" w:w="60"/>
              <w:left w:type="dxa" w:w="90"/>
              <w:bottom w:type="dxa" w:w="60"/>
              <w:right w:type="dxa" w:w="90"/>
            </w:tcMar>
          </w:tcPr>
          <w:p>
            <w:r>
              <w:rPr>
                <w:b/>
                <w:bCs/>
                <w:color w:val="FFFFFF"/>
                <w:sz w:val="19"/>
                <w:szCs w:val="19"/>
              </w:rPr>
              <w:t xml:space="preserve">Line</w:t>
            </w:r>
          </w:p>
        </w:tc>
        <w:tc>
          <w:tcPr>
            <w:tcW w:type="dxa" w:w="1200"/>
            <w:shd w:fill="1F3864" w:val="clear"/>
            <w:tcMar>
              <w:top w:type="dxa" w:w="60"/>
              <w:left w:type="dxa" w:w="90"/>
              <w:bottom w:type="dxa" w:w="60"/>
              <w:right w:type="dxa" w:w="90"/>
            </w:tcMar>
          </w:tcPr>
          <w:p>
            <w:r>
              <w:rPr>
                <w:b/>
                <w:bCs/>
                <w:color w:val="FFFFFF"/>
                <w:sz w:val="19"/>
                <w:szCs w:val="19"/>
              </w:rPr>
              <w:t xml:space="preserve">Source</w:t>
            </w:r>
          </w:p>
        </w:tc>
        <w:tc>
          <w:tcPr>
            <w:tcW w:type="dxa" w:w="2000"/>
            <w:shd w:fill="1F3864" w:val="clear"/>
            <w:tcMar>
              <w:top w:type="dxa" w:w="60"/>
              <w:left w:type="dxa" w:w="90"/>
              <w:bottom w:type="dxa" w:w="60"/>
              <w:right w:type="dxa" w:w="90"/>
            </w:tcMar>
          </w:tcPr>
          <w:p>
            <w:r>
              <w:rPr>
                <w:b/>
                <w:bCs/>
                <w:color w:val="FFFFFF"/>
                <w:sz w:val="19"/>
                <w:szCs w:val="19"/>
              </w:rPr>
              <w:t xml:space="preserve">Material</w:t>
            </w:r>
          </w:p>
        </w:tc>
        <w:tc>
          <w:tcPr>
            <w:tcW w:type="dxa" w:w="1760"/>
            <w:shd w:fill="1F3864" w:val="clear"/>
            <w:tcMar>
              <w:top w:type="dxa" w:w="60"/>
              <w:left w:type="dxa" w:w="90"/>
              <w:bottom w:type="dxa" w:w="60"/>
              <w:right w:type="dxa" w:w="90"/>
            </w:tcMar>
          </w:tcPr>
          <w:p>
            <w:r>
              <w:rPr>
                <w:b/>
                <w:bCs/>
                <w:color w:val="FFFFFF"/>
                <w:sz w:val="19"/>
                <w:szCs w:val="19"/>
              </w:rPr>
              <w:t xml:space="preserve">Tariff</w:t>
            </w:r>
          </w:p>
        </w:tc>
        <w:tc>
          <w:tcPr>
            <w:tcW w:type="dxa" w:w="2700"/>
            <w:shd w:fill="1F3864" w:val="clear"/>
            <w:tcMar>
              <w:top w:type="dxa" w:w="60"/>
              <w:left w:type="dxa" w:w="90"/>
              <w:bottom w:type="dxa" w:w="60"/>
              <w:right w:type="dxa" w:w="90"/>
            </w:tcMar>
          </w:tcPr>
          <w:p>
            <w:r>
              <w:rPr>
                <w:b/>
                <w:bCs/>
                <w:color w:val="FFFFFF"/>
                <w:sz w:val="19"/>
                <w:szCs w:val="19"/>
              </w:rPr>
              <w:t xml:space="preserve">Price vs. U.S.</w:t>
            </w:r>
          </w:p>
        </w:tc>
        <w:tc>
          <w:tcPr>
            <w:tcW w:type="dxa" w:w="1000"/>
            <w:shd w:fill="1F3864" w:val="clear"/>
            <w:tcMar>
              <w:top w:type="dxa" w:w="60"/>
              <w:left w:type="dxa" w:w="90"/>
              <w:bottom w:type="dxa" w:w="60"/>
              <w:right w:type="dxa" w:w="90"/>
            </w:tcMar>
          </w:tcPr>
          <w:p>
            <w:r>
              <w:rPr>
                <w:b/>
                <w:bCs/>
                <w:color w:val="FFFFFF"/>
                <w:sz w:val="19"/>
                <w:szCs w:val="19"/>
              </w:rPr>
              <w:t xml:space="preserve">Status</w:t>
            </w:r>
          </w:p>
        </w:tc>
      </w:tr>
      <w:tr>
        <w:tc>
          <w:tcPr>
            <w:tcW w:type="dxa" w:w="700"/>
            <w:tcMar>
              <w:top w:type="dxa" w:w="60"/>
              <w:left w:type="dxa" w:w="90"/>
              <w:bottom w:type="dxa" w:w="60"/>
              <w:right w:type="dxa" w:w="90"/>
            </w:tcMar>
          </w:tcPr>
          <w:p>
            <w:r>
              <w:rPr>
                <w:b w:val="false"/>
                <w:bCs w:val="false"/>
                <w:sz w:val="19"/>
                <w:szCs w:val="19"/>
              </w:rPr>
              <w:t xml:space="preserve">1</w:t>
            </w:r>
          </w:p>
        </w:tc>
        <w:tc>
          <w:tcPr>
            <w:tcW w:type="dxa" w:w="1200"/>
            <w:tcMar>
              <w:top w:type="dxa" w:w="60"/>
              <w:left w:type="dxa" w:w="90"/>
              <w:bottom w:type="dxa" w:w="60"/>
              <w:right w:type="dxa" w:w="90"/>
            </w:tcMar>
          </w:tcPr>
          <w:p>
            <w:r>
              <w:rPr>
                <w:b w:val="false"/>
                <w:bCs w:val="false"/>
                <w:sz w:val="19"/>
                <w:szCs w:val="19"/>
              </w:rPr>
              <w:t xml:space="preserve">Canada</w:t>
            </w:r>
          </w:p>
        </w:tc>
        <w:tc>
          <w:tcPr>
            <w:tcW w:type="dxa" w:w="2000"/>
            <w:tcMar>
              <w:top w:type="dxa" w:w="60"/>
              <w:left w:type="dxa" w:w="90"/>
              <w:bottom w:type="dxa" w:w="60"/>
              <w:right w:type="dxa" w:w="90"/>
            </w:tcMar>
          </w:tcPr>
          <w:p>
            <w:r>
              <w:rPr>
                <w:b w:val="false"/>
                <w:bCs w:val="false"/>
                <w:sz w:val="19"/>
                <w:szCs w:val="19"/>
              </w:rPr>
              <w:t xml:space="preserve">Pultruded fiberglass</w:t>
            </w:r>
          </w:p>
        </w:tc>
        <w:tc>
          <w:tcPr>
            <w:tcW w:type="dxa" w:w="1760"/>
            <w:tcMar>
              <w:top w:type="dxa" w:w="60"/>
              <w:left w:type="dxa" w:w="90"/>
              <w:bottom w:type="dxa" w:w="60"/>
              <w:right w:type="dxa" w:w="90"/>
            </w:tcMar>
          </w:tcPr>
          <w:p>
            <w:r>
              <w:rPr>
                <w:b w:val="false"/>
                <w:bCs w:val="false"/>
                <w:sz w:val="19"/>
                <w:szCs w:val="19"/>
              </w:rPr>
              <w:t xml:space="preserve">Duty-free (USMCA)</w:t>
            </w:r>
          </w:p>
        </w:tc>
        <w:tc>
          <w:tcPr>
            <w:tcW w:type="dxa" w:w="2700"/>
            <w:tcMar>
              <w:top w:type="dxa" w:w="60"/>
              <w:left w:type="dxa" w:w="90"/>
              <w:bottom w:type="dxa" w:w="60"/>
              <w:right w:type="dxa" w:w="90"/>
            </w:tcMar>
          </w:tcPr>
          <w:p>
            <w:r>
              <w:rPr>
                <w:b w:val="false"/>
                <w:bCs w:val="false"/>
                <w:sz w:val="19"/>
                <w:szCs w:val="19"/>
              </w:rPr>
              <w:t xml:space="preserve">20–30% below Marvin Essential</w:t>
            </w:r>
          </w:p>
        </w:tc>
        <w:tc>
          <w:tcPr>
            <w:tcW w:type="dxa" w:w="1000"/>
            <w:tcMar>
              <w:top w:type="dxa" w:w="60"/>
              <w:left w:type="dxa" w:w="90"/>
              <w:bottom w:type="dxa" w:w="60"/>
              <w:right w:type="dxa" w:w="90"/>
            </w:tcMar>
          </w:tcPr>
          <w:p>
            <w:r>
              <w:rPr>
                <w:b w:val="false"/>
                <w:bCs w:val="false"/>
                <w:sz w:val="19"/>
                <w:szCs w:val="19"/>
              </w:rPr>
              <w:t xml:space="preserve">Confirmed</w:t>
            </w:r>
          </w:p>
        </w:tc>
      </w:tr>
      <w:tr>
        <w:tc>
          <w:tcPr>
            <w:tcW w:type="dxa" w:w="700"/>
            <w:shd w:fill="F2F6FC" w:val="clear"/>
            <w:tcMar>
              <w:top w:type="dxa" w:w="60"/>
              <w:left w:type="dxa" w:w="90"/>
              <w:bottom w:type="dxa" w:w="60"/>
              <w:right w:type="dxa" w:w="90"/>
            </w:tcMar>
          </w:tcPr>
          <w:p>
            <w:r>
              <w:rPr>
                <w:b w:val="false"/>
                <w:bCs w:val="false"/>
                <w:sz w:val="19"/>
                <w:szCs w:val="19"/>
              </w:rPr>
              <w:t xml:space="preserve">2</w:t>
            </w:r>
          </w:p>
        </w:tc>
        <w:tc>
          <w:tcPr>
            <w:tcW w:type="dxa" w:w="1200"/>
            <w:shd w:fill="F2F6FC" w:val="clear"/>
            <w:tcMar>
              <w:top w:type="dxa" w:w="60"/>
              <w:left w:type="dxa" w:w="90"/>
              <w:bottom w:type="dxa" w:w="60"/>
              <w:right w:type="dxa" w:w="90"/>
            </w:tcMar>
          </w:tcPr>
          <w:p>
            <w:r>
              <w:rPr>
                <w:b w:val="false"/>
                <w:bCs w:val="false"/>
                <w:sz w:val="19"/>
                <w:szCs w:val="19"/>
              </w:rPr>
              <w:t xml:space="preserve">Poland</w:t>
            </w:r>
          </w:p>
        </w:tc>
        <w:tc>
          <w:tcPr>
            <w:tcW w:type="dxa" w:w="2000"/>
            <w:shd w:fill="F2F6FC" w:val="clear"/>
            <w:tcMar>
              <w:top w:type="dxa" w:w="60"/>
              <w:left w:type="dxa" w:w="90"/>
              <w:bottom w:type="dxa" w:w="60"/>
              <w:right w:type="dxa" w:w="90"/>
            </w:tcMar>
          </w:tcPr>
          <w:p>
            <w:r>
              <w:rPr>
                <w:b w:val="false"/>
                <w:bCs w:val="false"/>
                <w:sz w:val="19"/>
                <w:szCs w:val="19"/>
              </w:rPr>
              <w:t xml:space="preserve">Alu-clad solid wood</w:t>
            </w:r>
          </w:p>
        </w:tc>
        <w:tc>
          <w:tcPr>
            <w:tcW w:type="dxa" w:w="1760"/>
            <w:shd w:fill="F2F6FC" w:val="clear"/>
            <w:tcMar>
              <w:top w:type="dxa" w:w="60"/>
              <w:left w:type="dxa" w:w="90"/>
              <w:bottom w:type="dxa" w:w="60"/>
              <w:right w:type="dxa" w:w="90"/>
            </w:tcMar>
          </w:tcPr>
          <w:p>
            <w:r>
              <w:rPr>
                <w:b w:val="false"/>
                <w:bCs w:val="false"/>
                <w:sz w:val="19"/>
                <w:szCs w:val="19"/>
              </w:rPr>
              <w:t xml:space="preserve">~15% (HTS 4418)</w:t>
            </w:r>
          </w:p>
        </w:tc>
        <w:tc>
          <w:tcPr>
            <w:tcW w:type="dxa" w:w="2700"/>
            <w:shd w:fill="F2F6FC" w:val="clear"/>
            <w:tcMar>
              <w:top w:type="dxa" w:w="60"/>
              <w:left w:type="dxa" w:w="90"/>
              <w:bottom w:type="dxa" w:w="60"/>
              <w:right w:type="dxa" w:w="90"/>
            </w:tcMar>
          </w:tcPr>
          <w:p>
            <w:r>
              <w:rPr>
                <w:b w:val="false"/>
                <w:bCs w:val="false"/>
                <w:sz w:val="19"/>
                <w:szCs w:val="19"/>
              </w:rPr>
              <w:t xml:space="preserve">30–50% below Andersen 400 / Marvin Elevate</w:t>
            </w:r>
          </w:p>
        </w:tc>
        <w:tc>
          <w:tcPr>
            <w:tcW w:type="dxa" w:w="1000"/>
            <w:shd w:fill="F2F6FC" w:val="clear"/>
            <w:tcMar>
              <w:top w:type="dxa" w:w="60"/>
              <w:left w:type="dxa" w:w="90"/>
              <w:bottom w:type="dxa" w:w="60"/>
              <w:right w:type="dxa" w:w="90"/>
            </w:tcMar>
          </w:tcPr>
          <w:p>
            <w:r>
              <w:rPr>
                <w:b w:val="false"/>
                <w:bCs w:val="false"/>
                <w:sz w:val="19"/>
                <w:szCs w:val="19"/>
              </w:rPr>
              <w:t xml:space="preserve">Confirmed</w:t>
            </w:r>
          </w:p>
        </w:tc>
      </w:tr>
      <w:tr>
        <w:tc>
          <w:tcPr>
            <w:tcW w:type="dxa" w:w="700"/>
            <w:tcMar>
              <w:top w:type="dxa" w:w="60"/>
              <w:left w:type="dxa" w:w="90"/>
              <w:bottom w:type="dxa" w:w="60"/>
              <w:right w:type="dxa" w:w="90"/>
            </w:tcMar>
          </w:tcPr>
          <w:p>
            <w:r>
              <w:rPr>
                <w:b w:val="false"/>
                <w:bCs w:val="false"/>
                <w:sz w:val="19"/>
                <w:szCs w:val="19"/>
              </w:rPr>
              <w:t xml:space="preserve">3</w:t>
            </w:r>
          </w:p>
        </w:tc>
        <w:tc>
          <w:tcPr>
            <w:tcW w:type="dxa" w:w="1200"/>
            <w:tcMar>
              <w:top w:type="dxa" w:w="60"/>
              <w:left w:type="dxa" w:w="90"/>
              <w:bottom w:type="dxa" w:w="60"/>
              <w:right w:type="dxa" w:w="90"/>
            </w:tcMar>
          </w:tcPr>
          <w:p>
            <w:r>
              <w:rPr>
                <w:b w:val="false"/>
                <w:bCs w:val="false"/>
                <w:sz w:val="19"/>
                <w:szCs w:val="19"/>
              </w:rPr>
              <w:t xml:space="preserve">Dubai / UAE</w:t>
            </w:r>
          </w:p>
        </w:tc>
        <w:tc>
          <w:tcPr>
            <w:tcW w:type="dxa" w:w="2000"/>
            <w:tcMar>
              <w:top w:type="dxa" w:w="60"/>
              <w:left w:type="dxa" w:w="90"/>
              <w:bottom w:type="dxa" w:w="60"/>
              <w:right w:type="dxa" w:w="90"/>
            </w:tcMar>
          </w:tcPr>
          <w:p>
            <w:r>
              <w:rPr>
                <w:b w:val="false"/>
                <w:bCs w:val="false"/>
                <w:sz w:val="19"/>
                <w:szCs w:val="19"/>
              </w:rPr>
              <w:t xml:space="preserve">Thermally-broken aluminum</w:t>
            </w:r>
          </w:p>
        </w:tc>
        <w:tc>
          <w:tcPr>
            <w:tcW w:type="dxa" w:w="1760"/>
            <w:tcMar>
              <w:top w:type="dxa" w:w="60"/>
              <w:left w:type="dxa" w:w="90"/>
              <w:bottom w:type="dxa" w:w="60"/>
              <w:right w:type="dxa" w:w="90"/>
            </w:tcMar>
          </w:tcPr>
          <w:p>
            <w:r>
              <w:rPr>
                <w:b w:val="false"/>
                <w:bCs w:val="false"/>
                <w:sz w:val="19"/>
                <w:szCs w:val="19"/>
              </w:rPr>
              <w:t xml:space="preserve">~65%+ (heavy)</w:t>
            </w:r>
          </w:p>
        </w:tc>
        <w:tc>
          <w:tcPr>
            <w:tcW w:type="dxa" w:w="2700"/>
            <w:tcMar>
              <w:top w:type="dxa" w:w="60"/>
              <w:left w:type="dxa" w:w="90"/>
              <w:bottom w:type="dxa" w:w="60"/>
              <w:right w:type="dxa" w:w="90"/>
            </w:tcMar>
          </w:tcPr>
          <w:p>
            <w:r>
              <w:rPr>
                <w:b w:val="false"/>
                <w:bCs w:val="false"/>
                <w:sz w:val="19"/>
                <w:szCs w:val="19"/>
              </w:rPr>
              <w:t xml:space="preserve">Luxury tier only</w:t>
            </w:r>
          </w:p>
        </w:tc>
        <w:tc>
          <w:tcPr>
            <w:tcW w:type="dxa" w:w="1000"/>
            <w:tcMar>
              <w:top w:type="dxa" w:w="60"/>
              <w:left w:type="dxa" w:w="90"/>
              <w:bottom w:type="dxa" w:w="60"/>
              <w:right w:type="dxa" w:w="90"/>
            </w:tcMar>
          </w:tcPr>
          <w:p>
            <w:r>
              <w:rPr>
                <w:b w:val="false"/>
                <w:bCs w:val="false"/>
                <w:sz w:val="19"/>
                <w:szCs w:val="19"/>
              </w:rPr>
              <w:t xml:space="preserve">Exploratory</w:t>
            </w:r>
          </w:p>
        </w:tc>
      </w:tr>
    </w:tbl>
    <w:p>
      <w:pPr>
        <w:spacing w:after="80"/>
      </w:pPr>
    </w:p>
    <w:p>
      <w:pPr>
        <w:pStyle w:val="Heading2"/>
        <w:spacing w:after="80" w:before="180"/>
      </w:pPr>
      <w:r>
        <w:rPr>
          <w:b/>
          <w:bCs/>
          <w:color w:val="2E74B5"/>
        </w:rPr>
        <w:t xml:space="preserve">Line 1 — Pultruded Fiberglass (Canada)</w:t>
      </w:r>
    </w:p>
    <w:p>
      <w:pPr>
        <w:pStyle w:val="ListParagraph"/>
        <w:numPr>
          <w:ilvl w:val="0"/>
          <w:numId w:val="1"/>
        </w:numPr>
        <w:spacing w:after="60"/>
      </w:pPr>
      <w:r>
        <w:rPr>
          <w:b/>
          <w:bCs/>
        </w:rPr>
        <w:t xml:space="preserve">Suppliers: </w:t>
      </w:r>
      <w:r>
        <w:t xml:space="preserve">Accurate Dorwin (Winnipeg) and SILEX (Winnipeg).</w:t>
      </w:r>
    </w:p>
    <w:p>
      <w:pPr>
        <w:pStyle w:val="ListParagraph"/>
        <w:numPr>
          <w:ilvl w:val="0"/>
          <w:numId w:val="1"/>
        </w:numPr>
        <w:spacing w:after="60"/>
      </w:pPr>
      <w:r>
        <w:rPr>
          <w:b/>
          <w:bCs/>
        </w:rPr>
        <w:t xml:space="preserve">Product: </w:t>
      </w:r>
      <w:r>
        <w:t xml:space="preserve">True pultruded fiberglass — same category as Marvin Ultrex; dimensionally stable, cannot melt, 20-year warranty.</w:t>
      </w:r>
    </w:p>
    <w:p>
      <w:pPr>
        <w:pStyle w:val="ListParagraph"/>
        <w:numPr>
          <w:ilvl w:val="0"/>
          <w:numId w:val="1"/>
        </w:numPr>
        <w:spacing w:after="60"/>
      </w:pPr>
      <w:r>
        <w:rPr>
          <w:b/>
          <w:bCs/>
        </w:rPr>
        <w:t xml:space="preserve">Certifications: </w:t>
      </w:r>
      <w:r>
        <w:t xml:space="preserve">AAMA, NFRC, and Energy Star — already certified for the U.S. market.</w:t>
      </w:r>
    </w:p>
    <w:p>
      <w:pPr>
        <w:pStyle w:val="ListParagraph"/>
        <w:numPr>
          <w:ilvl w:val="0"/>
          <w:numId w:val="1"/>
        </w:numPr>
        <w:spacing w:after="60"/>
      </w:pPr>
      <w:r>
        <w:rPr>
          <w:b/>
          <w:bCs/>
        </w:rPr>
        <w:t xml:space="preserve">Tariff: </w:t>
      </w:r>
      <w:r>
        <w:t xml:space="preserve">Duty-free under USMCA — the lowest-risk, fastest-to-market line.</w:t>
      </w:r>
    </w:p>
    <w:p>
      <w:pPr>
        <w:pStyle w:val="ListParagraph"/>
        <w:numPr>
          <w:ilvl w:val="0"/>
          <w:numId w:val="1"/>
        </w:numPr>
        <w:spacing w:after="60"/>
      </w:pPr>
      <w:r>
        <w:rPr>
          <w:b/>
          <w:bCs/>
        </w:rPr>
        <w:t xml:space="preserve">Target: </w:t>
      </w:r>
      <w:r>
        <w:t xml:space="preserve">High-end residential, custom builders, mountain/resort projects.</w:t>
      </w:r>
    </w:p>
    <w:p>
      <w:pPr>
        <w:pStyle w:val="Heading2"/>
        <w:spacing w:after="80" w:before="180"/>
      </w:pPr>
      <w:r>
        <w:rPr>
          <w:b/>
          <w:bCs/>
          <w:color w:val="2E74B5"/>
        </w:rPr>
        <w:t xml:space="preserve">Line 2 — Aluminum-Clad Solid Wood (Poland)</w:t>
      </w:r>
    </w:p>
    <w:p>
      <w:pPr>
        <w:pStyle w:val="ListParagraph"/>
        <w:numPr>
          <w:ilvl w:val="0"/>
          <w:numId w:val="1"/>
        </w:numPr>
        <w:spacing w:after="60"/>
      </w:pPr>
      <w:r>
        <w:rPr>
          <w:b/>
          <w:bCs/>
        </w:rPr>
        <w:t xml:space="preserve">Suppliers: </w:t>
      </w:r>
      <w:r>
        <w:t xml:space="preserve">Sokółka (sokolka.us) direct, and Debesto (debesto.com) as an import broker for a low-risk start.</w:t>
      </w:r>
    </w:p>
    <w:p>
      <w:pPr>
        <w:pStyle w:val="ListParagraph"/>
        <w:numPr>
          <w:ilvl w:val="0"/>
          <w:numId w:val="1"/>
        </w:numPr>
        <w:spacing w:after="60"/>
      </w:pPr>
      <w:r>
        <w:rPr>
          <w:b/>
          <w:bCs/>
        </w:rPr>
        <w:t xml:space="preserve">Product: </w:t>
      </w:r>
      <w:r>
        <w:t xml:space="preserve">Solid wood interior with aluminum-clad exterior — premium European construction (CE, Passive House, ift Rosenheim).</w:t>
      </w:r>
    </w:p>
    <w:p>
      <w:pPr>
        <w:pStyle w:val="ListParagraph"/>
        <w:numPr>
          <w:ilvl w:val="0"/>
          <w:numId w:val="1"/>
        </w:numPr>
        <w:spacing w:after="60"/>
      </w:pPr>
      <w:r>
        <w:rPr>
          <w:b/>
          <w:bCs/>
        </w:rPr>
        <w:t xml:space="preserve">Tariff: </w:t>
      </w:r>
      <w:r>
        <w:t xml:space="preserve">~15% by classifying under HTS 4418.10 (wood-primary) rather than aluminum — see Section 5.</w:t>
      </w:r>
    </w:p>
    <w:p>
      <w:pPr>
        <w:pStyle w:val="ListParagraph"/>
        <w:numPr>
          <w:ilvl w:val="0"/>
          <w:numId w:val="1"/>
        </w:numPr>
        <w:spacing w:after="60"/>
      </w:pPr>
      <w:r>
        <w:rPr>
          <w:b/>
          <w:bCs/>
        </w:rPr>
        <w:t xml:space="preserve">Certifications: </w:t>
      </w:r>
      <w:r>
        <w:t xml:space="preserve">AAMA/NFRC obtainable with a $30–75K testing investment to unlock code-required and architect-specified work.</w:t>
      </w:r>
    </w:p>
    <w:p>
      <w:pPr>
        <w:pStyle w:val="ListParagraph"/>
        <w:numPr>
          <w:ilvl w:val="0"/>
          <w:numId w:val="1"/>
        </w:numPr>
        <w:spacing w:after="60"/>
      </w:pPr>
      <w:r>
        <w:rPr>
          <w:b/>
          <w:bCs/>
        </w:rPr>
        <w:t xml:space="preserve">Target: </w:t>
      </w:r>
      <w:r>
        <w:t xml:space="preserve">Architects, custom builders, luxury residential, and passive-house projects.</w:t>
      </w:r>
    </w:p>
    <w:p>
      <w:pPr>
        <w:pStyle w:val="Heading2"/>
        <w:spacing w:after="80" w:before="180"/>
      </w:pPr>
      <w:r>
        <w:rPr>
          <w:b/>
          <w:bCs/>
          <w:color w:val="2E74B5"/>
        </w:rPr>
        <w:t xml:space="preserve">Line 3 — Architectural Aluminum (Dubai / UAE) — Exploratory</w:t>
      </w:r>
    </w:p>
    <w:p>
      <w:pPr>
        <w:spacing w:after="120"/>
      </w:pPr>
      <w:r>
        <w:t xml:space="preserve">Dubai fabricators build sophisticated thermally-broken aluminum systems for a 45°C+ climate and have strong architectural credentials. However, two obstacles make this a luxury-tier, long-horizon play rather than a value line:</w:t>
      </w:r>
    </w:p>
    <w:p>
      <w:pPr>
        <w:pStyle w:val="ListParagraph"/>
        <w:numPr>
          <w:ilvl w:val="0"/>
          <w:numId w:val="1"/>
        </w:numPr>
        <w:spacing w:after="60"/>
      </w:pPr>
      <w:r>
        <w:rPr>
          <w:b/>
          <w:bCs/>
        </w:rPr>
        <w:t xml:space="preserve">Tariff wall: </w:t>
      </w:r>
      <w:r>
        <w:t xml:space="preserve">Pure aluminum from the UAE faces the Section 232 aluminum tariff (~50%) plus a UAE reciprocal tariff (~10%) and MFN duty (~5.7%) — and, unlike Line 2, there is no wood-primary classification to escape into.</w:t>
      </w:r>
    </w:p>
    <w:p>
      <w:pPr>
        <w:pStyle w:val="ListParagraph"/>
        <w:numPr>
          <w:ilvl w:val="0"/>
          <w:numId w:val="1"/>
        </w:numPr>
        <w:spacing w:after="60"/>
      </w:pPr>
      <w:r>
        <w:rPr>
          <w:b/>
          <w:bCs/>
        </w:rPr>
        <w:t xml:space="preserve">Certification gap: </w:t>
      </w:r>
      <w:r>
        <w:t xml:space="preserve">No Dubai fabricator is currently NFRC-certified or exporting to the U.S.; certification would have to be driven by us ($30–75K).</w:t>
      </w:r>
    </w:p>
    <w:p>
      <w:pPr>
        <w:pStyle w:val="ListParagraph"/>
        <w:numPr>
          <w:ilvl w:val="0"/>
          <w:numId w:val="1"/>
        </w:numPr>
        <w:spacing w:after="60"/>
      </w:pPr>
      <w:r>
        <w:rPr>
          <w:b/>
          <w:bCs/>
        </w:rPr>
        <w:t xml:space="preserve">Suppliers to explore: </w:t>
      </w:r>
      <w:r>
        <w:t xml:space="preserve">Ahmad Aluminium, Glass World Industries, Swift Rooms, and Koemmerling Aluminium (all UAE).</w:t>
      </w:r>
    </w:p>
    <w:p>
      <w:pPr>
        <w:spacing w:after="120"/>
      </w:pPr>
      <w:r>
        <w:rPr>
          <w:i/>
          <w:iCs/>
        </w:rPr>
        <w:t xml:space="preserve">Verdict: pursue only at the true luxury tier — architect-specified projects where the client is not price-driven and the tariff can be absorbed by margin and positioning. This is a Phase 3+ exploration, contingent on a fabricator willing to build to U.S. spec and certify.</w:t>
      </w:r>
    </w:p>
    <w:p>
      <w:pPr>
        <w:pStyle w:val="Heading1"/>
        <w:spacing w:after="120" w:before="260"/>
      </w:pPr>
      <w:r>
        <w:rPr>
          <w:b/>
          <w:bCs/>
          <w:color w:val="1F3864"/>
        </w:rPr>
        <w:t xml:space="preserve">5. Tariff &amp; Trade Strategy</w:t>
      </w:r>
    </w:p>
    <w:p>
      <w:pPr>
        <w:spacing w:after="120"/>
      </w:pPr>
      <w:r>
        <w:t xml:space="preserve">Tariff structure is the single biggest driver of which countries are viable. The critical insight for Line 2 is a U.S. Customs classification ruling:</w:t>
      </w:r>
    </w:p>
    <w:p>
      <w:pPr>
        <w:spacing w:after="120"/>
      </w:pPr>
      <w:r>
        <w:rPr>
          <w:b/>
          <w:bCs/>
        </w:rPr>
        <w:t xml:space="preserve">CBP ruling NY K82426 — when a window’s structural frame is wood and the exterior is metal-clad, its “essential character” is wood, so it classifies under HTS 4418 (wood), not HTS 7610 (aluminum). This eliminates the 50% Section 232 aluminum tariff and drops the Polish product from ~65% to ~15%.</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100"/>
        <w:gridCol w:w="1660"/>
        <w:gridCol w:w="2400"/>
        <w:gridCol w:w="2000"/>
      </w:tblGrid>
      <w:tr>
        <w:trPr>
          <w:tblHeader/>
        </w:trPr>
        <w:tc>
          <w:tcPr>
            <w:tcW w:type="dxa" w:w="1200"/>
            <w:shd w:fill="1F3864" w:val="clear"/>
            <w:tcMar>
              <w:top w:type="dxa" w:w="60"/>
              <w:left w:type="dxa" w:w="90"/>
              <w:bottom w:type="dxa" w:w="60"/>
              <w:right w:type="dxa" w:w="90"/>
            </w:tcMar>
          </w:tcPr>
          <w:p>
            <w:r>
              <w:rPr>
                <w:b/>
                <w:bCs/>
                <w:color w:val="FFFFFF"/>
                <w:sz w:val="19"/>
                <w:szCs w:val="19"/>
              </w:rPr>
              <w:t xml:space="preserve">Country</w:t>
            </w:r>
          </w:p>
        </w:tc>
        <w:tc>
          <w:tcPr>
            <w:tcW w:type="dxa" w:w="2100"/>
            <w:shd w:fill="1F3864" w:val="clear"/>
            <w:tcMar>
              <w:top w:type="dxa" w:w="60"/>
              <w:left w:type="dxa" w:w="90"/>
              <w:bottom w:type="dxa" w:w="60"/>
              <w:right w:type="dxa" w:w="90"/>
            </w:tcMar>
          </w:tcPr>
          <w:p>
            <w:r>
              <w:rPr>
                <w:b/>
                <w:bCs/>
                <w:color w:val="FFFFFF"/>
                <w:sz w:val="19"/>
                <w:szCs w:val="19"/>
              </w:rPr>
              <w:t xml:space="preserve">Product</w:t>
            </w:r>
          </w:p>
        </w:tc>
        <w:tc>
          <w:tcPr>
            <w:tcW w:type="dxa" w:w="1660"/>
            <w:shd w:fill="1F3864" w:val="clear"/>
            <w:tcMar>
              <w:top w:type="dxa" w:w="60"/>
              <w:left w:type="dxa" w:w="90"/>
              <w:bottom w:type="dxa" w:w="60"/>
              <w:right w:type="dxa" w:w="90"/>
            </w:tcMar>
          </w:tcPr>
          <w:p>
            <w:r>
              <w:rPr>
                <w:b/>
                <w:bCs/>
                <w:color w:val="FFFFFF"/>
                <w:sz w:val="19"/>
                <w:szCs w:val="19"/>
              </w:rPr>
              <w:t xml:space="preserve">HTS</w:t>
            </w:r>
          </w:p>
        </w:tc>
        <w:tc>
          <w:tcPr>
            <w:tcW w:type="dxa" w:w="2400"/>
            <w:shd w:fill="1F3864" w:val="clear"/>
            <w:tcMar>
              <w:top w:type="dxa" w:w="60"/>
              <w:left w:type="dxa" w:w="90"/>
              <w:bottom w:type="dxa" w:w="60"/>
              <w:right w:type="dxa" w:w="90"/>
            </w:tcMar>
          </w:tcPr>
          <w:p>
            <w:r>
              <w:rPr>
                <w:b/>
                <w:bCs/>
                <w:color w:val="FFFFFF"/>
                <w:sz w:val="19"/>
                <w:szCs w:val="19"/>
              </w:rPr>
              <w:t xml:space="preserve">Effective Tariff</w:t>
            </w:r>
          </w:p>
        </w:tc>
        <w:tc>
          <w:tcPr>
            <w:tcW w:type="dxa" w:w="2000"/>
            <w:shd w:fill="1F3864" w:val="clear"/>
            <w:tcMar>
              <w:top w:type="dxa" w:w="60"/>
              <w:left w:type="dxa" w:w="90"/>
              <w:bottom w:type="dxa" w:w="60"/>
              <w:right w:type="dxa" w:w="90"/>
            </w:tcMar>
          </w:tcPr>
          <w:p>
            <w:r>
              <w:rPr>
                <w:b/>
                <w:bCs/>
                <w:color w:val="FFFFFF"/>
                <w:sz w:val="19"/>
                <w:szCs w:val="19"/>
              </w:rPr>
              <w:t xml:space="preserve">Verdict</w:t>
            </w:r>
          </w:p>
        </w:tc>
      </w:tr>
      <w:tr>
        <w:tc>
          <w:tcPr>
            <w:tcW w:type="dxa" w:w="1200"/>
            <w:tcMar>
              <w:top w:type="dxa" w:w="60"/>
              <w:left w:type="dxa" w:w="90"/>
              <w:bottom w:type="dxa" w:w="60"/>
              <w:right w:type="dxa" w:w="90"/>
            </w:tcMar>
          </w:tcPr>
          <w:p>
            <w:r>
              <w:rPr>
                <w:b w:val="false"/>
                <w:bCs w:val="false"/>
                <w:sz w:val="19"/>
                <w:szCs w:val="19"/>
              </w:rPr>
              <w:t xml:space="preserve">Canada</w:t>
            </w:r>
          </w:p>
        </w:tc>
        <w:tc>
          <w:tcPr>
            <w:tcW w:type="dxa" w:w="2100"/>
            <w:tcMar>
              <w:top w:type="dxa" w:w="60"/>
              <w:left w:type="dxa" w:w="90"/>
              <w:bottom w:type="dxa" w:w="60"/>
              <w:right w:type="dxa" w:w="90"/>
            </w:tcMar>
          </w:tcPr>
          <w:p>
            <w:r>
              <w:rPr>
                <w:b w:val="false"/>
                <w:bCs w:val="false"/>
                <w:sz w:val="19"/>
                <w:szCs w:val="19"/>
              </w:rPr>
              <w:t xml:space="preserve">Pultruded fiberglass</w:t>
            </w:r>
          </w:p>
        </w:tc>
        <w:tc>
          <w:tcPr>
            <w:tcW w:type="dxa" w:w="1660"/>
            <w:tcMar>
              <w:top w:type="dxa" w:w="60"/>
              <w:left w:type="dxa" w:w="90"/>
              <w:bottom w:type="dxa" w:w="60"/>
              <w:right w:type="dxa" w:w="90"/>
            </w:tcMar>
          </w:tcPr>
          <w:p>
            <w:r>
              <w:rPr>
                <w:b w:val="false"/>
                <w:bCs w:val="false"/>
                <w:sz w:val="19"/>
                <w:szCs w:val="19"/>
              </w:rPr>
              <w:t xml:space="preserve">—</w:t>
            </w:r>
          </w:p>
        </w:tc>
        <w:tc>
          <w:tcPr>
            <w:tcW w:type="dxa" w:w="2400"/>
            <w:tcMar>
              <w:top w:type="dxa" w:w="60"/>
              <w:left w:type="dxa" w:w="90"/>
              <w:bottom w:type="dxa" w:w="60"/>
              <w:right w:type="dxa" w:w="90"/>
            </w:tcMar>
          </w:tcPr>
          <w:p>
            <w:r>
              <w:rPr>
                <w:b w:val="false"/>
                <w:bCs w:val="false"/>
                <w:sz w:val="19"/>
                <w:szCs w:val="19"/>
              </w:rPr>
              <w:t xml:space="preserve">Duty-free (USMCA)</w:t>
            </w:r>
          </w:p>
        </w:tc>
        <w:tc>
          <w:tcPr>
            <w:tcW w:type="dxa" w:w="2000"/>
            <w:tcMar>
              <w:top w:type="dxa" w:w="60"/>
              <w:left w:type="dxa" w:w="90"/>
              <w:bottom w:type="dxa" w:w="60"/>
              <w:right w:type="dxa" w:w="90"/>
            </w:tcMar>
          </w:tcPr>
          <w:p>
            <w:r>
              <w:rPr>
                <w:b w:val="false"/>
                <w:bCs w:val="false"/>
                <w:sz w:val="19"/>
                <w:szCs w:val="19"/>
              </w:rPr>
              <w:t xml:space="preserve">Best — Line 1</w:t>
            </w:r>
          </w:p>
        </w:tc>
      </w:tr>
      <w:tr>
        <w:tc>
          <w:tcPr>
            <w:tcW w:type="dxa" w:w="1200"/>
            <w:shd w:fill="F2F6FC" w:val="clear"/>
            <w:tcMar>
              <w:top w:type="dxa" w:w="60"/>
              <w:left w:type="dxa" w:w="90"/>
              <w:bottom w:type="dxa" w:w="60"/>
              <w:right w:type="dxa" w:w="90"/>
            </w:tcMar>
          </w:tcPr>
          <w:p>
            <w:r>
              <w:rPr>
                <w:b w:val="false"/>
                <w:bCs w:val="false"/>
                <w:sz w:val="19"/>
                <w:szCs w:val="19"/>
              </w:rPr>
              <w:t xml:space="preserve">Poland/EU</w:t>
            </w:r>
          </w:p>
        </w:tc>
        <w:tc>
          <w:tcPr>
            <w:tcW w:type="dxa" w:w="2100"/>
            <w:shd w:fill="F2F6FC" w:val="clear"/>
            <w:tcMar>
              <w:top w:type="dxa" w:w="60"/>
              <w:left w:type="dxa" w:w="90"/>
              <w:bottom w:type="dxa" w:w="60"/>
              <w:right w:type="dxa" w:w="90"/>
            </w:tcMar>
          </w:tcPr>
          <w:p>
            <w:r>
              <w:rPr>
                <w:b w:val="false"/>
                <w:bCs w:val="false"/>
                <w:sz w:val="19"/>
                <w:szCs w:val="19"/>
              </w:rPr>
              <w:t xml:space="preserve">Alu-clad solid wood</w:t>
            </w:r>
          </w:p>
        </w:tc>
        <w:tc>
          <w:tcPr>
            <w:tcW w:type="dxa" w:w="1660"/>
            <w:shd w:fill="F2F6FC" w:val="clear"/>
            <w:tcMar>
              <w:top w:type="dxa" w:w="60"/>
              <w:left w:type="dxa" w:w="90"/>
              <w:bottom w:type="dxa" w:w="60"/>
              <w:right w:type="dxa" w:w="90"/>
            </w:tcMar>
          </w:tcPr>
          <w:p>
            <w:r>
              <w:rPr>
                <w:b w:val="false"/>
                <w:bCs w:val="false"/>
                <w:sz w:val="19"/>
                <w:szCs w:val="19"/>
              </w:rPr>
              <w:t xml:space="preserve">4418.10 (wood)</w:t>
            </w:r>
          </w:p>
        </w:tc>
        <w:tc>
          <w:tcPr>
            <w:tcW w:type="dxa" w:w="2400"/>
            <w:shd w:fill="F2F6FC" w:val="clear"/>
            <w:tcMar>
              <w:top w:type="dxa" w:w="60"/>
              <w:left w:type="dxa" w:w="90"/>
              <w:bottom w:type="dxa" w:w="60"/>
              <w:right w:type="dxa" w:w="90"/>
            </w:tcMar>
          </w:tcPr>
          <w:p>
            <w:r>
              <w:rPr>
                <w:b w:val="false"/>
                <w:bCs w:val="false"/>
                <w:sz w:val="19"/>
                <w:szCs w:val="19"/>
              </w:rPr>
              <w:t xml:space="preserve">~15%</w:t>
            </w:r>
          </w:p>
        </w:tc>
        <w:tc>
          <w:tcPr>
            <w:tcW w:type="dxa" w:w="2000"/>
            <w:shd w:fill="F2F6FC" w:val="clear"/>
            <w:tcMar>
              <w:top w:type="dxa" w:w="60"/>
              <w:left w:type="dxa" w:w="90"/>
              <w:bottom w:type="dxa" w:w="60"/>
              <w:right w:type="dxa" w:w="90"/>
            </w:tcMar>
          </w:tcPr>
          <w:p>
            <w:r>
              <w:rPr>
                <w:b w:val="false"/>
                <w:bCs w:val="false"/>
                <w:sz w:val="19"/>
                <w:szCs w:val="19"/>
              </w:rPr>
              <w:t xml:space="preserve">Viable — Line 2</w:t>
            </w:r>
          </w:p>
        </w:tc>
      </w:tr>
      <w:tr>
        <w:tc>
          <w:tcPr>
            <w:tcW w:type="dxa" w:w="1200"/>
            <w:tcMar>
              <w:top w:type="dxa" w:w="60"/>
              <w:left w:type="dxa" w:w="90"/>
              <w:bottom w:type="dxa" w:w="60"/>
              <w:right w:type="dxa" w:w="90"/>
            </w:tcMar>
          </w:tcPr>
          <w:p>
            <w:r>
              <w:rPr>
                <w:b w:val="false"/>
                <w:bCs w:val="false"/>
                <w:sz w:val="19"/>
                <w:szCs w:val="19"/>
              </w:rPr>
              <w:t xml:space="preserve">Poland/EU</w:t>
            </w:r>
          </w:p>
        </w:tc>
        <w:tc>
          <w:tcPr>
            <w:tcW w:type="dxa" w:w="2100"/>
            <w:tcMar>
              <w:top w:type="dxa" w:w="60"/>
              <w:left w:type="dxa" w:w="90"/>
              <w:bottom w:type="dxa" w:w="60"/>
              <w:right w:type="dxa" w:w="90"/>
            </w:tcMar>
          </w:tcPr>
          <w:p>
            <w:r>
              <w:rPr>
                <w:b w:val="false"/>
                <w:bCs w:val="false"/>
                <w:sz w:val="19"/>
                <w:szCs w:val="19"/>
              </w:rPr>
              <w:t xml:space="preserve">Aluminum (pure)</w:t>
            </w:r>
          </w:p>
        </w:tc>
        <w:tc>
          <w:tcPr>
            <w:tcW w:type="dxa" w:w="1660"/>
            <w:tcMar>
              <w:top w:type="dxa" w:w="60"/>
              <w:left w:type="dxa" w:w="90"/>
              <w:bottom w:type="dxa" w:w="60"/>
              <w:right w:type="dxa" w:w="90"/>
            </w:tcMar>
          </w:tcPr>
          <w:p>
            <w:r>
              <w:rPr>
                <w:b w:val="false"/>
                <w:bCs w:val="false"/>
                <w:sz w:val="19"/>
                <w:szCs w:val="19"/>
              </w:rPr>
              <w:t xml:space="preserve">7610.10</w:t>
            </w:r>
          </w:p>
        </w:tc>
        <w:tc>
          <w:tcPr>
            <w:tcW w:type="dxa" w:w="2400"/>
            <w:tcMar>
              <w:top w:type="dxa" w:w="60"/>
              <w:left w:type="dxa" w:w="90"/>
              <w:bottom w:type="dxa" w:w="60"/>
              <w:right w:type="dxa" w:w="90"/>
            </w:tcMar>
          </w:tcPr>
          <w:p>
            <w:r>
              <w:rPr>
                <w:b w:val="false"/>
                <w:bCs w:val="false"/>
                <w:sz w:val="19"/>
                <w:szCs w:val="19"/>
              </w:rPr>
              <w:t xml:space="preserve">~65%</w:t>
            </w:r>
          </w:p>
        </w:tc>
        <w:tc>
          <w:tcPr>
            <w:tcW w:type="dxa" w:w="2000"/>
            <w:tcMar>
              <w:top w:type="dxa" w:w="60"/>
              <w:left w:type="dxa" w:w="90"/>
              <w:bottom w:type="dxa" w:w="60"/>
              <w:right w:type="dxa" w:w="90"/>
            </w:tcMar>
          </w:tcPr>
          <w:p>
            <w:r>
              <w:rPr>
                <w:b w:val="false"/>
                <w:bCs w:val="false"/>
                <w:sz w:val="19"/>
                <w:szCs w:val="19"/>
              </w:rPr>
              <w:t xml:space="preserve">Avoid — use wood-primary</w:t>
            </w:r>
          </w:p>
        </w:tc>
      </w:tr>
      <w:tr>
        <w:tc>
          <w:tcPr>
            <w:tcW w:type="dxa" w:w="1200"/>
            <w:shd w:fill="F2F6FC" w:val="clear"/>
            <w:tcMar>
              <w:top w:type="dxa" w:w="60"/>
              <w:left w:type="dxa" w:w="90"/>
              <w:bottom w:type="dxa" w:w="60"/>
              <w:right w:type="dxa" w:w="90"/>
            </w:tcMar>
          </w:tcPr>
          <w:p>
            <w:r>
              <w:rPr>
                <w:b w:val="false"/>
                <w:bCs w:val="false"/>
                <w:sz w:val="19"/>
                <w:szCs w:val="19"/>
              </w:rPr>
              <w:t xml:space="preserve">UAE/Dubai</w:t>
            </w:r>
          </w:p>
        </w:tc>
        <w:tc>
          <w:tcPr>
            <w:tcW w:type="dxa" w:w="2100"/>
            <w:shd w:fill="F2F6FC" w:val="clear"/>
            <w:tcMar>
              <w:top w:type="dxa" w:w="60"/>
              <w:left w:type="dxa" w:w="90"/>
              <w:bottom w:type="dxa" w:w="60"/>
              <w:right w:type="dxa" w:w="90"/>
            </w:tcMar>
          </w:tcPr>
          <w:p>
            <w:r>
              <w:rPr>
                <w:b w:val="false"/>
                <w:bCs w:val="false"/>
                <w:sz w:val="19"/>
                <w:szCs w:val="19"/>
              </w:rPr>
              <w:t xml:space="preserve">Aluminum</w:t>
            </w:r>
          </w:p>
        </w:tc>
        <w:tc>
          <w:tcPr>
            <w:tcW w:type="dxa" w:w="1660"/>
            <w:shd w:fill="F2F6FC" w:val="clear"/>
            <w:tcMar>
              <w:top w:type="dxa" w:w="60"/>
              <w:left w:type="dxa" w:w="90"/>
              <w:bottom w:type="dxa" w:w="60"/>
              <w:right w:type="dxa" w:w="90"/>
            </w:tcMar>
          </w:tcPr>
          <w:p>
            <w:r>
              <w:rPr>
                <w:b w:val="false"/>
                <w:bCs w:val="false"/>
                <w:sz w:val="19"/>
                <w:szCs w:val="19"/>
              </w:rPr>
              <w:t xml:space="preserve">7610.10</w:t>
            </w:r>
          </w:p>
        </w:tc>
        <w:tc>
          <w:tcPr>
            <w:tcW w:type="dxa" w:w="2400"/>
            <w:shd w:fill="F2F6FC" w:val="clear"/>
            <w:tcMar>
              <w:top w:type="dxa" w:w="60"/>
              <w:left w:type="dxa" w:w="90"/>
              <w:bottom w:type="dxa" w:w="60"/>
              <w:right w:type="dxa" w:w="90"/>
            </w:tcMar>
          </w:tcPr>
          <w:p>
            <w:r>
              <w:rPr>
                <w:b w:val="false"/>
                <w:bCs w:val="false"/>
                <w:sz w:val="19"/>
                <w:szCs w:val="19"/>
              </w:rPr>
              <w:t xml:space="preserve">~65%+ (232 + reciprocal + MFN)</w:t>
            </w:r>
          </w:p>
        </w:tc>
        <w:tc>
          <w:tcPr>
            <w:tcW w:type="dxa" w:w="2000"/>
            <w:shd w:fill="F2F6FC" w:val="clear"/>
            <w:tcMar>
              <w:top w:type="dxa" w:w="60"/>
              <w:left w:type="dxa" w:w="90"/>
              <w:bottom w:type="dxa" w:w="60"/>
              <w:right w:type="dxa" w:w="90"/>
            </w:tcMar>
          </w:tcPr>
          <w:p>
            <w:r>
              <w:rPr>
                <w:b w:val="false"/>
                <w:bCs w:val="false"/>
                <w:sz w:val="19"/>
                <w:szCs w:val="19"/>
              </w:rPr>
              <w:t xml:space="preserve">Luxury tier only — Line 3</w:t>
            </w:r>
          </w:p>
        </w:tc>
      </w:tr>
      <w:tr>
        <w:tc>
          <w:tcPr>
            <w:tcW w:type="dxa" w:w="1200"/>
            <w:tcMar>
              <w:top w:type="dxa" w:w="60"/>
              <w:left w:type="dxa" w:w="90"/>
              <w:bottom w:type="dxa" w:w="60"/>
              <w:right w:type="dxa" w:w="90"/>
            </w:tcMar>
          </w:tcPr>
          <w:p>
            <w:r>
              <w:rPr>
                <w:b w:val="false"/>
                <w:bCs w:val="false"/>
                <w:sz w:val="19"/>
                <w:szCs w:val="19"/>
              </w:rPr>
              <w:t xml:space="preserve">China</w:t>
            </w:r>
          </w:p>
        </w:tc>
        <w:tc>
          <w:tcPr>
            <w:tcW w:type="dxa" w:w="2100"/>
            <w:tcMar>
              <w:top w:type="dxa" w:w="60"/>
              <w:left w:type="dxa" w:w="90"/>
              <w:bottom w:type="dxa" w:w="60"/>
              <w:right w:type="dxa" w:w="90"/>
            </w:tcMar>
          </w:tcPr>
          <w:p>
            <w:r>
              <w:rPr>
                <w:b w:val="false"/>
                <w:bCs w:val="false"/>
                <w:sz w:val="19"/>
                <w:szCs w:val="19"/>
              </w:rPr>
              <w:t xml:space="preserve">Aluminum / fiberglass</w:t>
            </w:r>
          </w:p>
        </w:tc>
        <w:tc>
          <w:tcPr>
            <w:tcW w:type="dxa" w:w="1660"/>
            <w:tcMar>
              <w:top w:type="dxa" w:w="60"/>
              <w:left w:type="dxa" w:w="90"/>
              <w:bottom w:type="dxa" w:w="60"/>
              <w:right w:type="dxa" w:w="90"/>
            </w:tcMar>
          </w:tcPr>
          <w:p>
            <w:r>
              <w:rPr>
                <w:b w:val="false"/>
                <w:bCs w:val="false"/>
                <w:sz w:val="19"/>
                <w:szCs w:val="19"/>
              </w:rPr>
              <w:t xml:space="preserve">7610 / —</w:t>
            </w:r>
          </w:p>
        </w:tc>
        <w:tc>
          <w:tcPr>
            <w:tcW w:type="dxa" w:w="2400"/>
            <w:tcMar>
              <w:top w:type="dxa" w:w="60"/>
              <w:left w:type="dxa" w:w="90"/>
              <w:bottom w:type="dxa" w:w="60"/>
              <w:right w:type="dxa" w:w="90"/>
            </w:tcMar>
          </w:tcPr>
          <w:p>
            <w:r>
              <w:rPr>
                <w:b w:val="false"/>
                <w:bCs w:val="false"/>
                <w:sz w:val="19"/>
                <w:szCs w:val="19"/>
              </w:rPr>
              <w:t xml:space="preserve">~25–73%</w:t>
            </w:r>
          </w:p>
        </w:tc>
        <w:tc>
          <w:tcPr>
            <w:tcW w:type="dxa" w:w="2000"/>
            <w:tcMar>
              <w:top w:type="dxa" w:w="60"/>
              <w:left w:type="dxa" w:w="90"/>
              <w:bottom w:type="dxa" w:w="60"/>
              <w:right w:type="dxa" w:w="90"/>
            </w:tcMar>
          </w:tcPr>
          <w:p>
            <w:r>
              <w:rPr>
                <w:b w:val="false"/>
                <w:bCs w:val="false"/>
                <w:sz w:val="19"/>
                <w:szCs w:val="19"/>
              </w:rPr>
              <w:t xml:space="preserve">Prohibitive + antidumping risk</w:t>
            </w:r>
          </w:p>
        </w:tc>
      </w:tr>
    </w:tbl>
    <w:p>
      <w:pPr>
        <w:spacing w:after="80"/>
      </w:pPr>
    </w:p>
    <w:p>
      <w:pPr>
        <w:spacing w:after="120"/>
      </w:pPr>
      <w:r>
        <w:t xml:space="preserve">Action: secure a binding CBP ruling confirming the HTS 4418 classification for the specific Polish SKUs before scaling Line 2, to lock the ~15% rate (budget $5–10K for a customs attorney).</w:t>
      </w:r>
    </w:p>
    <w:p>
      <w:pPr>
        <w:pStyle w:val="Heading1"/>
        <w:spacing w:after="120" w:before="260"/>
      </w:pPr>
      <w:r>
        <w:rPr>
          <w:b/>
          <w:bCs/>
          <w:color w:val="1F3864"/>
        </w:rPr>
        <w:t xml:space="preserve">6.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960"/>
        <w:gridCol w:w="2000"/>
      </w:tblGrid>
      <w:tr>
        <w:trPr>
          <w:tblHeader/>
        </w:trPr>
        <w:tc>
          <w:tcPr>
            <w:tcW w:type="dxa" w:w="3000"/>
            <w:shd w:fill="1F3864" w:val="clear"/>
            <w:tcMar>
              <w:top w:type="dxa" w:w="60"/>
              <w:left w:type="dxa" w:w="90"/>
              <w:bottom w:type="dxa" w:w="60"/>
              <w:right w:type="dxa" w:w="90"/>
            </w:tcMar>
          </w:tcPr>
          <w:p>
            <w:r>
              <w:rPr>
                <w:b/>
                <w:bCs/>
                <w:color w:val="FFFFFF"/>
                <w:sz w:val="19"/>
                <w:szCs w:val="19"/>
              </w:rPr>
              <w:t xml:space="preserve">Product</w:t>
            </w:r>
          </w:p>
        </w:tc>
        <w:tc>
          <w:tcPr>
            <w:tcW w:type="dxa" w:w="1400"/>
            <w:shd w:fill="1F3864" w:val="clear"/>
            <w:tcMar>
              <w:top w:type="dxa" w:w="60"/>
              <w:left w:type="dxa" w:w="90"/>
              <w:bottom w:type="dxa" w:w="60"/>
              <w:right w:type="dxa" w:w="90"/>
            </w:tcMar>
          </w:tcPr>
          <w:p>
            <w:r>
              <w:rPr>
                <w:b/>
                <w:bCs/>
                <w:color w:val="FFFFFF"/>
                <w:sz w:val="19"/>
                <w:szCs w:val="19"/>
              </w:rPr>
              <w:t xml:space="preserve">Source</w:t>
            </w:r>
          </w:p>
        </w:tc>
        <w:tc>
          <w:tcPr>
            <w:tcW w:type="dxa" w:w="2960"/>
            <w:shd w:fill="1F3864" w:val="clear"/>
            <w:tcMar>
              <w:top w:type="dxa" w:w="60"/>
              <w:left w:type="dxa" w:w="90"/>
              <w:bottom w:type="dxa" w:w="60"/>
              <w:right w:type="dxa" w:w="90"/>
            </w:tcMar>
          </w:tcPr>
          <w:p>
            <w:r>
              <w:rPr>
                <w:b/>
                <w:bCs/>
                <w:color w:val="FFFFFF"/>
                <w:sz w:val="19"/>
                <w:szCs w:val="19"/>
              </w:rPr>
              <w:t xml:space="preserve">Price vs. U.S. Brands</w:t>
            </w:r>
          </w:p>
        </w:tc>
        <w:tc>
          <w:tcPr>
            <w:tcW w:type="dxa" w:w="2000"/>
            <w:shd w:fill="1F3864" w:val="clear"/>
            <w:tcMar>
              <w:top w:type="dxa" w:w="60"/>
              <w:left w:type="dxa" w:w="90"/>
              <w:bottom w:type="dxa" w:w="60"/>
              <w:right w:type="dxa" w:w="90"/>
            </w:tcMar>
          </w:tcPr>
          <w:p>
            <w:r>
              <w:rPr>
                <w:b/>
                <w:bCs/>
                <w:color w:val="FFFFFF"/>
                <w:sz w:val="19"/>
                <w:szCs w:val="19"/>
              </w:rPr>
              <w:t xml:space="preserve">Quality Tier</w:t>
            </w:r>
          </w:p>
        </w:tc>
      </w:tr>
      <w:tr>
        <w:tc>
          <w:tcPr>
            <w:tcW w:type="dxa" w:w="3000"/>
            <w:tcMar>
              <w:top w:type="dxa" w:w="60"/>
              <w:left w:type="dxa" w:w="90"/>
              <w:bottom w:type="dxa" w:w="60"/>
              <w:right w:type="dxa" w:w="90"/>
            </w:tcMar>
          </w:tcPr>
          <w:p>
            <w:r>
              <w:rPr>
                <w:b w:val="false"/>
                <w:bCs w:val="false"/>
                <w:sz w:val="19"/>
                <w:szCs w:val="19"/>
              </w:rPr>
              <w:t xml:space="preserve">Line 1 — Fiberglass</w:t>
            </w:r>
          </w:p>
        </w:tc>
        <w:tc>
          <w:tcPr>
            <w:tcW w:type="dxa" w:w="1400"/>
            <w:tcMar>
              <w:top w:type="dxa" w:w="60"/>
              <w:left w:type="dxa" w:w="90"/>
              <w:bottom w:type="dxa" w:w="60"/>
              <w:right w:type="dxa" w:w="90"/>
            </w:tcMar>
          </w:tcPr>
          <w:p>
            <w:r>
              <w:rPr>
                <w:b w:val="false"/>
                <w:bCs w:val="false"/>
                <w:sz w:val="19"/>
                <w:szCs w:val="19"/>
              </w:rPr>
              <w:t xml:space="preserve">Canada</w:t>
            </w:r>
          </w:p>
        </w:tc>
        <w:tc>
          <w:tcPr>
            <w:tcW w:type="dxa" w:w="2960"/>
            <w:tcMar>
              <w:top w:type="dxa" w:w="60"/>
              <w:left w:type="dxa" w:w="90"/>
              <w:bottom w:type="dxa" w:w="60"/>
              <w:right w:type="dxa" w:w="90"/>
            </w:tcMar>
          </w:tcPr>
          <w:p>
            <w:r>
              <w:rPr>
                <w:b w:val="false"/>
                <w:bCs w:val="false"/>
                <w:sz w:val="19"/>
                <w:szCs w:val="19"/>
              </w:rPr>
              <w:t xml:space="preserve">20–30% below Marvin Essential</w:t>
            </w:r>
          </w:p>
        </w:tc>
        <w:tc>
          <w:tcPr>
            <w:tcW w:type="dxa" w:w="2000"/>
            <w:tcMar>
              <w:top w:type="dxa" w:w="60"/>
              <w:left w:type="dxa" w:w="90"/>
              <w:bottom w:type="dxa" w:w="60"/>
              <w:right w:type="dxa" w:w="90"/>
            </w:tcMar>
          </w:tcPr>
          <w:p>
            <w:r>
              <w:rPr>
                <w:b w:val="false"/>
                <w:bCs w:val="false"/>
                <w:sz w:val="19"/>
                <w:szCs w:val="19"/>
              </w:rPr>
              <w:t xml:space="preserve">Marvin-equivalent</w:t>
            </w:r>
          </w:p>
        </w:tc>
      </w:tr>
      <w:tr>
        <w:tc>
          <w:tcPr>
            <w:tcW w:type="dxa" w:w="3000"/>
            <w:shd w:fill="F2F6FC" w:val="clear"/>
            <w:tcMar>
              <w:top w:type="dxa" w:w="60"/>
              <w:left w:type="dxa" w:w="90"/>
              <w:bottom w:type="dxa" w:w="60"/>
              <w:right w:type="dxa" w:w="90"/>
            </w:tcMar>
          </w:tcPr>
          <w:p>
            <w:r>
              <w:rPr>
                <w:b w:val="false"/>
                <w:bCs w:val="false"/>
                <w:sz w:val="19"/>
                <w:szCs w:val="19"/>
              </w:rPr>
              <w:t xml:space="preserve">Line 2 — Alu-clad wood</w:t>
            </w:r>
          </w:p>
        </w:tc>
        <w:tc>
          <w:tcPr>
            <w:tcW w:type="dxa" w:w="1400"/>
            <w:shd w:fill="F2F6FC" w:val="clear"/>
            <w:tcMar>
              <w:top w:type="dxa" w:w="60"/>
              <w:left w:type="dxa" w:w="90"/>
              <w:bottom w:type="dxa" w:w="60"/>
              <w:right w:type="dxa" w:w="90"/>
            </w:tcMar>
          </w:tcPr>
          <w:p>
            <w:r>
              <w:rPr>
                <w:b w:val="false"/>
                <w:bCs w:val="false"/>
                <w:sz w:val="19"/>
                <w:szCs w:val="19"/>
              </w:rPr>
              <w:t xml:space="preserve">Poland</w:t>
            </w:r>
          </w:p>
        </w:tc>
        <w:tc>
          <w:tcPr>
            <w:tcW w:type="dxa" w:w="2960"/>
            <w:shd w:fill="F2F6FC" w:val="clear"/>
            <w:tcMar>
              <w:top w:type="dxa" w:w="60"/>
              <w:left w:type="dxa" w:w="90"/>
              <w:bottom w:type="dxa" w:w="60"/>
              <w:right w:type="dxa" w:w="90"/>
            </w:tcMar>
          </w:tcPr>
          <w:p>
            <w:r>
              <w:rPr>
                <w:b w:val="false"/>
                <w:bCs w:val="false"/>
                <w:sz w:val="19"/>
                <w:szCs w:val="19"/>
              </w:rPr>
              <w:t xml:space="preserve">30–50% below Andersen 400</w:t>
            </w:r>
          </w:p>
        </w:tc>
        <w:tc>
          <w:tcPr>
            <w:tcW w:type="dxa" w:w="2000"/>
            <w:shd w:fill="F2F6FC" w:val="clear"/>
            <w:tcMar>
              <w:top w:type="dxa" w:w="60"/>
              <w:left w:type="dxa" w:w="90"/>
              <w:bottom w:type="dxa" w:w="60"/>
              <w:right w:type="dxa" w:w="90"/>
            </w:tcMar>
          </w:tcPr>
          <w:p>
            <w:r>
              <w:rPr>
                <w:b w:val="false"/>
                <w:bCs w:val="false"/>
                <w:sz w:val="19"/>
                <w:szCs w:val="19"/>
              </w:rPr>
              <w:t xml:space="preserve">Premium European</w:t>
            </w:r>
          </w:p>
        </w:tc>
      </w:tr>
      <w:tr>
        <w:tc>
          <w:tcPr>
            <w:tcW w:type="dxa" w:w="3000"/>
            <w:tcMar>
              <w:top w:type="dxa" w:w="60"/>
              <w:left w:type="dxa" w:w="90"/>
              <w:bottom w:type="dxa" w:w="60"/>
              <w:right w:type="dxa" w:w="90"/>
            </w:tcMar>
          </w:tcPr>
          <w:p>
            <w:r>
              <w:rPr>
                <w:b w:val="false"/>
                <w:bCs w:val="false"/>
                <w:sz w:val="19"/>
                <w:szCs w:val="19"/>
              </w:rPr>
              <w:t xml:space="preserve">Line 3 — Architectural aluminum</w:t>
            </w:r>
          </w:p>
        </w:tc>
        <w:tc>
          <w:tcPr>
            <w:tcW w:type="dxa" w:w="1400"/>
            <w:tcMar>
              <w:top w:type="dxa" w:w="60"/>
              <w:left w:type="dxa" w:w="90"/>
              <w:bottom w:type="dxa" w:w="60"/>
              <w:right w:type="dxa" w:w="90"/>
            </w:tcMar>
          </w:tcPr>
          <w:p>
            <w:r>
              <w:rPr>
                <w:b w:val="false"/>
                <w:bCs w:val="false"/>
                <w:sz w:val="19"/>
                <w:szCs w:val="19"/>
              </w:rPr>
              <w:t xml:space="preserve">Dubai</w:t>
            </w:r>
          </w:p>
        </w:tc>
        <w:tc>
          <w:tcPr>
            <w:tcW w:type="dxa" w:w="2960"/>
            <w:tcMar>
              <w:top w:type="dxa" w:w="60"/>
              <w:left w:type="dxa" w:w="90"/>
              <w:bottom w:type="dxa" w:w="60"/>
              <w:right w:type="dxa" w:w="90"/>
            </w:tcMar>
          </w:tcPr>
          <w:p>
            <w:r>
              <w:rPr>
                <w:b w:val="false"/>
                <w:bCs w:val="false"/>
                <w:sz w:val="19"/>
                <w:szCs w:val="19"/>
              </w:rPr>
              <w:t xml:space="preserve">Luxury tier (tariff-loaded)</w:t>
            </w:r>
          </w:p>
        </w:tc>
        <w:tc>
          <w:tcPr>
            <w:tcW w:type="dxa" w:w="2000"/>
            <w:tcMar>
              <w:top w:type="dxa" w:w="60"/>
              <w:left w:type="dxa" w:w="90"/>
              <w:bottom w:type="dxa" w:w="60"/>
              <w:right w:type="dxa" w:w="90"/>
            </w:tcMar>
          </w:tcPr>
          <w:p>
            <w:r>
              <w:rPr>
                <w:b w:val="false"/>
                <w:bCs w:val="false"/>
                <w:sz w:val="19"/>
                <w:szCs w:val="19"/>
              </w:rPr>
              <w:t xml:space="preserve">Ultra-premium</w:t>
            </w:r>
          </w:p>
        </w:tc>
      </w:tr>
      <w:tr>
        <w:tc>
          <w:tcPr>
            <w:tcW w:type="dxa" w:w="3000"/>
            <w:shd w:fill="F2F6FC" w:val="clear"/>
            <w:tcMar>
              <w:top w:type="dxa" w:w="60"/>
              <w:left w:type="dxa" w:w="90"/>
              <w:bottom w:type="dxa" w:w="60"/>
              <w:right w:type="dxa" w:w="90"/>
            </w:tcMar>
          </w:tcPr>
          <w:p>
            <w:r>
              <w:rPr>
                <w:b w:val="false"/>
                <w:bCs w:val="false"/>
                <w:sz w:val="19"/>
                <w:szCs w:val="19"/>
              </w:rPr>
              <w:t xml:space="preserve">Marvin Essential</w:t>
            </w:r>
          </w:p>
        </w:tc>
        <w:tc>
          <w:tcPr>
            <w:tcW w:type="dxa" w:w="1400"/>
            <w:shd w:fill="F2F6FC" w:val="clear"/>
            <w:tcMar>
              <w:top w:type="dxa" w:w="60"/>
              <w:left w:type="dxa" w:w="90"/>
              <w:bottom w:type="dxa" w:w="60"/>
              <w:right w:type="dxa" w:w="90"/>
            </w:tcMar>
          </w:tcPr>
          <w:p>
            <w:r>
              <w:rPr>
                <w:b w:val="false"/>
                <w:bCs w:val="false"/>
                <w:sz w:val="19"/>
                <w:szCs w:val="19"/>
              </w:rPr>
              <w:t xml:space="preserve">USA</w:t>
            </w:r>
          </w:p>
        </w:tc>
        <w:tc>
          <w:tcPr>
            <w:tcW w:type="dxa" w:w="2960"/>
            <w:shd w:fill="F2F6FC" w:val="clear"/>
            <w:tcMar>
              <w:top w:type="dxa" w:w="60"/>
              <w:left w:type="dxa" w:w="90"/>
              <w:bottom w:type="dxa" w:w="60"/>
              <w:right w:type="dxa" w:w="90"/>
            </w:tcMar>
          </w:tcPr>
          <w:p>
            <w:r>
              <w:rPr>
                <w:b w:val="false"/>
                <w:bCs w:val="false"/>
                <w:sz w:val="19"/>
                <w:szCs w:val="19"/>
              </w:rPr>
              <w:t xml:space="preserve">Benchmark</w:t>
            </w:r>
          </w:p>
        </w:tc>
        <w:tc>
          <w:tcPr>
            <w:tcW w:type="dxa" w:w="2000"/>
            <w:shd w:fill="F2F6FC" w:val="clear"/>
            <w:tcMar>
              <w:top w:type="dxa" w:w="60"/>
              <w:left w:type="dxa" w:w="90"/>
              <w:bottom w:type="dxa" w:w="60"/>
              <w:right w:type="dxa" w:w="90"/>
            </w:tcMar>
          </w:tcPr>
          <w:p>
            <w:r>
              <w:rPr>
                <w:b w:val="false"/>
                <w:bCs w:val="false"/>
                <w:sz w:val="19"/>
                <w:szCs w:val="19"/>
              </w:rPr>
              <w:t xml:space="preserve">Premium</w:t>
            </w:r>
          </w:p>
        </w:tc>
      </w:tr>
      <w:tr>
        <w:tc>
          <w:tcPr>
            <w:tcW w:type="dxa" w:w="3000"/>
            <w:tcMar>
              <w:top w:type="dxa" w:w="60"/>
              <w:left w:type="dxa" w:w="90"/>
              <w:bottom w:type="dxa" w:w="60"/>
              <w:right w:type="dxa" w:w="90"/>
            </w:tcMar>
          </w:tcPr>
          <w:p>
            <w:r>
              <w:rPr>
                <w:b w:val="false"/>
                <w:bCs w:val="false"/>
                <w:sz w:val="19"/>
                <w:szCs w:val="19"/>
              </w:rPr>
              <w:t xml:space="preserve">Andersen 400</w:t>
            </w:r>
          </w:p>
        </w:tc>
        <w:tc>
          <w:tcPr>
            <w:tcW w:type="dxa" w:w="1400"/>
            <w:tcMar>
              <w:top w:type="dxa" w:w="60"/>
              <w:left w:type="dxa" w:w="90"/>
              <w:bottom w:type="dxa" w:w="60"/>
              <w:right w:type="dxa" w:w="90"/>
            </w:tcMar>
          </w:tcPr>
          <w:p>
            <w:r>
              <w:rPr>
                <w:b w:val="false"/>
                <w:bCs w:val="false"/>
                <w:sz w:val="19"/>
                <w:szCs w:val="19"/>
              </w:rPr>
              <w:t xml:space="preserve">USA</w:t>
            </w:r>
          </w:p>
        </w:tc>
        <w:tc>
          <w:tcPr>
            <w:tcW w:type="dxa" w:w="2960"/>
            <w:tcMar>
              <w:top w:type="dxa" w:w="60"/>
              <w:left w:type="dxa" w:w="90"/>
              <w:bottom w:type="dxa" w:w="60"/>
              <w:right w:type="dxa" w:w="90"/>
            </w:tcMar>
          </w:tcPr>
          <w:p>
            <w:r>
              <w:rPr>
                <w:b w:val="false"/>
                <w:bCs w:val="false"/>
                <w:sz w:val="19"/>
                <w:szCs w:val="19"/>
              </w:rPr>
              <w:t xml:space="preserve">Benchmark</w:t>
            </w:r>
          </w:p>
        </w:tc>
        <w:tc>
          <w:tcPr>
            <w:tcW w:type="dxa" w:w="2000"/>
            <w:tcMar>
              <w:top w:type="dxa" w:w="60"/>
              <w:left w:type="dxa" w:w="90"/>
              <w:bottom w:type="dxa" w:w="60"/>
              <w:right w:type="dxa" w:w="90"/>
            </w:tcMar>
          </w:tcPr>
          <w:p>
            <w:r>
              <w:rPr>
                <w:b w:val="false"/>
                <w:bCs w:val="false"/>
                <w:sz w:val="19"/>
                <w:szCs w:val="19"/>
              </w:rPr>
              <w:t xml:space="preserve">Premium</w:t>
            </w:r>
          </w:p>
        </w:tc>
      </w:tr>
      <w:tr>
        <w:tc>
          <w:tcPr>
            <w:tcW w:type="dxa" w:w="3000"/>
            <w:shd w:fill="F2F6FC" w:val="clear"/>
            <w:tcMar>
              <w:top w:type="dxa" w:w="60"/>
              <w:left w:type="dxa" w:w="90"/>
              <w:bottom w:type="dxa" w:w="60"/>
              <w:right w:type="dxa" w:w="90"/>
            </w:tcMar>
          </w:tcPr>
          <w:p>
            <w:r>
              <w:rPr>
                <w:b w:val="false"/>
                <w:bCs w:val="false"/>
                <w:sz w:val="19"/>
                <w:szCs w:val="19"/>
              </w:rPr>
              <w:t xml:space="preserve">Andersen Fibrex</w:t>
            </w:r>
          </w:p>
        </w:tc>
        <w:tc>
          <w:tcPr>
            <w:tcW w:type="dxa" w:w="1400"/>
            <w:shd w:fill="F2F6FC" w:val="clear"/>
            <w:tcMar>
              <w:top w:type="dxa" w:w="60"/>
              <w:left w:type="dxa" w:w="90"/>
              <w:bottom w:type="dxa" w:w="60"/>
              <w:right w:type="dxa" w:w="90"/>
            </w:tcMar>
          </w:tcPr>
          <w:p>
            <w:r>
              <w:rPr>
                <w:b w:val="false"/>
                <w:bCs w:val="false"/>
                <w:sz w:val="19"/>
                <w:szCs w:val="19"/>
              </w:rPr>
              <w:t xml:space="preserve">USA</w:t>
            </w:r>
          </w:p>
        </w:tc>
        <w:tc>
          <w:tcPr>
            <w:tcW w:type="dxa" w:w="2960"/>
            <w:shd w:fill="F2F6FC" w:val="clear"/>
            <w:tcMar>
              <w:top w:type="dxa" w:w="60"/>
              <w:left w:type="dxa" w:w="90"/>
              <w:bottom w:type="dxa" w:w="60"/>
              <w:right w:type="dxa" w:w="90"/>
            </w:tcMar>
          </w:tcPr>
          <w:p>
            <w:r>
              <w:rPr>
                <w:b w:val="false"/>
                <w:bCs w:val="false"/>
                <w:sz w:val="19"/>
                <w:szCs w:val="19"/>
              </w:rPr>
              <w:t xml:space="preserve">Competitive w/ Marvin</w:t>
            </w:r>
          </w:p>
        </w:tc>
        <w:tc>
          <w:tcPr>
            <w:tcW w:type="dxa" w:w="2000"/>
            <w:shd w:fill="F2F6FC" w:val="clear"/>
            <w:tcMar>
              <w:top w:type="dxa" w:w="60"/>
              <w:left w:type="dxa" w:w="90"/>
              <w:bottom w:type="dxa" w:w="60"/>
              <w:right w:type="dxa" w:w="90"/>
            </w:tcMar>
          </w:tcPr>
          <w:p>
            <w:r>
              <w:rPr>
                <w:b w:val="false"/>
                <w:bCs w:val="false"/>
                <w:sz w:val="19"/>
                <w:szCs w:val="19"/>
              </w:rPr>
              <w:t xml:space="preserve">Mid (not true fiberglass)</w:t>
            </w:r>
          </w:p>
        </w:tc>
      </w:tr>
    </w:tbl>
    <w:p>
      <w:pPr>
        <w:spacing w:after="80"/>
      </w:pPr>
    </w:p>
    <w:p>
      <w:pPr>
        <w:spacing w:after="120"/>
      </w:pPr>
      <w:r>
        <w:t xml:space="preserve">The positioning is deliberate: lead with Line 1 and Line 2 as “European/Canadian quality below U.S. pricing,” and reserve Line 3 for signature luxury projects where brand and design outweigh price.</w:t>
      </w:r>
    </w:p>
    <w:p>
      <w:pPr>
        <w:pStyle w:val="Heading1"/>
        <w:spacing w:after="120" w:before="260"/>
      </w:pPr>
      <w:r>
        <w:rPr>
          <w:b/>
          <w:bCs/>
          <w:color w:val="1F3864"/>
        </w:rPr>
        <w:t xml:space="preserve">7. Supply Chain &amp; Operations</w:t>
      </w:r>
    </w:p>
    <w:p>
      <w:pPr>
        <w:pStyle w:val="ListParagraph"/>
        <w:numPr>
          <w:ilvl w:val="0"/>
          <w:numId w:val="1"/>
        </w:numPr>
        <w:spacing w:after="60"/>
      </w:pPr>
      <w:r>
        <w:rPr>
          <w:b/>
          <w:bCs/>
        </w:rPr>
        <w:t xml:space="preserve">Logistics: </w:t>
      </w:r>
      <w:r>
        <w:t xml:space="preserve">Freight forwarder for ocean/rail freight from Canada and Poland; consolidate shipments to control landed cost.</w:t>
      </w:r>
    </w:p>
    <w:p>
      <w:pPr>
        <w:pStyle w:val="ListParagraph"/>
        <w:numPr>
          <w:ilvl w:val="0"/>
          <w:numId w:val="1"/>
        </w:numPr>
        <w:spacing w:after="60"/>
      </w:pPr>
      <w:r>
        <w:rPr>
          <w:b/>
          <w:bCs/>
        </w:rPr>
        <w:t xml:space="preserve">Customs: </w:t>
      </w:r>
      <w:r>
        <w:t xml:space="preserve">Licensed customs broker + continuous import bond to clear goods and manage classification.</w:t>
      </w:r>
    </w:p>
    <w:p>
      <w:pPr>
        <w:pStyle w:val="ListParagraph"/>
        <w:numPr>
          <w:ilvl w:val="0"/>
          <w:numId w:val="1"/>
        </w:numPr>
        <w:spacing w:after="60"/>
      </w:pPr>
      <w:r>
        <w:rPr>
          <w:b/>
          <w:bCs/>
        </w:rPr>
        <w:t xml:space="preserve">Warehousing: </w:t>
      </w:r>
      <w:r>
        <w:t xml:space="preserve">Regional staging/warehouse in the Denver metro for staging, QC, and last-mile delivery to job sites.</w:t>
      </w:r>
    </w:p>
    <w:p>
      <w:pPr>
        <w:pStyle w:val="ListParagraph"/>
        <w:numPr>
          <w:ilvl w:val="0"/>
          <w:numId w:val="1"/>
        </w:numPr>
        <w:spacing w:after="60"/>
      </w:pPr>
      <w:r>
        <w:rPr>
          <w:b/>
          <w:bCs/>
        </w:rPr>
        <w:t xml:space="preserve">Systems: </w:t>
      </w:r>
      <w:r>
        <w:t xml:space="preserve">Order/inventory management system, product catalog, and an automated quote tool by window size/type/quantity.</w:t>
      </w:r>
    </w:p>
    <w:p>
      <w:pPr>
        <w:pStyle w:val="Heading1"/>
        <w:spacing w:after="120" w:before="260"/>
      </w:pPr>
      <w:r>
        <w:rPr>
          <w:b/>
          <w:bCs/>
          <w:color w:val="1F3864"/>
        </w:rPr>
        <w:t xml:space="preserve">8. Go-to-Market</w:t>
      </w:r>
    </w:p>
    <w:p>
      <w:pPr>
        <w:pStyle w:val="ListParagraph"/>
        <w:numPr>
          <w:ilvl w:val="0"/>
          <w:numId w:val="1"/>
        </w:numPr>
        <w:spacing w:after="60"/>
      </w:pPr>
      <w:r>
        <w:rPr>
          <w:b/>
          <w:bCs/>
        </w:rPr>
        <w:t xml:space="preserve">Primary segments: </w:t>
      </w:r>
      <w:r>
        <w:t xml:space="preserve">Custom home builders, architects, and high-end general contractors in Colorado mountain/resort markets.</w:t>
      </w:r>
    </w:p>
    <w:p>
      <w:pPr>
        <w:pStyle w:val="ListParagraph"/>
        <w:numPr>
          <w:ilvl w:val="0"/>
          <w:numId w:val="1"/>
        </w:numPr>
        <w:spacing w:after="60"/>
      </w:pPr>
      <w:r>
        <w:rPr>
          <w:b/>
          <w:bCs/>
        </w:rPr>
        <w:t xml:space="preserve">Channel: </w:t>
      </w:r>
      <w:r>
        <w:t xml:space="preserve">Direct B2B relationships + a product catalog and quote tool; build architect-specification relationships for repeat volume.</w:t>
      </w:r>
    </w:p>
    <w:p>
      <w:pPr>
        <w:pStyle w:val="ListParagraph"/>
        <w:numPr>
          <w:ilvl w:val="0"/>
          <w:numId w:val="1"/>
        </w:numPr>
        <w:spacing w:after="60"/>
      </w:pPr>
      <w:r>
        <w:rPr>
          <w:b/>
          <w:bCs/>
        </w:rPr>
        <w:t xml:space="preserve">Pricing: </w:t>
      </w:r>
      <w:r>
        <w:t xml:space="preserve">Undercut U.S. premium brands while protecting healthy distributor margin; use tariff optimization as the structural advantage.</w:t>
      </w:r>
    </w:p>
    <w:p>
      <w:pPr>
        <w:pStyle w:val="Heading1"/>
        <w:spacing w:after="120" w:before="260"/>
      </w:pPr>
      <w:r>
        <w:rPr>
          <w:b/>
          <w:bCs/>
          <w:color w:val="1F3864"/>
        </w:rPr>
        <w:t xml:space="preserve">9. Strategic Roadmap</w:t>
      </w:r>
    </w:p>
    <w:p>
      <w:pPr>
        <w:pStyle w:val="Heading2"/>
        <w:spacing w:after="80" w:before="180"/>
      </w:pPr>
      <w:r>
        <w:rPr>
          <w:b/>
          <w:bCs/>
          <w:color w:val="2E74B5"/>
        </w:rPr>
        <w:t xml:space="preserve">Phase 1 — Validate Demand (0–12 months)</w:t>
      </w:r>
    </w:p>
    <w:p>
      <w:pPr>
        <w:pStyle w:val="ListParagraph"/>
        <w:numPr>
          <w:ilvl w:val="0"/>
          <w:numId w:val="1"/>
        </w:numPr>
        <w:spacing w:after="60"/>
      </w:pPr>
      <w:r>
        <w:t xml:space="preserve">Source Line 1 direct from Accurate Dorwin or SILEX (already certified and active).</w:t>
      </w:r>
    </w:p>
    <w:p>
      <w:pPr>
        <w:pStyle w:val="ListParagraph"/>
        <w:numPr>
          <w:ilvl w:val="0"/>
          <w:numId w:val="1"/>
        </w:numPr>
        <w:spacing w:after="60"/>
      </w:pPr>
      <w:r>
        <w:t xml:space="preserve">Source Line 2 via Debesto broker to minimize logistics risk.</w:t>
      </w:r>
    </w:p>
    <w:p>
      <w:pPr>
        <w:pStyle w:val="ListParagraph"/>
        <w:numPr>
          <w:ilvl w:val="0"/>
          <w:numId w:val="1"/>
        </w:numPr>
        <w:spacing w:after="60"/>
      </w:pPr>
      <w:r>
        <w:t xml:space="preserve">Form LLC; establish import bond, freight forwarder, and customs broker relationships.</w:t>
      </w:r>
    </w:p>
    <w:p>
      <w:pPr>
        <w:pStyle w:val="ListParagraph"/>
        <w:numPr>
          <w:ilvl w:val="0"/>
          <w:numId w:val="1"/>
        </w:numPr>
        <w:spacing w:after="60"/>
      </w:pPr>
      <w:r>
        <w:t xml:space="preserve">Target Colorado mountain/resort custom builders and architects.</w:t>
      </w:r>
    </w:p>
    <w:p>
      <w:pPr>
        <w:pStyle w:val="Heading2"/>
        <w:spacing w:after="80" w:before="180"/>
      </w:pPr>
      <w:r>
        <w:rPr>
          <w:b/>
          <w:bCs/>
          <w:color w:val="2E74B5"/>
        </w:rPr>
        <w:t xml:space="preserve">Phase 2 — Go Direct (12–24 months)</w:t>
      </w:r>
    </w:p>
    <w:p>
      <w:pPr>
        <w:pStyle w:val="ListParagraph"/>
        <w:numPr>
          <w:ilvl w:val="0"/>
          <w:numId w:val="1"/>
        </w:numPr>
        <w:spacing w:after="60"/>
      </w:pPr>
      <w:r>
        <w:t xml:space="preserve">Negotiate direct distribution with Sokółka for a Colorado/mountain territory with exclusivity in exchange for volume.</w:t>
      </w:r>
    </w:p>
    <w:p>
      <w:pPr>
        <w:pStyle w:val="ListParagraph"/>
        <w:numPr>
          <w:ilvl w:val="0"/>
          <w:numId w:val="1"/>
        </w:numPr>
        <w:spacing w:after="60"/>
      </w:pPr>
      <w:r>
        <w:t xml:space="preserve">Deepen contractor and architect relationships.</w:t>
      </w:r>
    </w:p>
    <w:p>
      <w:pPr>
        <w:pStyle w:val="Heading2"/>
        <w:spacing w:after="80" w:before="180"/>
      </w:pPr>
      <w:r>
        <w:rPr>
          <w:b/>
          <w:bCs/>
          <w:color w:val="2E74B5"/>
        </w:rPr>
        <w:t xml:space="preserve">Phase 3 — Certifications (parallel with Phase 2)</w:t>
      </w:r>
    </w:p>
    <w:p>
      <w:pPr>
        <w:pStyle w:val="ListParagraph"/>
        <w:numPr>
          <w:ilvl w:val="0"/>
          <w:numId w:val="1"/>
        </w:numPr>
        <w:spacing w:after="60"/>
      </w:pPr>
      <w:r>
        <w:t xml:space="preserve">Budget $30–75K for NFRC + AAMA testing on 2–3 core Polish SKUs (casement, fixed picture, sliding patio).</w:t>
      </w:r>
    </w:p>
    <w:p>
      <w:pPr>
        <w:pStyle w:val="ListParagraph"/>
        <w:numPr>
          <w:ilvl w:val="0"/>
          <w:numId w:val="1"/>
        </w:numPr>
        <w:spacing w:after="60"/>
      </w:pPr>
      <w:r>
        <w:t xml:space="preserve">Pursue Energy Star to unlock federal tax credits for buyers.</w:t>
      </w:r>
    </w:p>
    <w:p>
      <w:pPr>
        <w:pStyle w:val="ListParagraph"/>
        <w:numPr>
          <w:ilvl w:val="0"/>
          <w:numId w:val="1"/>
        </w:numPr>
        <w:spacing w:after="60"/>
      </w:pPr>
      <w:r>
        <w:t xml:space="preserve">Begin Line 3 (Dubai) exploration: identify a fabricator willing to build to U.S. spec and certify.</w:t>
      </w:r>
    </w:p>
    <w:p>
      <w:pPr>
        <w:pStyle w:val="Heading2"/>
        <w:spacing w:after="80" w:before="180"/>
      </w:pPr>
      <w:r>
        <w:rPr>
          <w:b/>
          <w:bCs/>
          <w:color w:val="2E74B5"/>
        </w:rPr>
        <w:t xml:space="preserve">Phase 4 — Legal / Customs</w:t>
      </w:r>
    </w:p>
    <w:p>
      <w:pPr>
        <w:pStyle w:val="ListParagraph"/>
        <w:numPr>
          <w:ilvl w:val="0"/>
          <w:numId w:val="1"/>
        </w:numPr>
        <w:spacing w:after="60"/>
      </w:pPr>
      <w:r>
        <w:t xml:space="preserve">Obtain a binding CBP ruling confirming HTS 4418.10 for the Polish alu-clad wood SKUs.</w:t>
      </w:r>
    </w:p>
    <w:p>
      <w:pPr>
        <w:pStyle w:val="ListParagraph"/>
        <w:numPr>
          <w:ilvl w:val="0"/>
          <w:numId w:val="1"/>
        </w:numPr>
        <w:spacing w:after="60"/>
      </w:pPr>
      <w:r>
        <w:t xml:space="preserve">Lock in the ~15% tariff rate with a customs attorney ($5–10K).</w:t>
      </w:r>
    </w:p>
    <w:p>
      <w:pPr>
        <w:pStyle w:val="Heading1"/>
        <w:spacing w:after="120" w:before="260"/>
      </w:pPr>
      <w:r>
        <w:rPr>
          <w:b/>
          <w:bCs/>
          <w:color w:val="1F3864"/>
        </w:rPr>
        <w:t xml:space="preserve">10. Certifications &amp; Compliance</w:t>
      </w:r>
    </w:p>
    <w:p>
      <w:pPr>
        <w:pStyle w:val="ListParagraph"/>
        <w:numPr>
          <w:ilvl w:val="0"/>
          <w:numId w:val="1"/>
        </w:numPr>
        <w:spacing w:after="60"/>
      </w:pPr>
      <w:r>
        <w:rPr>
          <w:b/>
          <w:bCs/>
        </w:rPr>
        <w:t xml:space="preserve">AAMA / NFRC: </w:t>
      </w:r>
      <w:r>
        <w:t xml:space="preserve">Already held by Line 1 (Canada). The path to broad U.S. specifiability for Line 2/3.</w:t>
      </w:r>
    </w:p>
    <w:p>
      <w:pPr>
        <w:pStyle w:val="ListParagraph"/>
        <w:numPr>
          <w:ilvl w:val="0"/>
          <w:numId w:val="1"/>
        </w:numPr>
        <w:spacing w:after="60"/>
      </w:pPr>
      <w:r>
        <w:rPr>
          <w:b/>
          <w:bCs/>
        </w:rPr>
        <w:t xml:space="preserve">Energy Star: </w:t>
      </w:r>
      <w:r>
        <w:t xml:space="preserve">Unlocks federal tax credits for buyers — a selling point.</w:t>
      </w:r>
    </w:p>
    <w:p>
      <w:pPr>
        <w:pStyle w:val="ListParagraph"/>
        <w:numPr>
          <w:ilvl w:val="0"/>
          <w:numId w:val="1"/>
        </w:numPr>
        <w:spacing w:after="60"/>
      </w:pPr>
      <w:r>
        <w:rPr>
          <w:b/>
          <w:bCs/>
        </w:rPr>
        <w:t xml:space="preserve">Budget: </w:t>
      </w:r>
      <w:r>
        <w:t xml:space="preserve">$30–75K per line for testing 2–3 SKUs; sequence after volume justifies.</w:t>
      </w:r>
    </w:p>
    <w:p>
      <w:pPr>
        <w:pStyle w:val="Heading1"/>
        <w:spacing w:after="120" w:before="260"/>
      </w:pPr>
      <w:r>
        <w:rPr>
          <w:b/>
          <w:bCs/>
          <w:color w:val="1F3864"/>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1F3864" w:val="clear"/>
            <w:tcMar>
              <w:top w:type="dxa" w:w="60"/>
              <w:left w:type="dxa" w:w="90"/>
              <w:bottom w:type="dxa" w:w="60"/>
              <w:right w:type="dxa" w:w="90"/>
            </w:tcMar>
          </w:tcPr>
          <w:p>
            <w:r>
              <w:rPr>
                <w:b/>
                <w:bCs/>
                <w:color w:val="FFFFFF"/>
                <w:sz w:val="19"/>
                <w:szCs w:val="19"/>
              </w:rPr>
              <w:t xml:space="preserve">Risk</w:t>
            </w:r>
          </w:p>
        </w:tc>
        <w:tc>
          <w:tcPr>
            <w:tcW w:type="dxa" w:w="5560"/>
            <w:shd w:fill="1F3864" w:val="clear"/>
            <w:tcMar>
              <w:top w:type="dxa" w:w="60"/>
              <w:left w:type="dxa" w:w="90"/>
              <w:bottom w:type="dxa" w:w="60"/>
              <w:right w:type="dxa" w:w="90"/>
            </w:tcMar>
          </w:tcPr>
          <w:p>
            <w:r>
              <w:rPr>
                <w:b/>
                <w:bCs/>
                <w:color w:val="FFFFFF"/>
                <w:sz w:val="19"/>
                <w:szCs w:val="19"/>
              </w:rPr>
              <w:t xml:space="preserve">Mitigation</w:t>
            </w:r>
          </w:p>
        </w:tc>
      </w:tr>
      <w:tr>
        <w:tc>
          <w:tcPr>
            <w:tcW w:type="dxa" w:w="3800"/>
            <w:tcMar>
              <w:top w:type="dxa" w:w="60"/>
              <w:left w:type="dxa" w:w="90"/>
              <w:bottom w:type="dxa" w:w="60"/>
              <w:right w:type="dxa" w:w="90"/>
            </w:tcMar>
          </w:tcPr>
          <w:p>
            <w:r>
              <w:rPr>
                <w:b w:val="false"/>
                <w:bCs w:val="false"/>
                <w:sz w:val="19"/>
                <w:szCs w:val="19"/>
              </w:rPr>
              <w:t xml:space="preserve">Tariff changes reclassify or raise Line 2 rate</w:t>
            </w:r>
          </w:p>
        </w:tc>
        <w:tc>
          <w:tcPr>
            <w:tcW w:type="dxa" w:w="5560"/>
            <w:tcMar>
              <w:top w:type="dxa" w:w="60"/>
              <w:left w:type="dxa" w:w="90"/>
              <w:bottom w:type="dxa" w:w="60"/>
              <w:right w:type="dxa" w:w="90"/>
            </w:tcMar>
          </w:tcPr>
          <w:p>
            <w:r>
              <w:rPr>
                <w:b w:val="false"/>
                <w:bCs w:val="false"/>
                <w:sz w:val="19"/>
                <w:szCs w:val="19"/>
              </w:rPr>
              <w:t xml:space="preserve">Secure a binding CBP ruling; keep Line 1 (duty-free) as the anchor</w:t>
            </w:r>
          </w:p>
        </w:tc>
      </w:tr>
      <w:tr>
        <w:tc>
          <w:tcPr>
            <w:tcW w:type="dxa" w:w="3800"/>
            <w:shd w:fill="F2F6FC" w:val="clear"/>
            <w:tcMar>
              <w:top w:type="dxa" w:w="60"/>
              <w:left w:type="dxa" w:w="90"/>
              <w:bottom w:type="dxa" w:w="60"/>
              <w:right w:type="dxa" w:w="90"/>
            </w:tcMar>
          </w:tcPr>
          <w:p>
            <w:r>
              <w:rPr>
                <w:b w:val="false"/>
                <w:bCs w:val="false"/>
                <w:sz w:val="19"/>
                <w:szCs w:val="19"/>
              </w:rPr>
              <w:t xml:space="preserve">Certification cost/time for Line 2/3</w:t>
            </w:r>
          </w:p>
        </w:tc>
        <w:tc>
          <w:tcPr>
            <w:tcW w:type="dxa" w:w="5560"/>
            <w:shd w:fill="F2F6FC" w:val="clear"/>
            <w:tcMar>
              <w:top w:type="dxa" w:w="60"/>
              <w:left w:type="dxa" w:w="90"/>
              <w:bottom w:type="dxa" w:w="60"/>
              <w:right w:type="dxa" w:w="90"/>
            </w:tcMar>
          </w:tcPr>
          <w:p>
            <w:r>
              <w:rPr>
                <w:b w:val="false"/>
                <w:bCs w:val="false"/>
                <w:sz w:val="19"/>
                <w:szCs w:val="19"/>
              </w:rPr>
              <w:t xml:space="preserve">Start with already-certified Line 1; phase certification spend behind volume</w:t>
            </w:r>
          </w:p>
        </w:tc>
      </w:tr>
      <w:tr>
        <w:tc>
          <w:tcPr>
            <w:tcW w:type="dxa" w:w="3800"/>
            <w:tcMar>
              <w:top w:type="dxa" w:w="60"/>
              <w:left w:type="dxa" w:w="90"/>
              <w:bottom w:type="dxa" w:w="60"/>
              <w:right w:type="dxa" w:w="90"/>
            </w:tcMar>
          </w:tcPr>
          <w:p>
            <w:r>
              <w:rPr>
                <w:b w:val="false"/>
                <w:bCs w:val="false"/>
                <w:sz w:val="19"/>
                <w:szCs w:val="19"/>
              </w:rPr>
              <w:t xml:space="preserve">Currency / freight cost volatility</w:t>
            </w:r>
          </w:p>
        </w:tc>
        <w:tc>
          <w:tcPr>
            <w:tcW w:type="dxa" w:w="5560"/>
            <w:tcMar>
              <w:top w:type="dxa" w:w="60"/>
              <w:left w:type="dxa" w:w="90"/>
              <w:bottom w:type="dxa" w:w="60"/>
              <w:right w:type="dxa" w:w="90"/>
            </w:tcMar>
          </w:tcPr>
          <w:p>
            <w:r>
              <w:rPr>
                <w:b w:val="false"/>
                <w:bCs w:val="false"/>
                <w:sz w:val="19"/>
                <w:szCs w:val="19"/>
              </w:rPr>
              <w:t xml:space="preserve">Consolidate shipments; price with landed-cost buffers; consider forward contracts</w:t>
            </w:r>
          </w:p>
        </w:tc>
      </w:tr>
      <w:tr>
        <w:tc>
          <w:tcPr>
            <w:tcW w:type="dxa" w:w="3800"/>
            <w:shd w:fill="F2F6FC" w:val="clear"/>
            <w:tcMar>
              <w:top w:type="dxa" w:w="60"/>
              <w:left w:type="dxa" w:w="90"/>
              <w:bottom w:type="dxa" w:w="60"/>
              <w:right w:type="dxa" w:w="90"/>
            </w:tcMar>
          </w:tcPr>
          <w:p>
            <w:r>
              <w:rPr>
                <w:b w:val="false"/>
                <w:bCs w:val="false"/>
                <w:sz w:val="19"/>
                <w:szCs w:val="19"/>
              </w:rPr>
              <w:t xml:space="preserve">Supplier concentration</w:t>
            </w:r>
          </w:p>
        </w:tc>
        <w:tc>
          <w:tcPr>
            <w:tcW w:type="dxa" w:w="5560"/>
            <w:shd w:fill="F2F6FC" w:val="clear"/>
            <w:tcMar>
              <w:top w:type="dxa" w:w="60"/>
              <w:left w:type="dxa" w:w="90"/>
              <w:bottom w:type="dxa" w:w="60"/>
              <w:right w:type="dxa" w:w="90"/>
            </w:tcMar>
          </w:tcPr>
          <w:p>
            <w:r>
              <w:rPr>
                <w:b w:val="false"/>
                <w:bCs w:val="false"/>
                <w:sz w:val="19"/>
                <w:szCs w:val="19"/>
              </w:rPr>
              <w:t xml:space="preserve">Qualify multiple suppliers per line (e.g., Accurate Dorwin + SILEX)</w:t>
            </w:r>
          </w:p>
        </w:tc>
      </w:tr>
      <w:tr>
        <w:tc>
          <w:tcPr>
            <w:tcW w:type="dxa" w:w="3800"/>
            <w:tcMar>
              <w:top w:type="dxa" w:w="60"/>
              <w:left w:type="dxa" w:w="90"/>
              <w:bottom w:type="dxa" w:w="60"/>
              <w:right w:type="dxa" w:w="90"/>
            </w:tcMar>
          </w:tcPr>
          <w:p>
            <w:r>
              <w:rPr>
                <w:b w:val="false"/>
                <w:bCs w:val="false"/>
                <w:sz w:val="19"/>
                <w:szCs w:val="19"/>
              </w:rPr>
              <w:t xml:space="preserve">Dubai (Line 3) tariff + cert wall</w:t>
            </w:r>
          </w:p>
        </w:tc>
        <w:tc>
          <w:tcPr>
            <w:tcW w:type="dxa" w:w="5560"/>
            <w:tcMar>
              <w:top w:type="dxa" w:w="60"/>
              <w:left w:type="dxa" w:w="90"/>
              <w:bottom w:type="dxa" w:w="60"/>
              <w:right w:type="dxa" w:w="90"/>
            </w:tcMar>
          </w:tcPr>
          <w:p>
            <w:r>
              <w:rPr>
                <w:b w:val="false"/>
                <w:bCs w:val="false"/>
                <w:sz w:val="19"/>
                <w:szCs w:val="19"/>
              </w:rPr>
              <w:t xml:space="preserve">Treat as luxury-only, Phase 3+, contingent on fabricator U.S.-spec commitment</w:t>
            </w:r>
          </w:p>
        </w:tc>
      </w:tr>
      <w:tr>
        <w:tc>
          <w:tcPr>
            <w:tcW w:type="dxa" w:w="3800"/>
            <w:shd w:fill="F2F6FC" w:val="clear"/>
            <w:tcMar>
              <w:top w:type="dxa" w:w="60"/>
              <w:left w:type="dxa" w:w="90"/>
              <w:bottom w:type="dxa" w:w="60"/>
              <w:right w:type="dxa" w:w="90"/>
            </w:tcMar>
          </w:tcPr>
          <w:p>
            <w:r>
              <w:rPr>
                <w:b w:val="false"/>
                <w:bCs w:val="false"/>
                <w:sz w:val="19"/>
                <w:szCs w:val="19"/>
              </w:rPr>
              <w:t xml:space="preserve">Territory conflict with existing distributors</w:t>
            </w:r>
          </w:p>
        </w:tc>
        <w:tc>
          <w:tcPr>
            <w:tcW w:type="dxa" w:w="5560"/>
            <w:shd w:fill="F2F6FC" w:val="clear"/>
            <w:tcMar>
              <w:top w:type="dxa" w:w="60"/>
              <w:left w:type="dxa" w:w="90"/>
              <w:bottom w:type="dxa" w:w="60"/>
              <w:right w:type="dxa" w:w="90"/>
            </w:tcMar>
          </w:tcPr>
          <w:p>
            <w:r>
              <w:rPr>
                <w:b w:val="false"/>
                <w:bCs w:val="false"/>
                <w:sz w:val="19"/>
                <w:szCs w:val="19"/>
              </w:rPr>
              <w:t xml:space="preserve">Verify open territory before signing (e.g., Oknoplast’s CO distributor)</w:t>
            </w:r>
          </w:p>
        </w:tc>
      </w:tr>
    </w:tbl>
    <w:p>
      <w:pPr>
        <w:pStyle w:val="Heading1"/>
        <w:spacing w:after="120" w:before="260"/>
      </w:pPr>
      <w:r>
        <w:rPr>
          <w:b/>
          <w:bCs/>
          <w:color w:val="1F3864"/>
        </w:rPr>
        <w:t xml:space="preserve">12. Immediate Next Steps</w:t>
      </w:r>
    </w:p>
    <w:p>
      <w:pPr>
        <w:pStyle w:val="ListParagraph"/>
        <w:numPr>
          <w:ilvl w:val="0"/>
          <w:numId w:val="1"/>
        </w:numPr>
        <w:spacing w:after="60"/>
      </w:pPr>
      <w:r>
        <w:t xml:space="preserve">Contact Accurate Dorwin and SILEX re: U.S. distribution.</w:t>
      </w:r>
    </w:p>
    <w:p>
      <w:pPr>
        <w:pStyle w:val="ListParagraph"/>
        <w:numPr>
          <w:ilvl w:val="0"/>
          <w:numId w:val="1"/>
        </w:numPr>
        <w:spacing w:after="60"/>
      </w:pPr>
      <w:r>
        <w:t xml:space="preserve">Register on Debesto.com as a U.S. B2B buyer.</w:t>
      </w:r>
    </w:p>
    <w:p>
      <w:pPr>
        <w:pStyle w:val="ListParagraph"/>
        <w:numPr>
          <w:ilvl w:val="0"/>
          <w:numId w:val="1"/>
        </w:numPr>
        <w:spacing w:after="60"/>
      </w:pPr>
      <w:r>
        <w:t xml:space="preserve">Contact Sokółka US re: Colorado regional distribution.</w:t>
      </w:r>
    </w:p>
    <w:p>
      <w:pPr>
        <w:pStyle w:val="ListParagraph"/>
        <w:numPr>
          <w:ilvl w:val="0"/>
          <w:numId w:val="1"/>
        </w:numPr>
        <w:spacing w:after="60"/>
      </w:pPr>
      <w:r>
        <w:t xml:space="preserve">Engage a customs attorney for the HTS 4418 binding ruling.</w:t>
      </w:r>
    </w:p>
    <w:p>
      <w:pPr>
        <w:pStyle w:val="ListParagraph"/>
        <w:numPr>
          <w:ilvl w:val="0"/>
          <w:numId w:val="1"/>
        </w:numPr>
        <w:spacing w:after="60"/>
      </w:pPr>
      <w:r>
        <w:t xml:space="preserve">Form the LLC and stand up import infrastructure.</w:t>
      </w:r>
    </w:p>
    <w:p>
      <w:pPr>
        <w:pStyle w:val="ListParagraph"/>
        <w:numPr>
          <w:ilvl w:val="0"/>
          <w:numId w:val="1"/>
        </w:numPr>
        <w:spacing w:after="60"/>
      </w:pPr>
      <w:r>
        <w:t xml:space="preserve">Build the COGS / landed-cost / margin financial model (extends this plan).</w:t>
      </w:r>
    </w:p>
    <w:p>
      <w:pPr>
        <w:spacing w:after="120"/>
      </w:pPr>
      <w:r>
        <w:rPr>
          <w:i/>
          <w:iCs/>
          <w:color w:val="777777"/>
          <w:sz w:val="18"/>
          <w:szCs w:val="18"/>
        </w:rPr>
        <w:t xml:space="preserve">Companion file: Windows_Import_Supplier_Tracker.xlsx (supplier outreach tracker, action items, and tariff cheat sheet).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Windows Import &amp; Distribution — Business Plan</dc:title>
  <dc:creator>Orion</dc:creator>
  <cp:lastModifiedBy>Un-named</cp:lastModifiedBy>
  <cp:revision>1</cp:revision>
  <dcterms:created xsi:type="dcterms:W3CDTF">2026-07-11T21:33:10.648Z</dcterms:created>
  <dcterms:modified xsi:type="dcterms:W3CDTF">2026-07-11T21:33:10.648Z</dcterms:modified>
</cp:coreProperties>
</file>

<file path=docProps/custom.xml><?xml version="1.0" encoding="utf-8"?>
<Properties xmlns="http://schemas.openxmlformats.org/officeDocument/2006/custom-properties" xmlns:vt="http://schemas.openxmlformats.org/officeDocument/2006/docPropsVTypes"/>
</file>