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B2E4F"/>
          <w:sz w:val="56"/>
        </w:rPr>
        <w:t>BTS</w:t>
      </w:r>
      <w:r>
        <w:rPr>
          <w:color w:val="008E9B"/>
          <w:sz w:val="56"/>
        </w:rPr>
        <w:t xml:space="preserve"> │ </w:t>
      </w:r>
      <w:r>
        <w:rPr>
          <w:b/>
          <w:color w:val="008E9B"/>
          <w:sz w:val="56"/>
        </w:rPr>
        <w:t>SYNTHETIC</w:t>
      </w:r>
    </w:p>
    <w:p>
      <w:pPr>
        <w:spacing w:after="40"/>
      </w:pPr>
      <w:r>
        <w:rPr>
          <w:i/>
          <w:color w:val="4A5568"/>
          <w:sz w:val="22"/>
        </w:rPr>
        <w:t>Enterprise Data Platform</w:t>
      </w:r>
    </w:p>
    <w:p>
      <w:pPr>
        <w:pBdr>
          <w:bottom w:val="single" w:sz="6" w:color="008E9B"/>
        </w:pBdr>
      </w:pPr>
    </w:p>
    <w:p>
      <w:pPr>
        <w:spacing w:before="200" w:after="40"/>
      </w:pPr>
      <w:r>
        <w:rPr>
          <w:b/>
          <w:color w:val="0B2E4F"/>
          <w:sz w:val="44"/>
        </w:rPr>
        <w:t>Proposal Response</w:t>
      </w:r>
    </w:p>
    <w:p>
      <w:pPr>
        <w:spacing w:after="240"/>
      </w:pPr>
      <w:r>
        <w:rPr>
          <w:i/>
          <w:color w:val="4A5568"/>
          <w:sz w:val="28"/>
        </w:rPr>
        <w:t>Acme Corp — Enterprise Data Platform RFP</w:t>
      </w:r>
    </w:p>
    <w:tbl>
      <w:tblPr>
        <w:tblW w:type="auto" w:w="0"/>
        <w:tblLayout w:type="fixed"/>
        <w:tblLook w:firstColumn="1" w:firstRow="1" w:lastColumn="0" w:lastRow="0" w:noHBand="0" w:noVBand="1" w:val="04A0"/>
      </w:tblPr>
      <w:tblGrid>
        <w:gridCol w:w="2551"/>
        <w:gridCol w:w="7087"/>
      </w:tblGrid>
      <w:tr>
        <w:tc>
          <w:tcPr>
            <w:tcW w:type="dxa" w:w="2551"/>
            <w:shd w:val="clear" w:color="auto" w:fill="F2F5F7"/>
            <w:tcBorders>
              <w:top w:val="single" w:sz="4" w:color="BFC6CE"/>
              <w:left w:val="single" w:sz="4" w:color="BFC6CE"/>
              <w:bottom w:val="single" w:sz="4" w:color="BFC6CE"/>
              <w:right w:val="single" w:sz="4" w:color="BFC6CE"/>
            </w:tcBorders>
          </w:tcPr>
          <w:p>
            <w:r/>
            <w:r>
              <w:rPr>
                <w:b/>
                <w:color w:val="0B2E4F"/>
                <w:sz w:val="20"/>
              </w:rPr>
              <w:t>Prepared for</w:t>
            </w:r>
          </w:p>
        </w:tc>
        <w:tc>
          <w:tcPr>
            <w:tcW w:type="dxa" w:w="7087"/>
            <w:tcBorders>
              <w:top w:val="single" w:sz="4" w:color="BFC6CE"/>
              <w:left w:val="single" w:sz="4" w:color="BFC6CE"/>
              <w:bottom w:val="single" w:sz="4" w:color="BFC6CE"/>
              <w:right w:val="single" w:sz="4" w:color="BFC6CE"/>
            </w:tcBorders>
          </w:tcPr>
          <w:p>
            <w:r/>
            <w:r>
              <w:rPr>
                <w:color w:val="1A1A1A"/>
                <w:sz w:val="20"/>
              </w:rPr>
              <w:t>Acme Corp Procurement — Sarah Chen (VP Procurement), Marcus Webb (CDO)</w:t>
            </w:r>
          </w:p>
        </w:tc>
      </w:tr>
      <w:tr>
        <w:tc>
          <w:tcPr>
            <w:tcW w:type="dxa" w:w="2551"/>
            <w:shd w:val="clear" w:color="auto" w:fill="F2F5F7"/>
            <w:tcBorders>
              <w:top w:val="single" w:sz="4" w:color="BFC6CE"/>
              <w:left w:val="single" w:sz="4" w:color="BFC6CE"/>
              <w:bottom w:val="single" w:sz="4" w:color="BFC6CE"/>
              <w:right w:val="single" w:sz="4" w:color="BFC6CE"/>
            </w:tcBorders>
          </w:tcPr>
          <w:p>
            <w:r/>
            <w:r>
              <w:rPr>
                <w:b/>
                <w:color w:val="0B2E4F"/>
                <w:sz w:val="20"/>
              </w:rPr>
              <w:t>Prepared by</w:t>
            </w:r>
          </w:p>
        </w:tc>
        <w:tc>
          <w:tcPr>
            <w:tcW w:type="dxa" w:w="7087"/>
            <w:tcBorders>
              <w:top w:val="single" w:sz="4" w:color="BFC6CE"/>
              <w:left w:val="single" w:sz="4" w:color="BFC6CE"/>
              <w:bottom w:val="single" w:sz="4" w:color="BFC6CE"/>
              <w:right w:val="single" w:sz="4" w:color="BFC6CE"/>
            </w:tcBorders>
          </w:tcPr>
          <w:p>
            <w:r/>
            <w:r>
              <w:rPr>
                <w:color w:val="1A1A1A"/>
                <w:sz w:val="20"/>
              </w:rPr>
              <w:t>BTS-Synthetic — Deal Desk</w:t>
            </w:r>
          </w:p>
        </w:tc>
      </w:tr>
      <w:tr>
        <w:tc>
          <w:tcPr>
            <w:tcW w:type="dxa" w:w="2551"/>
            <w:shd w:val="clear" w:color="auto" w:fill="F2F5F7"/>
            <w:tcBorders>
              <w:top w:val="single" w:sz="4" w:color="BFC6CE"/>
              <w:left w:val="single" w:sz="4" w:color="BFC6CE"/>
              <w:bottom w:val="single" w:sz="4" w:color="BFC6CE"/>
              <w:right w:val="single" w:sz="4" w:color="BFC6CE"/>
            </w:tcBorders>
          </w:tcPr>
          <w:p>
            <w:r/>
            <w:r>
              <w:rPr>
                <w:b/>
                <w:color w:val="0B2E4F"/>
                <w:sz w:val="20"/>
              </w:rPr>
              <w:t>RFP issued</w:t>
            </w:r>
          </w:p>
        </w:tc>
        <w:tc>
          <w:tcPr>
            <w:tcW w:type="dxa" w:w="7087"/>
            <w:tcBorders>
              <w:top w:val="single" w:sz="4" w:color="BFC6CE"/>
              <w:left w:val="single" w:sz="4" w:color="BFC6CE"/>
              <w:bottom w:val="single" w:sz="4" w:color="BFC6CE"/>
              <w:right w:val="single" w:sz="4" w:color="BFC6CE"/>
            </w:tcBorders>
          </w:tcPr>
          <w:p>
            <w:r/>
            <w:r>
              <w:rPr>
                <w:color w:val="1A1A1A"/>
                <w:sz w:val="20"/>
              </w:rPr>
              <w:t>12 May 2026</w:t>
            </w:r>
          </w:p>
        </w:tc>
      </w:tr>
      <w:tr>
        <w:tc>
          <w:tcPr>
            <w:tcW w:type="dxa" w:w="2551"/>
            <w:shd w:val="clear" w:color="auto" w:fill="F2F5F7"/>
            <w:tcBorders>
              <w:top w:val="single" w:sz="4" w:color="BFC6CE"/>
              <w:left w:val="single" w:sz="4" w:color="BFC6CE"/>
              <w:bottom w:val="single" w:sz="4" w:color="BFC6CE"/>
              <w:right w:val="single" w:sz="4" w:color="BFC6CE"/>
            </w:tcBorders>
          </w:tcPr>
          <w:p>
            <w:r/>
            <w:r>
              <w:rPr>
                <w:b/>
                <w:color w:val="0B2E4F"/>
                <w:sz w:val="20"/>
              </w:rPr>
              <w:t>Response submitted</w:t>
            </w:r>
          </w:p>
        </w:tc>
        <w:tc>
          <w:tcPr>
            <w:tcW w:type="dxa" w:w="7087"/>
            <w:tcBorders>
              <w:top w:val="single" w:sz="4" w:color="BFC6CE"/>
              <w:left w:val="single" w:sz="4" w:color="BFC6CE"/>
              <w:bottom w:val="single" w:sz="4" w:color="BFC6CE"/>
              <w:right w:val="single" w:sz="4" w:color="BFC6CE"/>
            </w:tcBorders>
          </w:tcPr>
          <w:p>
            <w:r/>
            <w:r>
              <w:rPr>
                <w:color w:val="1A1A1A"/>
                <w:sz w:val="20"/>
              </w:rPr>
              <w:t>26 May 2026</w:t>
            </w:r>
          </w:p>
        </w:tc>
      </w:tr>
    </w:tbl>
    <w:p/>
    <w:p>
      <w:pPr>
        <w:spacing w:before="240" w:after="120"/>
      </w:pPr>
      <w:r>
        <w:rPr>
          <w:rFonts w:ascii="Calibri" w:hAnsi="Calibri"/>
          <w:b/>
          <w:color w:val="0B2E4F"/>
          <w:sz w:val="40"/>
        </w:rPr>
        <w:t>1. Executive Summary</w:t>
      </w:r>
    </w:p>
    <w:p>
      <w:pPr>
        <w:spacing w:after="160"/>
      </w:pPr>
      <w:r>
        <w:rPr>
          <w:b w:val="0"/>
          <w:i w:val="0"/>
          <w:color w:val="1A1A1A"/>
          <w:sz w:val="21"/>
        </w:rPr>
        <w:t>Acme Corp is replacing a patchwork of legacy Teradata warehouses and ad-hoc cloud analytics with a single enterprise data platform that must serve 600 Power BI users, ingest from 40,000 IoT devices at peak 80K events/sec, and honour EU data residency across an 18-country footprint. BTS-Synthetic is purpose-built for this profile.</w:t>
      </w:r>
    </w:p>
    <w:p>
      <w:pPr>
        <w:pStyle w:val="ListBullet"/>
        <w:spacing w:after="40"/>
      </w:pPr>
      <w:r>
        <w:rPr>
          <w:b/>
          <w:sz w:val="21"/>
        </w:rPr>
        <w:t>Fit:</w:t>
      </w:r>
      <w:r>
        <w:rPr>
          <w:sz w:val="21"/>
        </w:rPr>
        <w:t xml:space="preserve"> We are a near-perfect technical fit: 13 of 15 in-scope capabilities are full matches, led by our certified Power BI DirectQuery adapter — our most mature BI integration and a direct answer to Acme's #1 non-negotiable.</w:t>
      </w:r>
    </w:p>
    <w:p>
      <w:pPr>
        <w:pStyle w:val="ListBullet"/>
        <w:spacing w:after="40"/>
      </w:pPr>
      <w:r>
        <w:rPr>
          <w:b/>
          <w:sz w:val="21"/>
        </w:rPr>
        <w:t>Commercial:</w:t>
      </w:r>
      <w:r>
        <w:rPr>
          <w:sz w:val="21"/>
        </w:rPr>
        <w:t xml:space="preserve"> We propose a five-year programme at $1.0125M net ARR (Years 1–3 fixed) with a modest CPI escalator on the renewal years — total 5-year TCV $4.63M. This reflects a 25% discount off list, our most aggressive offer to any industrial customer to date.</w:t>
      </w:r>
    </w:p>
    <w:p>
      <w:pPr>
        <w:pStyle w:val="ListBullet"/>
        <w:spacing w:after="40"/>
      </w:pPr>
      <w:r>
        <w:rPr>
          <w:b/>
          <w:sz w:val="21"/>
        </w:rPr>
        <w:t>Contract:</w:t>
      </w:r>
      <w:r>
        <w:rPr>
          <w:sz w:val="21"/>
        </w:rPr>
        <w:t xml:space="preserve"> We accept the majority of Acme's contractual framework and have provided a precedent-backed counter-position on three clauses that, as drafted, create unbounded exposure (uncapped breach liability, zero-tolerance SLA exit, per-engagement subprocessor consent). These are solvable and we have analogous language live with Stark Industries today.</w:t>
      </w:r>
    </w:p>
    <w:p>
      <w:pPr>
        <w:spacing w:before="240" w:after="120"/>
      </w:pPr>
      <w:r>
        <w:rPr>
          <w:rFonts w:ascii="Calibri" w:hAnsi="Calibri"/>
          <w:b/>
          <w:color w:val="0B2E4F"/>
          <w:sz w:val="40"/>
        </w:rPr>
        <w:t>2. Our Understanding of Acme's Need</w:t>
      </w:r>
    </w:p>
    <w:p>
      <w:pPr>
        <w:spacing w:after="80"/>
      </w:pPr>
      <w:r>
        <w:rPr>
          <w:b w:val="0"/>
          <w:i w:val="0"/>
          <w:color w:val="1A1A1A"/>
          <w:sz w:val="21"/>
        </w:rPr>
        <w:t>Acme operates at the intersection of three pressures: a multi-year decommission of legacy Teradata warehouses (through 2027), exponential growth in IoT telemetry from connected sensors and devices in the field, and a Microsoft-aligned analyst community of 600+ Power BI users who cannot tolerate a regression in their daily reporting experience. Layered on top is a regulated EU footprint that requires per-jurisdiction data residency, and an emerging predictive-maintenance ML programme that the platform must support without re-architecture.</w:t>
      </w:r>
    </w:p>
    <w:p>
      <w:pPr>
        <w:spacing w:after="80"/>
      </w:pPr>
      <w:r>
        <w:rPr>
          <w:b w:val="0"/>
          <w:i w:val="0"/>
          <w:color w:val="1A1A1A"/>
          <w:sz w:val="21"/>
        </w:rPr>
        <w:t>The strategic priorities we hear in the RFP are:</w:t>
      </w:r>
    </w:p>
    <w:p>
      <w:pPr>
        <w:pStyle w:val="ListBullet"/>
        <w:spacing w:after="40"/>
      </w:pPr>
      <w:r>
        <w:rPr>
          <w:b/>
          <w:sz w:val="21"/>
        </w:rPr>
        <w:t>Consolidation —</w:t>
      </w:r>
      <w:r>
        <w:rPr>
          <w:sz w:val="21"/>
        </w:rPr>
        <w:t xml:space="preserve"> Consolidate fragmented data estate onto one open, governable lakehouse.</w:t>
      </w:r>
    </w:p>
    <w:p>
      <w:pPr>
        <w:pStyle w:val="ListBullet"/>
        <w:spacing w:after="40"/>
      </w:pPr>
      <w:r>
        <w:rPr>
          <w:b/>
          <w:sz w:val="21"/>
        </w:rPr>
        <w:t>Continuity —</w:t>
      </w:r>
      <w:r>
        <w:rPr>
          <w:sz w:val="21"/>
        </w:rPr>
        <w:t xml:space="preserve"> Native, low-friction Power BI experience for 600 analysts with no migration tax.</w:t>
      </w:r>
    </w:p>
    <w:p>
      <w:pPr>
        <w:pStyle w:val="ListBullet"/>
        <w:spacing w:after="40"/>
      </w:pPr>
      <w:r>
        <w:rPr>
          <w:b/>
          <w:sz w:val="21"/>
        </w:rPr>
        <w:t>Scale —</w:t>
      </w:r>
      <w:r>
        <w:rPr>
          <w:sz w:val="21"/>
        </w:rPr>
        <w:t xml:space="preserve"> Real-time IoT ingest at scale today, with headroom for further growth.</w:t>
      </w:r>
    </w:p>
    <w:p>
      <w:pPr>
        <w:pStyle w:val="ListBullet"/>
        <w:spacing w:after="40"/>
      </w:pPr>
      <w:r>
        <w:rPr>
          <w:b/>
          <w:sz w:val="21"/>
        </w:rPr>
        <w:t>Optionality —</w:t>
      </w:r>
      <w:r>
        <w:rPr>
          <w:sz w:val="21"/>
        </w:rPr>
        <w:t xml:space="preserve"> Open file formats (Parquet, Delta, Iceberg) to preserve future portability.</w:t>
      </w:r>
    </w:p>
    <w:p>
      <w:pPr>
        <w:pStyle w:val="ListBullet"/>
        <w:spacing w:after="40"/>
      </w:pPr>
      <w:r>
        <w:rPr>
          <w:b/>
          <w:sz w:val="21"/>
        </w:rPr>
        <w:t>Sovereignty —</w:t>
      </w:r>
      <w:r>
        <w:rPr>
          <w:sz w:val="21"/>
        </w:rPr>
        <w:t xml:space="preserve"> EU residency, GDPR alignment, and auditability that survives regulatory scrutiny.</w:t>
      </w:r>
    </w:p>
    <w:p>
      <w:pPr>
        <w:pStyle w:val="ListBullet"/>
        <w:spacing w:after="40"/>
      </w:pPr>
      <w:r>
        <w:rPr>
          <w:b/>
          <w:sz w:val="21"/>
        </w:rPr>
        <w:t>Certainty —</w:t>
      </w:r>
      <w:r>
        <w:rPr>
          <w:sz w:val="21"/>
        </w:rPr>
        <w:t xml:space="preserve"> A predictable five-year cost envelope and a credible Teradata exit on time.</w:t>
      </w:r>
    </w:p>
    <w:p>
      <w:pPr>
        <w:spacing w:before="240" w:after="120"/>
      </w:pPr>
      <w:r>
        <w:rPr>
          <w:rFonts w:ascii="Calibri" w:hAnsi="Calibri"/>
          <w:b/>
          <w:color w:val="0B2E4F"/>
          <w:sz w:val="40"/>
        </w:rPr>
        <w:t>3. Why BTS-Synthetic is the Right Fit</w:t>
      </w:r>
    </w:p>
    <w:p>
      <w:pPr>
        <w:spacing w:before="240" w:after="120"/>
      </w:pPr>
      <w:r>
        <w:rPr>
          <w:rFonts w:ascii="Calibri" w:hAnsi="Calibri"/>
          <w:b/>
          <w:color w:val="0B2E4F"/>
          <w:sz w:val="28"/>
        </w:rPr>
        <w:t>3.1 Capability fit at a glance</w:t>
      </w:r>
    </w:p>
    <w:p>
      <w:pPr>
        <w:spacing w:after="120"/>
      </w:pPr>
      <w:r>
        <w:rPr>
          <w:b w:val="0"/>
          <w:i w:val="0"/>
          <w:color w:val="1A1A1A"/>
          <w:sz w:val="21"/>
        </w:rPr>
        <w:t>Of the fifteen in-scope capabilities in the RFP, we deliver thirteen as full fits, one as a partial fit with a clear mitigation, and none as material blockers. The table below summarises the matrix; the full Capability Matrix attachment accompanies this response.</w:t>
      </w:r>
    </w:p>
    <w:tbl>
      <w:tblPr>
        <w:tblW w:type="auto" w:w="0"/>
        <w:jc w:val="center"/>
        <w:tblLayout w:type="fixed"/>
        <w:tblLook w:firstColumn="1" w:firstRow="1" w:lastColumn="0" w:lastRow="0" w:noHBand="0" w:noVBand="1" w:val="04A0"/>
      </w:tblPr>
      <w:tblGrid>
        <w:gridCol w:w="3324"/>
        <w:gridCol w:w="3324"/>
        <w:gridCol w:w="3324"/>
      </w:tblGrid>
      <w:tr>
        <w:tc>
          <w:tcPr>
            <w:tcW w:type="dxa" w:w="3288"/>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Requirement</w:t>
            </w:r>
          </w:p>
        </w:tc>
        <w:tc>
          <w:tcPr>
            <w:tcW w:type="dxa" w:w="113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Fit</w:t>
            </w:r>
          </w:p>
        </w:tc>
        <w:tc>
          <w:tcPr>
            <w:tcW w:type="dxa" w:w="5216"/>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Evidence</w:t>
            </w:r>
          </w:p>
        </w:tc>
      </w:tr>
      <w:tr>
        <w:tc>
          <w:tcPr>
            <w:tcW w:type="dxa" w:w="3288"/>
            <w:tcBorders>
              <w:top w:val="single" w:sz="4" w:color="BFC6CE"/>
              <w:left w:val="single" w:sz="4" w:color="BFC6CE"/>
              <w:bottom w:val="single" w:sz="4" w:color="BFC6CE"/>
              <w:right w:val="single" w:sz="4" w:color="BFC6CE"/>
            </w:tcBorders>
            <w:vAlign w:val="top"/>
          </w:tcPr>
          <w:p>
            <w:r/>
            <w:r>
              <w:rPr>
                <w:sz w:val="19"/>
              </w:rPr>
              <w:t>Native Power BI integration (600 users)</w:t>
            </w:r>
          </w:p>
        </w:tc>
        <w:tc>
          <w:tcPr>
            <w:tcW w:type="dxa" w:w="1134"/>
            <w:tcBorders>
              <w:top w:val="single" w:sz="4" w:color="BFC6CE"/>
              <w:left w:val="single" w:sz="4" w:color="BFC6CE"/>
              <w:bottom w:val="single" w:sz="4" w:color="BFC6CE"/>
              <w:right w:val="single" w:sz="4" w:color="BFC6CE"/>
            </w:tcBorders>
            <w:vAlign w:val="top"/>
          </w:tcPr>
          <w:p>
            <w:r/>
            <w:r>
              <w:rPr>
                <w:sz w:val="19"/>
              </w:rPr>
              <w:t>FULL</w:t>
            </w:r>
          </w:p>
        </w:tc>
        <w:tc>
          <w:tcPr>
            <w:tcW w:type="dxa" w:w="5216"/>
            <w:tcBorders>
              <w:top w:val="single" w:sz="4" w:color="BFC6CE"/>
              <w:left w:val="single" w:sz="4" w:color="BFC6CE"/>
              <w:bottom w:val="single" w:sz="4" w:color="BFC6CE"/>
              <w:right w:val="single" w:sz="4" w:color="BFC6CE"/>
            </w:tcBorders>
            <w:vAlign w:val="top"/>
          </w:tcPr>
          <w:p>
            <w:r/>
            <w:r>
              <w:rPr>
                <w:sz w:val="19"/>
              </w:rPr>
              <w:t>Certified DirectQuery adapter — our most mature BI connector; 600-user scale well within tested range.</w:t>
            </w:r>
          </w:p>
        </w:tc>
      </w:tr>
      <w:tr>
        <w:tc>
          <w:tcPr>
            <w:tcW w:type="dxa" w:w="3288"/>
            <w:tcBorders>
              <w:top w:val="single" w:sz="4" w:color="BFC6CE"/>
              <w:left w:val="single" w:sz="4" w:color="BFC6CE"/>
              <w:bottom w:val="single" w:sz="4" w:color="BFC6CE"/>
              <w:right w:val="single" w:sz="4" w:color="BFC6CE"/>
            </w:tcBorders>
            <w:vAlign w:val="top"/>
            <w:shd w:val="clear" w:color="auto" w:fill="F2F5F7"/>
          </w:tcPr>
          <w:p>
            <w:r/>
            <w:r>
              <w:rPr>
                <w:sz w:val="19"/>
              </w:rPr>
              <w:t>Real-time ingest (40K devices / 80K eps)</w:t>
            </w:r>
          </w:p>
        </w:tc>
        <w:tc>
          <w:tcPr>
            <w:tcW w:type="dxa" w:w="1134"/>
            <w:tcBorders>
              <w:top w:val="single" w:sz="4" w:color="BFC6CE"/>
              <w:left w:val="single" w:sz="4" w:color="BFC6CE"/>
              <w:bottom w:val="single" w:sz="4" w:color="BFC6CE"/>
              <w:right w:val="single" w:sz="4" w:color="BFC6CE"/>
            </w:tcBorders>
            <w:vAlign w:val="top"/>
            <w:shd w:val="clear" w:color="auto" w:fill="F2F5F7"/>
          </w:tcPr>
          <w:p>
            <w:r/>
            <w:r>
              <w:rPr>
                <w:sz w:val="19"/>
              </w:rPr>
              <w:t>FULL</w:t>
            </w:r>
          </w:p>
        </w:tc>
        <w:tc>
          <w:tcPr>
            <w:tcW w:type="dxa" w:w="5216"/>
            <w:tcBorders>
              <w:top w:val="single" w:sz="4" w:color="BFC6CE"/>
              <w:left w:val="single" w:sz="4" w:color="BFC6CE"/>
              <w:bottom w:val="single" w:sz="4" w:color="BFC6CE"/>
              <w:right w:val="single" w:sz="4" w:color="BFC6CE"/>
            </w:tcBorders>
            <w:vAlign w:val="top"/>
            <w:shd w:val="clear" w:color="auto" w:fill="F2F5F7"/>
          </w:tcPr>
          <w:p>
            <w:r/>
            <w:r>
              <w:rPr>
                <w:sz w:val="19"/>
              </w:rPr>
              <w:t>Native Kafka streaming tested to 250K events/sec single-region; 80K eps is well within headroom.</w:t>
            </w:r>
          </w:p>
        </w:tc>
      </w:tr>
      <w:tr>
        <w:tc>
          <w:tcPr>
            <w:tcW w:type="dxa" w:w="3288"/>
            <w:tcBorders>
              <w:top w:val="single" w:sz="4" w:color="BFC6CE"/>
              <w:left w:val="single" w:sz="4" w:color="BFC6CE"/>
              <w:bottom w:val="single" w:sz="4" w:color="BFC6CE"/>
              <w:right w:val="single" w:sz="4" w:color="BFC6CE"/>
            </w:tcBorders>
            <w:vAlign w:val="top"/>
          </w:tcPr>
          <w:p>
            <w:r/>
            <w:r>
              <w:rPr>
                <w:sz w:val="19"/>
              </w:rPr>
              <w:t>Batch ETL from 30+ sources</w:t>
            </w:r>
          </w:p>
        </w:tc>
        <w:tc>
          <w:tcPr>
            <w:tcW w:type="dxa" w:w="1134"/>
            <w:tcBorders>
              <w:top w:val="single" w:sz="4" w:color="BFC6CE"/>
              <w:left w:val="single" w:sz="4" w:color="BFC6CE"/>
              <w:bottom w:val="single" w:sz="4" w:color="BFC6CE"/>
              <w:right w:val="single" w:sz="4" w:color="BFC6CE"/>
            </w:tcBorders>
            <w:vAlign w:val="top"/>
          </w:tcPr>
          <w:p>
            <w:r/>
            <w:r>
              <w:rPr>
                <w:sz w:val="19"/>
              </w:rPr>
              <w:t>FULL</w:t>
            </w:r>
          </w:p>
        </w:tc>
        <w:tc>
          <w:tcPr>
            <w:tcW w:type="dxa" w:w="5216"/>
            <w:tcBorders>
              <w:top w:val="single" w:sz="4" w:color="BFC6CE"/>
              <w:left w:val="single" w:sz="4" w:color="BFC6CE"/>
              <w:bottom w:val="single" w:sz="4" w:color="BFC6CE"/>
              <w:right w:val="single" w:sz="4" w:color="BFC6CE"/>
            </w:tcBorders>
            <w:vAlign w:val="top"/>
          </w:tcPr>
          <w:p>
            <w:r/>
            <w:r>
              <w:rPr>
                <w:sz w:val="19"/>
              </w:rPr>
              <w:t>80+ certified batch connectors available out of the box.</w:t>
            </w:r>
          </w:p>
        </w:tc>
      </w:tr>
      <w:tr>
        <w:tc>
          <w:tcPr>
            <w:tcW w:type="dxa" w:w="3288"/>
            <w:tcBorders>
              <w:top w:val="single" w:sz="4" w:color="BFC6CE"/>
              <w:left w:val="single" w:sz="4" w:color="BFC6CE"/>
              <w:bottom w:val="single" w:sz="4" w:color="BFC6CE"/>
              <w:right w:val="single" w:sz="4" w:color="BFC6CE"/>
            </w:tcBorders>
            <w:vAlign w:val="top"/>
            <w:shd w:val="clear" w:color="auto" w:fill="F2F5F7"/>
          </w:tcPr>
          <w:p>
            <w:r/>
            <w:r>
              <w:rPr>
                <w:sz w:val="19"/>
              </w:rPr>
              <w:t>BI &amp; reporting at 600-user scale</w:t>
            </w:r>
          </w:p>
        </w:tc>
        <w:tc>
          <w:tcPr>
            <w:tcW w:type="dxa" w:w="1134"/>
            <w:tcBorders>
              <w:top w:val="single" w:sz="4" w:color="BFC6CE"/>
              <w:left w:val="single" w:sz="4" w:color="BFC6CE"/>
              <w:bottom w:val="single" w:sz="4" w:color="BFC6CE"/>
              <w:right w:val="single" w:sz="4" w:color="BFC6CE"/>
            </w:tcBorders>
            <w:vAlign w:val="top"/>
            <w:shd w:val="clear" w:color="auto" w:fill="F2F5F7"/>
          </w:tcPr>
          <w:p>
            <w:r/>
            <w:r>
              <w:rPr>
                <w:sz w:val="19"/>
              </w:rPr>
              <w:t>FULL</w:t>
            </w:r>
          </w:p>
        </w:tc>
        <w:tc>
          <w:tcPr>
            <w:tcW w:type="dxa" w:w="5216"/>
            <w:tcBorders>
              <w:top w:val="single" w:sz="4" w:color="BFC6CE"/>
              <w:left w:val="single" w:sz="4" w:color="BFC6CE"/>
              <w:bottom w:val="single" w:sz="4" w:color="BFC6CE"/>
              <w:right w:val="single" w:sz="4" w:color="BFC6CE"/>
            </w:tcBorders>
            <w:vAlign w:val="top"/>
            <w:shd w:val="clear" w:color="auto" w:fill="F2F5F7"/>
          </w:tcPr>
          <w:p>
            <w:r/>
            <w:r>
              <w:rPr>
                <w:sz w:val="19"/>
              </w:rPr>
              <w:t>Sub-second SQL on warmed caches; row/column-level ABAC for governed self-service.</w:t>
            </w:r>
          </w:p>
        </w:tc>
      </w:tr>
      <w:tr>
        <w:tc>
          <w:tcPr>
            <w:tcW w:type="dxa" w:w="3288"/>
            <w:tcBorders>
              <w:top w:val="single" w:sz="4" w:color="BFC6CE"/>
              <w:left w:val="single" w:sz="4" w:color="BFC6CE"/>
              <w:bottom w:val="single" w:sz="4" w:color="BFC6CE"/>
              <w:right w:val="single" w:sz="4" w:color="BFC6CE"/>
            </w:tcBorders>
            <w:vAlign w:val="top"/>
          </w:tcPr>
          <w:p>
            <w:r/>
            <w:r>
              <w:rPr>
                <w:sz w:val="19"/>
              </w:rPr>
              <w:t>Self-service data prep (150 engineers)</w:t>
            </w:r>
          </w:p>
        </w:tc>
        <w:tc>
          <w:tcPr>
            <w:tcW w:type="dxa" w:w="1134"/>
            <w:tcBorders>
              <w:top w:val="single" w:sz="4" w:color="BFC6CE"/>
              <w:left w:val="single" w:sz="4" w:color="BFC6CE"/>
              <w:bottom w:val="single" w:sz="4" w:color="BFC6CE"/>
              <w:right w:val="single" w:sz="4" w:color="BFC6CE"/>
            </w:tcBorders>
            <w:vAlign w:val="top"/>
          </w:tcPr>
          <w:p>
            <w:r/>
            <w:r>
              <w:rPr>
                <w:sz w:val="19"/>
              </w:rPr>
              <w:t>FULL</w:t>
            </w:r>
          </w:p>
        </w:tc>
        <w:tc>
          <w:tcPr>
            <w:tcW w:type="dxa" w:w="5216"/>
            <w:tcBorders>
              <w:top w:val="single" w:sz="4" w:color="BFC6CE"/>
              <w:left w:val="single" w:sz="4" w:color="BFC6CE"/>
              <w:bottom w:val="single" w:sz="4" w:color="BFC6CE"/>
              <w:right w:val="single" w:sz="4" w:color="BFC6CE"/>
            </w:tcBorders>
            <w:vAlign w:val="top"/>
          </w:tcPr>
          <w:p>
            <w:r/>
            <w:r>
              <w:rPr>
                <w:sz w:val="19"/>
              </w:rPr>
              <w:t>Low-code data prep UI plus Python/R/Scala notebooks.</w:t>
            </w:r>
          </w:p>
        </w:tc>
      </w:tr>
      <w:tr>
        <w:tc>
          <w:tcPr>
            <w:tcW w:type="dxa" w:w="3288"/>
            <w:tcBorders>
              <w:top w:val="single" w:sz="4" w:color="BFC6CE"/>
              <w:left w:val="single" w:sz="4" w:color="BFC6CE"/>
              <w:bottom w:val="single" w:sz="4" w:color="BFC6CE"/>
              <w:right w:val="single" w:sz="4" w:color="BFC6CE"/>
            </w:tcBorders>
            <w:vAlign w:val="top"/>
            <w:shd w:val="clear" w:color="auto" w:fill="F2F5F7"/>
          </w:tcPr>
          <w:p>
            <w:r/>
            <w:r>
              <w:rPr>
                <w:sz w:val="19"/>
              </w:rPr>
              <w:t>Lakehouse architecture</w:t>
            </w:r>
          </w:p>
        </w:tc>
        <w:tc>
          <w:tcPr>
            <w:tcW w:type="dxa" w:w="1134"/>
            <w:tcBorders>
              <w:top w:val="single" w:sz="4" w:color="BFC6CE"/>
              <w:left w:val="single" w:sz="4" w:color="BFC6CE"/>
              <w:bottom w:val="single" w:sz="4" w:color="BFC6CE"/>
              <w:right w:val="single" w:sz="4" w:color="BFC6CE"/>
            </w:tcBorders>
            <w:vAlign w:val="top"/>
            <w:shd w:val="clear" w:color="auto" w:fill="F2F5F7"/>
          </w:tcPr>
          <w:p>
            <w:r/>
            <w:r>
              <w:rPr>
                <w:sz w:val="19"/>
              </w:rPr>
              <w:t>FULL</w:t>
            </w:r>
          </w:p>
        </w:tc>
        <w:tc>
          <w:tcPr>
            <w:tcW w:type="dxa" w:w="5216"/>
            <w:tcBorders>
              <w:top w:val="single" w:sz="4" w:color="BFC6CE"/>
              <w:left w:val="single" w:sz="4" w:color="BFC6CE"/>
              <w:bottom w:val="single" w:sz="4" w:color="BFC6CE"/>
              <w:right w:val="single" w:sz="4" w:color="BFC6CE"/>
            </w:tcBorders>
            <w:vAlign w:val="top"/>
            <w:shd w:val="clear" w:color="auto" w:fill="F2F5F7"/>
          </w:tcPr>
          <w:p>
            <w:r/>
            <w:r>
              <w:rPr>
                <w:sz w:val="19"/>
              </w:rPr>
              <w:t>Native Delta, Iceberg, Parquet on bring-your-own Azure Blob storage.</w:t>
            </w:r>
          </w:p>
        </w:tc>
      </w:tr>
      <w:tr>
        <w:tc>
          <w:tcPr>
            <w:tcW w:type="dxa" w:w="3288"/>
            <w:tcBorders>
              <w:top w:val="single" w:sz="4" w:color="BFC6CE"/>
              <w:left w:val="single" w:sz="4" w:color="BFC6CE"/>
              <w:bottom w:val="single" w:sz="4" w:color="BFC6CE"/>
              <w:right w:val="single" w:sz="4" w:color="BFC6CE"/>
            </w:tcBorders>
            <w:vAlign w:val="top"/>
          </w:tcPr>
          <w:p>
            <w:r/>
            <w:r>
              <w:rPr>
                <w:sz w:val="19"/>
              </w:rPr>
              <w:t>Open file formats</w:t>
            </w:r>
          </w:p>
        </w:tc>
        <w:tc>
          <w:tcPr>
            <w:tcW w:type="dxa" w:w="1134"/>
            <w:tcBorders>
              <w:top w:val="single" w:sz="4" w:color="BFC6CE"/>
              <w:left w:val="single" w:sz="4" w:color="BFC6CE"/>
              <w:bottom w:val="single" w:sz="4" w:color="BFC6CE"/>
              <w:right w:val="single" w:sz="4" w:color="BFC6CE"/>
            </w:tcBorders>
            <w:vAlign w:val="top"/>
          </w:tcPr>
          <w:p>
            <w:r/>
            <w:r>
              <w:rPr>
                <w:sz w:val="19"/>
              </w:rPr>
              <w:t>FULL</w:t>
            </w:r>
          </w:p>
        </w:tc>
        <w:tc>
          <w:tcPr>
            <w:tcW w:type="dxa" w:w="5216"/>
            <w:tcBorders>
              <w:top w:val="single" w:sz="4" w:color="BFC6CE"/>
              <w:left w:val="single" w:sz="4" w:color="BFC6CE"/>
              <w:bottom w:val="single" w:sz="4" w:color="BFC6CE"/>
              <w:right w:val="single" w:sz="4" w:color="BFC6CE"/>
            </w:tcBorders>
            <w:vAlign w:val="top"/>
          </w:tcPr>
          <w:p>
            <w:r/>
            <w:r>
              <w:rPr>
                <w:sz w:val="19"/>
              </w:rPr>
              <w:t>Parquet, Delta and Iceberg all natively supported and interoperable.</w:t>
            </w:r>
          </w:p>
        </w:tc>
      </w:tr>
      <w:tr>
        <w:tc>
          <w:tcPr>
            <w:tcW w:type="dxa" w:w="3288"/>
            <w:tcBorders>
              <w:top w:val="single" w:sz="4" w:color="BFC6CE"/>
              <w:left w:val="single" w:sz="4" w:color="BFC6CE"/>
              <w:bottom w:val="single" w:sz="4" w:color="BFC6CE"/>
              <w:right w:val="single" w:sz="4" w:color="BFC6CE"/>
            </w:tcBorders>
            <w:vAlign w:val="top"/>
            <w:shd w:val="clear" w:color="auto" w:fill="F2F5F7"/>
          </w:tcPr>
          <w:p>
            <w:r/>
            <w:r>
              <w:rPr>
                <w:sz w:val="19"/>
              </w:rPr>
              <w:t>Azure / Microsoft alignment</w:t>
            </w:r>
          </w:p>
        </w:tc>
        <w:tc>
          <w:tcPr>
            <w:tcW w:type="dxa" w:w="1134"/>
            <w:tcBorders>
              <w:top w:val="single" w:sz="4" w:color="BFC6CE"/>
              <w:left w:val="single" w:sz="4" w:color="BFC6CE"/>
              <w:bottom w:val="single" w:sz="4" w:color="BFC6CE"/>
              <w:right w:val="single" w:sz="4" w:color="BFC6CE"/>
            </w:tcBorders>
            <w:vAlign w:val="top"/>
            <w:shd w:val="clear" w:color="auto" w:fill="F2F5F7"/>
          </w:tcPr>
          <w:p>
            <w:r/>
            <w:r>
              <w:rPr>
                <w:sz w:val="19"/>
              </w:rPr>
              <w:t>FULL</w:t>
            </w:r>
          </w:p>
        </w:tc>
        <w:tc>
          <w:tcPr>
            <w:tcW w:type="dxa" w:w="5216"/>
            <w:tcBorders>
              <w:top w:val="single" w:sz="4" w:color="BFC6CE"/>
              <w:left w:val="single" w:sz="4" w:color="BFC6CE"/>
              <w:bottom w:val="single" w:sz="4" w:color="BFC6CE"/>
              <w:right w:val="single" w:sz="4" w:color="BFC6CE"/>
            </w:tcBorders>
            <w:vAlign w:val="top"/>
            <w:shd w:val="clear" w:color="auto" w:fill="F2F5F7"/>
          </w:tcPr>
          <w:p>
            <w:r/>
            <w:r>
              <w:rPr>
                <w:sz w:val="19"/>
              </w:rPr>
              <w:t>BYO Azure Blob is a primary-tested storage backend.</w:t>
            </w:r>
          </w:p>
        </w:tc>
      </w:tr>
      <w:tr>
        <w:tc>
          <w:tcPr>
            <w:tcW w:type="dxa" w:w="3288"/>
            <w:tcBorders>
              <w:top w:val="single" w:sz="4" w:color="BFC6CE"/>
              <w:left w:val="single" w:sz="4" w:color="BFC6CE"/>
              <w:bottom w:val="single" w:sz="4" w:color="BFC6CE"/>
              <w:right w:val="single" w:sz="4" w:color="BFC6CE"/>
            </w:tcBorders>
            <w:vAlign w:val="top"/>
          </w:tcPr>
          <w:p>
            <w:r/>
            <w:r>
              <w:rPr>
                <w:sz w:val="19"/>
              </w:rPr>
              <w:t>Multi-region (EU primary, US East secondary)</w:t>
            </w:r>
          </w:p>
        </w:tc>
        <w:tc>
          <w:tcPr>
            <w:tcW w:type="dxa" w:w="1134"/>
            <w:tcBorders>
              <w:top w:val="single" w:sz="4" w:color="BFC6CE"/>
              <w:left w:val="single" w:sz="4" w:color="BFC6CE"/>
              <w:bottom w:val="single" w:sz="4" w:color="BFC6CE"/>
              <w:right w:val="single" w:sz="4" w:color="BFC6CE"/>
            </w:tcBorders>
            <w:vAlign w:val="top"/>
          </w:tcPr>
          <w:p>
            <w:r/>
            <w:r>
              <w:rPr>
                <w:sz w:val="19"/>
              </w:rPr>
              <w:t>FULL</w:t>
            </w:r>
          </w:p>
        </w:tc>
        <w:tc>
          <w:tcPr>
            <w:tcW w:type="dxa" w:w="5216"/>
            <w:tcBorders>
              <w:top w:val="single" w:sz="4" w:color="BFC6CE"/>
              <w:left w:val="single" w:sz="4" w:color="BFC6CE"/>
              <w:bottom w:val="single" w:sz="4" w:color="BFC6CE"/>
              <w:right w:val="single" w:sz="4" w:color="BFC6CE"/>
            </w:tcBorders>
            <w:vAlign w:val="top"/>
          </w:tcPr>
          <w:p>
            <w:r/>
            <w:r>
              <w:rPr>
                <w:sz w:val="19"/>
              </w:rPr>
              <w:t>Multi-region within Azure is a first-class deployment topology.</w:t>
            </w:r>
          </w:p>
        </w:tc>
      </w:tr>
      <w:tr>
        <w:tc>
          <w:tcPr>
            <w:tcW w:type="dxa" w:w="3288"/>
            <w:tcBorders>
              <w:top w:val="single" w:sz="4" w:color="BFC6CE"/>
              <w:left w:val="single" w:sz="4" w:color="BFC6CE"/>
              <w:bottom w:val="single" w:sz="4" w:color="BFC6CE"/>
              <w:right w:val="single" w:sz="4" w:color="BFC6CE"/>
            </w:tcBorders>
            <w:vAlign w:val="top"/>
            <w:shd w:val="clear" w:color="auto" w:fill="F2F5F7"/>
          </w:tcPr>
          <w:p>
            <w:r/>
            <w:r>
              <w:rPr>
                <w:sz w:val="19"/>
              </w:rPr>
              <w:t>EU data residency</w:t>
            </w:r>
          </w:p>
        </w:tc>
        <w:tc>
          <w:tcPr>
            <w:tcW w:type="dxa" w:w="1134"/>
            <w:tcBorders>
              <w:top w:val="single" w:sz="4" w:color="BFC6CE"/>
              <w:left w:val="single" w:sz="4" w:color="BFC6CE"/>
              <w:bottom w:val="single" w:sz="4" w:color="BFC6CE"/>
              <w:right w:val="single" w:sz="4" w:color="BFC6CE"/>
            </w:tcBorders>
            <w:vAlign w:val="top"/>
            <w:shd w:val="clear" w:color="auto" w:fill="F2F5F7"/>
          </w:tcPr>
          <w:p>
            <w:r/>
            <w:r>
              <w:rPr>
                <w:sz w:val="19"/>
              </w:rPr>
              <w:t>FULL</w:t>
            </w:r>
          </w:p>
        </w:tc>
        <w:tc>
          <w:tcPr>
            <w:tcW w:type="dxa" w:w="5216"/>
            <w:tcBorders>
              <w:top w:val="single" w:sz="4" w:color="BFC6CE"/>
              <w:left w:val="single" w:sz="4" w:color="BFC6CE"/>
              <w:bottom w:val="single" w:sz="4" w:color="BFC6CE"/>
              <w:right w:val="single" w:sz="4" w:color="BFC6CE"/>
            </w:tcBorders>
            <w:vAlign w:val="top"/>
            <w:shd w:val="clear" w:color="auto" w:fill="F2F5F7"/>
          </w:tcPr>
          <w:p>
            <w:r/>
            <w:r>
              <w:rPr>
                <w:sz w:val="19"/>
              </w:rPr>
              <w:t>Per-table EU pinning is a native governance feature; GDPR DPA in place.</w:t>
            </w:r>
          </w:p>
        </w:tc>
      </w:tr>
      <w:tr>
        <w:tc>
          <w:tcPr>
            <w:tcW w:type="dxa" w:w="3288"/>
            <w:tcBorders>
              <w:top w:val="single" w:sz="4" w:color="BFC6CE"/>
              <w:left w:val="single" w:sz="4" w:color="BFC6CE"/>
              <w:bottom w:val="single" w:sz="4" w:color="BFC6CE"/>
              <w:right w:val="single" w:sz="4" w:color="BFC6CE"/>
            </w:tcBorders>
            <w:vAlign w:val="top"/>
          </w:tcPr>
          <w:p>
            <w:r/>
            <w:r>
              <w:rPr>
                <w:sz w:val="19"/>
              </w:rPr>
              <w:t>ML pipelines (predictive maintenance)</w:t>
            </w:r>
          </w:p>
        </w:tc>
        <w:tc>
          <w:tcPr>
            <w:tcW w:type="dxa" w:w="1134"/>
            <w:tcBorders>
              <w:top w:val="single" w:sz="4" w:color="BFC6CE"/>
              <w:left w:val="single" w:sz="4" w:color="BFC6CE"/>
              <w:bottom w:val="single" w:sz="4" w:color="BFC6CE"/>
              <w:right w:val="single" w:sz="4" w:color="BFC6CE"/>
            </w:tcBorders>
            <w:vAlign w:val="top"/>
          </w:tcPr>
          <w:p>
            <w:r/>
            <w:r>
              <w:rPr>
                <w:sz w:val="19"/>
              </w:rPr>
              <w:t>FULL</w:t>
            </w:r>
          </w:p>
        </w:tc>
        <w:tc>
          <w:tcPr>
            <w:tcW w:type="dxa" w:w="5216"/>
            <w:tcBorders>
              <w:top w:val="single" w:sz="4" w:color="BFC6CE"/>
              <w:left w:val="single" w:sz="4" w:color="BFC6CE"/>
              <w:bottom w:val="single" w:sz="4" w:color="BFC6CE"/>
              <w:right w:val="single" w:sz="4" w:color="BFC6CE"/>
            </w:tcBorders>
            <w:vAlign w:val="top"/>
          </w:tcPr>
          <w:p>
            <w:r/>
            <w:r>
              <w:rPr>
                <w:sz w:val="19"/>
              </w:rPr>
              <w:t>Model registry, feature store, native serving, BYO-model (HF/OpenAI/Anthropic).</w:t>
            </w:r>
          </w:p>
        </w:tc>
      </w:tr>
      <w:tr>
        <w:tc>
          <w:tcPr>
            <w:tcW w:type="dxa" w:w="3288"/>
            <w:tcBorders>
              <w:top w:val="single" w:sz="4" w:color="BFC6CE"/>
              <w:left w:val="single" w:sz="4" w:color="BFC6CE"/>
              <w:bottom w:val="single" w:sz="4" w:color="BFC6CE"/>
              <w:right w:val="single" w:sz="4" w:color="BFC6CE"/>
            </w:tcBorders>
            <w:vAlign w:val="top"/>
            <w:shd w:val="clear" w:color="auto" w:fill="F2F5F7"/>
          </w:tcPr>
          <w:p>
            <w:r/>
            <w:r>
              <w:rPr>
                <w:sz w:val="19"/>
              </w:rPr>
              <w:t>Teradata migration</w:t>
            </w:r>
          </w:p>
        </w:tc>
        <w:tc>
          <w:tcPr>
            <w:tcW w:type="dxa" w:w="1134"/>
            <w:tcBorders>
              <w:top w:val="single" w:sz="4" w:color="BFC6CE"/>
              <w:left w:val="single" w:sz="4" w:color="BFC6CE"/>
              <w:bottom w:val="single" w:sz="4" w:color="BFC6CE"/>
              <w:right w:val="single" w:sz="4" w:color="BFC6CE"/>
            </w:tcBorders>
            <w:vAlign w:val="top"/>
            <w:shd w:val="clear" w:color="auto" w:fill="F2F5F7"/>
          </w:tcPr>
          <w:p>
            <w:r/>
            <w:r>
              <w:rPr>
                <w:sz w:val="19"/>
              </w:rPr>
              <w:t>FULL</w:t>
            </w:r>
          </w:p>
        </w:tc>
        <w:tc>
          <w:tcPr>
            <w:tcW w:type="dxa" w:w="5216"/>
            <w:tcBorders>
              <w:top w:val="single" w:sz="4" w:color="BFC6CE"/>
              <w:left w:val="single" w:sz="4" w:color="BFC6CE"/>
              <w:bottom w:val="single" w:sz="4" w:color="BFC6CE"/>
              <w:right w:val="single" w:sz="4" w:color="BFC6CE"/>
            </w:tcBorders>
            <w:vAlign w:val="top"/>
            <w:shd w:val="clear" w:color="auto" w:fill="F2F5F7"/>
          </w:tcPr>
          <w:p>
            <w:r/>
            <w:r>
              <w:rPr>
                <w:sz w:val="19"/>
              </w:rPr>
              <w:t>Standard 16-week Teradata migration playbook; ANSI SQL compatibility eases query portability.</w:t>
            </w:r>
          </w:p>
        </w:tc>
      </w:tr>
      <w:tr>
        <w:tc>
          <w:tcPr>
            <w:tcW w:type="dxa" w:w="3288"/>
            <w:tcBorders>
              <w:top w:val="single" w:sz="4" w:color="BFC6CE"/>
              <w:left w:val="single" w:sz="4" w:color="BFC6CE"/>
              <w:bottom w:val="single" w:sz="4" w:color="BFC6CE"/>
              <w:right w:val="single" w:sz="4" w:color="BFC6CE"/>
            </w:tcBorders>
            <w:vAlign w:val="top"/>
          </w:tcPr>
          <w:p>
            <w:r/>
            <w:r>
              <w:rPr>
                <w:sz w:val="19"/>
              </w:rPr>
              <w:t>Security &amp; compliance (SOC2, ISO 27001, GDPR)</w:t>
            </w:r>
          </w:p>
        </w:tc>
        <w:tc>
          <w:tcPr>
            <w:tcW w:type="dxa" w:w="1134"/>
            <w:tcBorders>
              <w:top w:val="single" w:sz="4" w:color="BFC6CE"/>
              <w:left w:val="single" w:sz="4" w:color="BFC6CE"/>
              <w:bottom w:val="single" w:sz="4" w:color="BFC6CE"/>
              <w:right w:val="single" w:sz="4" w:color="BFC6CE"/>
            </w:tcBorders>
            <w:vAlign w:val="top"/>
          </w:tcPr>
          <w:p>
            <w:r/>
            <w:r>
              <w:rPr>
                <w:sz w:val="19"/>
              </w:rPr>
              <w:t>FULL</w:t>
            </w:r>
          </w:p>
        </w:tc>
        <w:tc>
          <w:tcPr>
            <w:tcW w:type="dxa" w:w="5216"/>
            <w:tcBorders>
              <w:top w:val="single" w:sz="4" w:color="BFC6CE"/>
              <w:left w:val="single" w:sz="4" w:color="BFC6CE"/>
              <w:bottom w:val="single" w:sz="4" w:color="BFC6CE"/>
              <w:right w:val="single" w:sz="4" w:color="BFC6CE"/>
            </w:tcBorders>
            <w:vAlign w:val="top"/>
          </w:tcPr>
          <w:p>
            <w:r/>
            <w:r>
              <w:rPr>
                <w:sz w:val="19"/>
              </w:rPr>
              <w:t>All certifications current; PII detection/masking and SIEM-exportable audit logs built in.</w:t>
            </w:r>
          </w:p>
        </w:tc>
      </w:tr>
      <w:tr>
        <w:tc>
          <w:tcPr>
            <w:tcW w:type="dxa" w:w="3288"/>
            <w:tcBorders>
              <w:top w:val="single" w:sz="4" w:color="BFC6CE"/>
              <w:left w:val="single" w:sz="4" w:color="BFC6CE"/>
              <w:bottom w:val="single" w:sz="4" w:color="BFC6CE"/>
              <w:right w:val="single" w:sz="4" w:color="BFC6CE"/>
            </w:tcBorders>
            <w:vAlign w:val="top"/>
            <w:shd w:val="clear" w:color="auto" w:fill="F2F5F7"/>
          </w:tcPr>
          <w:p>
            <w:r/>
            <w:r>
              <w:rPr>
                <w:sz w:val="19"/>
              </w:rPr>
              <w:t>280 TB scale + 12 TB/month growth</w:t>
            </w:r>
          </w:p>
        </w:tc>
        <w:tc>
          <w:tcPr>
            <w:tcW w:type="dxa" w:w="1134"/>
            <w:tcBorders>
              <w:top w:val="single" w:sz="4" w:color="BFC6CE"/>
              <w:left w:val="single" w:sz="4" w:color="BFC6CE"/>
              <w:bottom w:val="single" w:sz="4" w:color="BFC6CE"/>
              <w:right w:val="single" w:sz="4" w:color="BFC6CE"/>
            </w:tcBorders>
            <w:vAlign w:val="top"/>
            <w:shd w:val="clear" w:color="auto" w:fill="F2F5F7"/>
          </w:tcPr>
          <w:p>
            <w:r/>
            <w:r>
              <w:rPr>
                <w:sz w:val="19"/>
              </w:rPr>
              <w:t>FULL</w:t>
            </w:r>
          </w:p>
        </w:tc>
        <w:tc>
          <w:tcPr>
            <w:tcW w:type="dxa" w:w="5216"/>
            <w:tcBorders>
              <w:top w:val="single" w:sz="4" w:color="BFC6CE"/>
              <w:left w:val="single" w:sz="4" w:color="BFC6CE"/>
              <w:bottom w:val="single" w:sz="4" w:color="BFC6CE"/>
              <w:right w:val="single" w:sz="4" w:color="BFC6CE"/>
            </w:tcBorders>
            <w:vAlign w:val="top"/>
            <w:shd w:val="clear" w:color="auto" w:fill="F2F5F7"/>
          </w:tcPr>
          <w:p>
            <w:r/>
            <w:r>
              <w:rPr>
                <w:sz w:val="19"/>
              </w:rPr>
              <w:t>Object-storage-backed lakehouse scales elastically; no architectural ceiling.</w:t>
            </w:r>
          </w:p>
        </w:tc>
      </w:tr>
      <w:tr>
        <w:tc>
          <w:tcPr>
            <w:tcW w:type="dxa" w:w="3288"/>
            <w:tcBorders>
              <w:top w:val="single" w:sz="4" w:color="BFC6CE"/>
              <w:left w:val="single" w:sz="4" w:color="BFC6CE"/>
              <w:bottom w:val="single" w:sz="4" w:color="BFC6CE"/>
              <w:right w:val="single" w:sz="4" w:color="BFC6CE"/>
            </w:tcBorders>
            <w:vAlign w:val="top"/>
          </w:tcPr>
          <w:p>
            <w:r/>
            <w:r>
              <w:rPr>
                <w:sz w:val="19"/>
              </w:rPr>
              <w:t>Sub-100ms streaming query latency</w:t>
            </w:r>
          </w:p>
        </w:tc>
        <w:tc>
          <w:tcPr>
            <w:tcW w:type="dxa" w:w="1134"/>
            <w:tcBorders>
              <w:top w:val="single" w:sz="4" w:color="BFC6CE"/>
              <w:left w:val="single" w:sz="4" w:color="BFC6CE"/>
              <w:bottom w:val="single" w:sz="4" w:color="BFC6CE"/>
              <w:right w:val="single" w:sz="4" w:color="BFC6CE"/>
            </w:tcBorders>
            <w:vAlign w:val="top"/>
          </w:tcPr>
          <w:p>
            <w:r/>
            <w:r>
              <w:rPr>
                <w:sz w:val="19"/>
              </w:rPr>
              <w:t>PARTIAL</w:t>
            </w:r>
          </w:p>
        </w:tc>
        <w:tc>
          <w:tcPr>
            <w:tcW w:type="dxa" w:w="5216"/>
            <w:tcBorders>
              <w:top w:val="single" w:sz="4" w:color="BFC6CE"/>
              <w:left w:val="single" w:sz="4" w:color="BFC6CE"/>
              <w:bottom w:val="single" w:sz="4" w:color="BFC6CE"/>
              <w:right w:val="single" w:sz="4" w:color="BFC6CE"/>
            </w:tcBorders>
            <w:vAlign w:val="top"/>
          </w:tcPr>
          <w:p>
            <w:r/>
            <w:r>
              <w:rPr>
                <w:sz w:val="19"/>
              </w:rPr>
              <w:t>Streaming queries land at ~250ms–1s; mitigated by separating ingest from query path (see §6).</w:t>
            </w:r>
          </w:p>
        </w:tc>
      </w:tr>
    </w:tbl>
    <w:p>
      <w:pPr>
        <w:spacing w:before="240" w:after="120"/>
      </w:pPr>
      <w:r>
        <w:rPr>
          <w:rFonts w:ascii="Calibri" w:hAnsi="Calibri"/>
          <w:b/>
          <w:color w:val="0B2E4F"/>
          <w:sz w:val="28"/>
        </w:rPr>
        <w:t>3.2 The three strengths we ask Acme to weigh most heavily</w:t>
      </w:r>
    </w:p>
    <w:p>
      <w:pPr>
        <w:pStyle w:val="ListBullet"/>
        <w:spacing w:after="40"/>
      </w:pPr>
      <w:r>
        <w:rPr>
          <w:b/>
          <w:sz w:val="21"/>
        </w:rPr>
        <w:t>Power BI is a first-class citizen, not a connector afterthought.</w:t>
      </w:r>
      <w:r>
        <w:rPr>
          <w:sz w:val="21"/>
        </w:rPr>
        <w:t xml:space="preserve"> Our certified DirectQuery adapter is our single most mature BI integration. Six hundred analysts continue using the tool they know, on day one, with no intermediary semantic-layer rebuild required.</w:t>
      </w:r>
    </w:p>
    <w:p>
      <w:pPr>
        <w:pStyle w:val="ListBullet"/>
        <w:spacing w:after="40"/>
      </w:pPr>
      <w:r>
        <w:rPr>
          <w:b/>
          <w:sz w:val="21"/>
        </w:rPr>
        <w:t>Open lakehouse, Azure-native certainty.</w:t>
      </w:r>
      <w:r>
        <w:rPr>
          <w:sz w:val="21"/>
        </w:rPr>
        <w:t xml:space="preserve"> BYO Azure Blob, Delta/Iceberg/Parquet, multi-region within Azure, and per-table EU pinning is a point-for-point match to Acme's stated architecture and sovereignty requirements. Open formats keep the long-term exit cost low — there is no proprietary table format to migrate away from.</w:t>
      </w:r>
    </w:p>
    <w:p>
      <w:pPr>
        <w:pStyle w:val="ListBullet"/>
        <w:spacing w:after="40"/>
      </w:pPr>
      <w:r>
        <w:rPr>
          <w:b/>
          <w:sz w:val="21"/>
        </w:rPr>
        <w:t>Teradata replacement is a solved problem for us.</w:t>
      </w:r>
      <w:r>
        <w:rPr>
          <w:sz w:val="21"/>
        </w:rPr>
        <w:t xml:space="preserve"> Our 16-week standard Teradata migration playbook is purpose-built for this exact transition. We have run it at industrial-sector scale and we anchor a phased plan to Acme's 2027 decommission deadline (see §7).</w:t>
      </w:r>
    </w:p>
    <w:p>
      <w:pPr>
        <w:spacing w:before="240" w:after="120"/>
      </w:pPr>
      <w:r>
        <w:rPr>
          <w:rFonts w:ascii="Calibri" w:hAnsi="Calibri"/>
          <w:b/>
          <w:color w:val="0B2E4F"/>
          <w:sz w:val="28"/>
        </w:rPr>
        <w:t>3.3 How we win where others fall short</w:t>
      </w:r>
    </w:p>
    <w:p>
      <w:pPr>
        <w:spacing w:after="120"/>
      </w:pPr>
      <w:r>
        <w:rPr>
          <w:b w:val="0"/>
          <w:i w:val="0"/>
          <w:color w:val="1A1A1A"/>
          <w:sz w:val="21"/>
        </w:rPr>
        <w:t>Acme is also evaluating Databricks, Snowflake, Microsoft Fabric and a regional vendor. Our position against each:</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47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Competitor</w:t>
            </w:r>
          </w:p>
        </w:tc>
        <w:tc>
          <w:tcPr>
            <w:tcW w:type="dxa" w:w="249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Their angle</w:t>
            </w:r>
          </w:p>
        </w:tc>
        <w:tc>
          <w:tcPr>
            <w:tcW w:type="dxa" w:w="3118"/>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Where they fall short for Acme</w:t>
            </w:r>
          </w:p>
        </w:tc>
        <w:tc>
          <w:tcPr>
            <w:tcW w:type="dxa" w:w="2551"/>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Our counter</w:t>
            </w:r>
          </w:p>
        </w:tc>
      </w:tr>
      <w:tr>
        <w:tc>
          <w:tcPr>
            <w:tcW w:type="dxa" w:w="1474"/>
            <w:tcBorders>
              <w:top w:val="single" w:sz="4" w:color="BFC6CE"/>
              <w:left w:val="single" w:sz="4" w:color="BFC6CE"/>
              <w:bottom w:val="single" w:sz="4" w:color="BFC6CE"/>
              <w:right w:val="single" w:sz="4" w:color="BFC6CE"/>
            </w:tcBorders>
            <w:vAlign w:val="top"/>
          </w:tcPr>
          <w:p>
            <w:r/>
            <w:r>
              <w:rPr>
                <w:sz w:val="19"/>
              </w:rPr>
              <w:t>Databricks</w:t>
            </w:r>
          </w:p>
        </w:tc>
        <w:tc>
          <w:tcPr>
            <w:tcW w:type="dxa" w:w="2494"/>
            <w:tcBorders>
              <w:top w:val="single" w:sz="4" w:color="BFC6CE"/>
              <w:left w:val="single" w:sz="4" w:color="BFC6CE"/>
              <w:bottom w:val="single" w:sz="4" w:color="BFC6CE"/>
              <w:right w:val="single" w:sz="4" w:color="BFC6CE"/>
            </w:tcBorders>
            <w:vAlign w:val="top"/>
          </w:tcPr>
          <w:p>
            <w:r/>
            <w:r>
              <w:rPr>
                <w:sz w:val="19"/>
              </w:rPr>
              <w:t>Open lakehouse + Delta-native, commodity economics.</w:t>
            </w:r>
          </w:p>
        </w:tc>
        <w:tc>
          <w:tcPr>
            <w:tcW w:type="dxa" w:w="3118"/>
            <w:tcBorders>
              <w:top w:val="single" w:sz="4" w:color="BFC6CE"/>
              <w:left w:val="single" w:sz="4" w:color="BFC6CE"/>
              <w:bottom w:val="single" w:sz="4" w:color="BFC6CE"/>
              <w:right w:val="single" w:sz="4" w:color="BFC6CE"/>
            </w:tcBorders>
            <w:vAlign w:val="top"/>
          </w:tcPr>
          <w:p>
            <w:r/>
            <w:r>
              <w:rPr>
                <w:sz w:val="19"/>
              </w:rPr>
              <w:t>Power BI integration is not DirectQuery-native; streaming SLA unproven at this scale; price-cutting tactics destabilise multi-year TCO.</w:t>
            </w:r>
          </w:p>
        </w:tc>
        <w:tc>
          <w:tcPr>
            <w:tcW w:type="dxa" w:w="2551"/>
            <w:tcBorders>
              <w:top w:val="single" w:sz="4" w:color="BFC6CE"/>
              <w:left w:val="single" w:sz="4" w:color="BFC6CE"/>
              <w:bottom w:val="single" w:sz="4" w:color="BFC6CE"/>
              <w:right w:val="single" w:sz="4" w:color="BFC6CE"/>
            </w:tcBorders>
            <w:vAlign w:val="top"/>
          </w:tcPr>
          <w:p>
            <w:r/>
            <w:r>
              <w:rPr>
                <w:sz w:val="19"/>
              </w:rPr>
              <w:t>Mature Power BI DirectQuery adapter; 250K eps proven; fixed Year 1–3 pricing locks TCO.</w:t>
            </w:r>
          </w:p>
        </w:tc>
      </w:tr>
      <w:tr>
        <w:tc>
          <w:tcPr>
            <w:tcW w:type="dxa" w:w="1474"/>
            <w:tcBorders>
              <w:top w:val="single" w:sz="4" w:color="BFC6CE"/>
              <w:left w:val="single" w:sz="4" w:color="BFC6CE"/>
              <w:bottom w:val="single" w:sz="4" w:color="BFC6CE"/>
              <w:right w:val="single" w:sz="4" w:color="BFC6CE"/>
            </w:tcBorders>
            <w:vAlign w:val="top"/>
            <w:shd w:val="clear" w:color="auto" w:fill="F2F5F7"/>
          </w:tcPr>
          <w:p>
            <w:r/>
            <w:r>
              <w:rPr>
                <w:sz w:val="19"/>
              </w:rPr>
              <w:t>Snowflake</w:t>
            </w:r>
          </w:p>
        </w:tc>
        <w:tc>
          <w:tcPr>
            <w:tcW w:type="dxa" w:w="2494"/>
            <w:tcBorders>
              <w:top w:val="single" w:sz="4" w:color="BFC6CE"/>
              <w:left w:val="single" w:sz="4" w:color="BFC6CE"/>
              <w:bottom w:val="single" w:sz="4" w:color="BFC6CE"/>
              <w:right w:val="single" w:sz="4" w:color="BFC6CE"/>
            </w:tcBorders>
            <w:vAlign w:val="top"/>
            <w:shd w:val="clear" w:color="auto" w:fill="F2F5F7"/>
          </w:tcPr>
          <w:p>
            <w:r/>
            <w:r>
              <w:rPr>
                <w:sz w:val="19"/>
              </w:rPr>
              <w:t>Cloud-native warehousing, multi-cloud optics, SQL simplicity.</w:t>
            </w:r>
          </w:p>
        </w:tc>
        <w:tc>
          <w:tcPr>
            <w:tcW w:type="dxa" w:w="3118"/>
            <w:tcBorders>
              <w:top w:val="single" w:sz="4" w:color="BFC6CE"/>
              <w:left w:val="single" w:sz="4" w:color="BFC6CE"/>
              <w:bottom w:val="single" w:sz="4" w:color="BFC6CE"/>
              <w:right w:val="single" w:sz="4" w:color="BFC6CE"/>
            </w:tcBorders>
            <w:vAlign w:val="top"/>
            <w:shd w:val="clear" w:color="auto" w:fill="F2F5F7"/>
          </w:tcPr>
          <w:p>
            <w:r/>
            <w:r>
              <w:rPr>
                <w:sz w:val="19"/>
              </w:rPr>
              <w:t>AWS-optimised DNA with Azure as a follower; proprietary table format; Teradata migration is ELT-heavy and slow; weaker Power BI experience.</w:t>
            </w:r>
          </w:p>
        </w:tc>
        <w:tc>
          <w:tcPr>
            <w:tcW w:type="dxa" w:w="2551"/>
            <w:tcBorders>
              <w:top w:val="single" w:sz="4" w:color="BFC6CE"/>
              <w:left w:val="single" w:sz="4" w:color="BFC6CE"/>
              <w:bottom w:val="single" w:sz="4" w:color="BFC6CE"/>
              <w:right w:val="single" w:sz="4" w:color="BFC6CE"/>
            </w:tcBorders>
            <w:vAlign w:val="top"/>
            <w:shd w:val="clear" w:color="auto" w:fill="F2F5F7"/>
          </w:tcPr>
          <w:p>
            <w:r/>
            <w:r>
              <w:rPr>
                <w:sz w:val="19"/>
              </w:rPr>
              <w:t>Azure-native, open formats, proven 16-week Teradata playbook (won Globex on this exact basis).</w:t>
            </w:r>
          </w:p>
        </w:tc>
      </w:tr>
      <w:tr>
        <w:tc>
          <w:tcPr>
            <w:tcW w:type="dxa" w:w="1474"/>
            <w:tcBorders>
              <w:top w:val="single" w:sz="4" w:color="BFC6CE"/>
              <w:left w:val="single" w:sz="4" w:color="BFC6CE"/>
              <w:bottom w:val="single" w:sz="4" w:color="BFC6CE"/>
              <w:right w:val="single" w:sz="4" w:color="BFC6CE"/>
            </w:tcBorders>
            <w:vAlign w:val="top"/>
          </w:tcPr>
          <w:p>
            <w:r/>
            <w:r>
              <w:rPr>
                <w:sz w:val="19"/>
              </w:rPr>
              <w:t>Microsoft Fabric</w:t>
            </w:r>
          </w:p>
        </w:tc>
        <w:tc>
          <w:tcPr>
            <w:tcW w:type="dxa" w:w="2494"/>
            <w:tcBorders>
              <w:top w:val="single" w:sz="4" w:color="BFC6CE"/>
              <w:left w:val="single" w:sz="4" w:color="BFC6CE"/>
              <w:bottom w:val="single" w:sz="4" w:color="BFC6CE"/>
              <w:right w:val="single" w:sz="4" w:color="BFC6CE"/>
            </w:tcBorders>
            <w:vAlign w:val="top"/>
          </w:tcPr>
          <w:p>
            <w:r/>
            <w:r>
              <w:rPr>
                <w:sz w:val="19"/>
              </w:rPr>
              <w:t>"Free with E5" bundling, Power BI native, Azure ecosystem familiarity.</w:t>
            </w:r>
          </w:p>
        </w:tc>
        <w:tc>
          <w:tcPr>
            <w:tcW w:type="dxa" w:w="3118"/>
            <w:tcBorders>
              <w:top w:val="single" w:sz="4" w:color="BFC6CE"/>
              <w:left w:val="single" w:sz="4" w:color="BFC6CE"/>
              <w:bottom w:val="single" w:sz="4" w:color="BFC6CE"/>
              <w:right w:val="single" w:sz="4" w:color="BFC6CE"/>
            </w:tcBorders>
            <w:vAlign w:val="top"/>
          </w:tcPr>
          <w:p>
            <w:r/>
            <w:r>
              <w:rPr>
                <w:sz w:val="19"/>
              </w:rPr>
              <w:t>Real-time SLA gap (we beat them head-to-head at Initech Sensors); EU residency still hardening; lakehouse immaturity at 280TB; proprietary table format.</w:t>
            </w:r>
          </w:p>
        </w:tc>
        <w:tc>
          <w:tcPr>
            <w:tcW w:type="dxa" w:w="2551"/>
            <w:tcBorders>
              <w:top w:val="single" w:sz="4" w:color="BFC6CE"/>
              <w:left w:val="single" w:sz="4" w:color="BFC6CE"/>
              <w:bottom w:val="single" w:sz="4" w:color="BFC6CE"/>
              <w:right w:val="single" w:sz="4" w:color="BFC6CE"/>
            </w:tcBorders>
            <w:vAlign w:val="top"/>
          </w:tcPr>
          <w:p>
            <w:r/>
            <w:r>
              <w:rPr>
                <w:sz w:val="19"/>
              </w:rPr>
              <w:t>99.99% bespoke SLA option; production scale today; true open lakehouse; per-table EU residency in production now.</w:t>
            </w:r>
          </w:p>
        </w:tc>
      </w:tr>
      <w:tr>
        <w:tc>
          <w:tcPr>
            <w:tcW w:type="dxa" w:w="1474"/>
            <w:tcBorders>
              <w:top w:val="single" w:sz="4" w:color="BFC6CE"/>
              <w:left w:val="single" w:sz="4" w:color="BFC6CE"/>
              <w:bottom w:val="single" w:sz="4" w:color="BFC6CE"/>
              <w:right w:val="single" w:sz="4" w:color="BFC6CE"/>
            </w:tcBorders>
            <w:vAlign w:val="top"/>
            <w:shd w:val="clear" w:color="auto" w:fill="F2F5F7"/>
          </w:tcPr>
          <w:p>
            <w:r/>
            <w:r>
              <w:rPr>
                <w:sz w:val="19"/>
              </w:rPr>
              <w:t>Regional vendor</w:t>
            </w:r>
          </w:p>
        </w:tc>
        <w:tc>
          <w:tcPr>
            <w:tcW w:type="dxa" w:w="2494"/>
            <w:tcBorders>
              <w:top w:val="single" w:sz="4" w:color="BFC6CE"/>
              <w:left w:val="single" w:sz="4" w:color="BFC6CE"/>
              <w:bottom w:val="single" w:sz="4" w:color="BFC6CE"/>
              <w:right w:val="single" w:sz="4" w:color="BFC6CE"/>
            </w:tcBorders>
            <w:vAlign w:val="top"/>
            <w:shd w:val="clear" w:color="auto" w:fill="F2F5F7"/>
          </w:tcPr>
          <w:p>
            <w:r/>
            <w:r>
              <w:rPr>
                <w:sz w:val="19"/>
              </w:rPr>
              <w:t>Local presence and regulatory familiarity.</w:t>
            </w:r>
          </w:p>
        </w:tc>
        <w:tc>
          <w:tcPr>
            <w:tcW w:type="dxa" w:w="3118"/>
            <w:tcBorders>
              <w:top w:val="single" w:sz="4" w:color="BFC6CE"/>
              <w:left w:val="single" w:sz="4" w:color="BFC6CE"/>
              <w:bottom w:val="single" w:sz="4" w:color="BFC6CE"/>
              <w:right w:val="single" w:sz="4" w:color="BFC6CE"/>
            </w:tcBorders>
            <w:vAlign w:val="top"/>
            <w:shd w:val="clear" w:color="auto" w:fill="F2F5F7"/>
          </w:tcPr>
          <w:p>
            <w:r/>
            <w:r>
              <w:rPr>
                <w:sz w:val="19"/>
              </w:rPr>
              <w:t>Limited proof at Acme's scale; smaller engineering and 24/7 support footprint; constrained geographic reach for an 18-country business.</w:t>
            </w:r>
          </w:p>
        </w:tc>
        <w:tc>
          <w:tcPr>
            <w:tcW w:type="dxa" w:w="2551"/>
            <w:tcBorders>
              <w:top w:val="single" w:sz="4" w:color="BFC6CE"/>
              <w:left w:val="single" w:sz="4" w:color="BFC6CE"/>
              <w:bottom w:val="single" w:sz="4" w:color="BFC6CE"/>
              <w:right w:val="single" w:sz="4" w:color="BFC6CE"/>
            </w:tcBorders>
            <w:vAlign w:val="top"/>
            <w:shd w:val="clear" w:color="auto" w:fill="F2F5F7"/>
          </w:tcPr>
          <w:p>
            <w:r/>
            <w:r>
              <w:rPr>
                <w:sz w:val="19"/>
              </w:rPr>
              <w:t>Global 24/7 ops with EU presence; industrial-sector references; 8–16 week deployment playbooks proven at scale.</w:t>
            </w:r>
          </w:p>
        </w:tc>
      </w:tr>
    </w:tbl>
    <w:p>
      <w:pPr>
        <w:spacing w:after="40"/>
      </w:pPr>
      <w:r>
        <w:rPr>
          <w:b/>
          <w:i w:val="0"/>
          <w:color w:val="1A1A1A"/>
          <w:sz w:val="21"/>
        </w:rPr>
        <w:t>Most likely to challenge us: Microsoft Fabric.</w:t>
      </w:r>
    </w:p>
    <w:p>
      <w:pPr>
        <w:spacing w:after="80"/>
      </w:pPr>
      <w:r>
        <w:rPr>
          <w:b w:val="0"/>
          <w:i w:val="0"/>
          <w:color w:val="1A1A1A"/>
          <w:sz w:val="21"/>
        </w:rPr>
        <w:t>Not on technical merit — on organisational gravity. With 600 Power BI seats already in Acme's E5 estate, Fabric arrives with an easy procurement path and a "no new contract" story. The Initech Sensors win is directly on point: Fabric could not match our real-time SLA at industrial-IoT scale, and the same gap holds today. We will demonstrate this in discovery rather than argue it on a slide.</w:t>
      </w:r>
    </w:p>
    <w:p>
      <w:pPr>
        <w:spacing w:before="240" w:after="120"/>
      </w:pPr>
      <w:r>
        <w:rPr>
          <w:rFonts w:ascii="Calibri" w:hAnsi="Calibri"/>
          <w:b/>
          <w:color w:val="0B2E4F"/>
          <w:sz w:val="40"/>
        </w:rPr>
        <w:t>4. Commercial Proposal</w:t>
      </w:r>
    </w:p>
    <w:p>
      <w:pPr>
        <w:spacing w:before="240" w:after="120"/>
      </w:pPr>
      <w:r>
        <w:rPr>
          <w:rFonts w:ascii="Calibri" w:hAnsi="Calibri"/>
          <w:b/>
          <w:color w:val="0B2E4F"/>
          <w:sz w:val="28"/>
        </w:rPr>
        <w:t>4.1 Headline numbers</w:t>
      </w:r>
    </w:p>
    <w:p>
      <w:r>
        <w:rPr>
          <w:b/>
          <w:sz w:val="21"/>
        </w:rPr>
        <w:t xml:space="preserve">List ARR (Year 1): </w:t>
      </w:r>
      <w:r>
        <w:rPr>
          <w:sz w:val="21"/>
        </w:rPr>
        <w:t>$1.35M</w:t>
      </w:r>
    </w:p>
    <w:p>
      <w:r>
        <w:rPr>
          <w:b/>
          <w:sz w:val="21"/>
        </w:rPr>
        <w:t xml:space="preserve">Discount applied: </w:t>
      </w:r>
      <w:r>
        <w:rPr>
          <w:sz w:val="21"/>
        </w:rPr>
        <w:t>25% (our most aggressive industrial-sector offer to date)</w:t>
      </w:r>
    </w:p>
    <w:p>
      <w:r>
        <w:rPr>
          <w:b/>
          <w:sz w:val="21"/>
        </w:rPr>
        <w:t xml:space="preserve">Net ARR Year 1: </w:t>
      </w:r>
      <w:r>
        <w:rPr>
          <w:sz w:val="21"/>
        </w:rPr>
        <w:t>$1,012,500</w:t>
      </w:r>
    </w:p>
    <w:p>
      <w:r>
        <w:rPr>
          <w:b/>
          <w:sz w:val="21"/>
        </w:rPr>
        <w:t xml:space="preserve">Payment terms proposed: </w:t>
      </w:r>
      <w:r>
        <w:rPr>
          <w:sz w:val="21"/>
        </w:rPr>
        <w:t>Annual upfront, Net 45 (counter to RFP Net 90)</w:t>
      </w:r>
    </w:p>
    <w:p>
      <w:r>
        <w:rPr>
          <w:b/>
          <w:sz w:val="21"/>
        </w:rPr>
        <w:t xml:space="preserve">Term: </w:t>
      </w:r>
      <w:r>
        <w:rPr>
          <w:sz w:val="21"/>
        </w:rPr>
        <w:t>3-year initial + 2-year renewal option (5-year horizon priced)</w:t>
      </w:r>
    </w:p>
    <w:p>
      <w:pPr>
        <w:spacing w:before="240" w:after="120"/>
      </w:pPr>
      <w:r>
        <w:rPr>
          <w:rFonts w:ascii="Calibri" w:hAnsi="Calibri"/>
          <w:b/>
          <w:color w:val="0B2E4F"/>
          <w:sz w:val="28"/>
        </w:rPr>
        <w:t>4.2 Five-year TCV</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2835"/>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Period</w:t>
            </w:r>
          </w:p>
        </w:tc>
        <w:tc>
          <w:tcPr>
            <w:tcW w:type="dxa" w:w="1928"/>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List ARR</w:t>
            </w:r>
          </w:p>
        </w:tc>
        <w:tc>
          <w:tcPr>
            <w:tcW w:type="dxa" w:w="96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Discount</w:t>
            </w:r>
          </w:p>
        </w:tc>
        <w:tc>
          <w:tcPr>
            <w:tcW w:type="dxa" w:w="1701"/>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Net ARR</w:t>
            </w:r>
          </w:p>
        </w:tc>
        <w:tc>
          <w:tcPr>
            <w:tcW w:type="dxa" w:w="79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Years</w:t>
            </w:r>
          </w:p>
        </w:tc>
        <w:tc>
          <w:tcPr>
            <w:tcW w:type="dxa" w:w="1417"/>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Subtotal</w:t>
            </w:r>
          </w:p>
        </w:tc>
      </w:tr>
      <w:tr>
        <w:tc>
          <w:tcPr>
            <w:tcW w:type="dxa" w:w="2835"/>
            <w:tcBorders>
              <w:top w:val="single" w:sz="4" w:color="BFC6CE"/>
              <w:left w:val="single" w:sz="4" w:color="BFC6CE"/>
              <w:bottom w:val="single" w:sz="4" w:color="BFC6CE"/>
              <w:right w:val="single" w:sz="4" w:color="BFC6CE"/>
            </w:tcBorders>
            <w:vAlign w:val="top"/>
          </w:tcPr>
          <w:p>
            <w:r/>
            <w:r>
              <w:rPr>
                <w:sz w:val="19"/>
              </w:rPr>
              <w:t>Initial term (Yr 1–3) — price locked</w:t>
            </w:r>
          </w:p>
        </w:tc>
        <w:tc>
          <w:tcPr>
            <w:tcW w:type="dxa" w:w="1928"/>
            <w:tcBorders>
              <w:top w:val="single" w:sz="4" w:color="BFC6CE"/>
              <w:left w:val="single" w:sz="4" w:color="BFC6CE"/>
              <w:bottom w:val="single" w:sz="4" w:color="BFC6CE"/>
              <w:right w:val="single" w:sz="4" w:color="BFC6CE"/>
            </w:tcBorders>
            <w:vAlign w:val="top"/>
          </w:tcPr>
          <w:p>
            <w:r/>
            <w:r>
              <w:rPr>
                <w:sz w:val="19"/>
              </w:rPr>
              <w:t>$1.35M</w:t>
            </w:r>
          </w:p>
        </w:tc>
        <w:tc>
          <w:tcPr>
            <w:tcW w:type="dxa" w:w="964"/>
            <w:tcBorders>
              <w:top w:val="single" w:sz="4" w:color="BFC6CE"/>
              <w:left w:val="single" w:sz="4" w:color="BFC6CE"/>
              <w:bottom w:val="single" w:sz="4" w:color="BFC6CE"/>
              <w:right w:val="single" w:sz="4" w:color="BFC6CE"/>
            </w:tcBorders>
            <w:vAlign w:val="top"/>
          </w:tcPr>
          <w:p>
            <w:r/>
            <w:r>
              <w:rPr>
                <w:sz w:val="19"/>
              </w:rPr>
              <w:t>25%</w:t>
            </w:r>
          </w:p>
        </w:tc>
        <w:tc>
          <w:tcPr>
            <w:tcW w:type="dxa" w:w="1701"/>
            <w:tcBorders>
              <w:top w:val="single" w:sz="4" w:color="BFC6CE"/>
              <w:left w:val="single" w:sz="4" w:color="BFC6CE"/>
              <w:bottom w:val="single" w:sz="4" w:color="BFC6CE"/>
              <w:right w:val="single" w:sz="4" w:color="BFC6CE"/>
            </w:tcBorders>
            <w:vAlign w:val="top"/>
          </w:tcPr>
          <w:p>
            <w:r/>
            <w:r>
              <w:rPr>
                <w:sz w:val="19"/>
              </w:rPr>
              <w:t>$1.0125M</w:t>
            </w:r>
          </w:p>
        </w:tc>
        <w:tc>
          <w:tcPr>
            <w:tcW w:type="dxa" w:w="794"/>
            <w:tcBorders>
              <w:top w:val="single" w:sz="4" w:color="BFC6CE"/>
              <w:left w:val="single" w:sz="4" w:color="BFC6CE"/>
              <w:bottom w:val="single" w:sz="4" w:color="BFC6CE"/>
              <w:right w:val="single" w:sz="4" w:color="BFC6CE"/>
            </w:tcBorders>
            <w:vAlign w:val="top"/>
          </w:tcPr>
          <w:p>
            <w:r/>
            <w:r>
              <w:rPr>
                <w:sz w:val="19"/>
              </w:rPr>
              <w:t>3</w:t>
            </w:r>
          </w:p>
        </w:tc>
        <w:tc>
          <w:tcPr>
            <w:tcW w:type="dxa" w:w="1417"/>
            <w:tcBorders>
              <w:top w:val="single" w:sz="4" w:color="BFC6CE"/>
              <w:left w:val="single" w:sz="4" w:color="BFC6CE"/>
              <w:bottom w:val="single" w:sz="4" w:color="BFC6CE"/>
              <w:right w:val="single" w:sz="4" w:color="BFC6CE"/>
            </w:tcBorders>
            <w:vAlign w:val="top"/>
          </w:tcPr>
          <w:p>
            <w:r/>
            <w:r>
              <w:rPr>
                <w:sz w:val="19"/>
              </w:rPr>
              <w:t>$3.04M</w:t>
            </w:r>
          </w:p>
        </w:tc>
      </w:tr>
      <w:tr>
        <w:tc>
          <w:tcPr>
            <w:tcW w:type="dxa" w:w="2835"/>
            <w:tcBorders>
              <w:top w:val="single" w:sz="4" w:color="BFC6CE"/>
              <w:left w:val="single" w:sz="4" w:color="BFC6CE"/>
              <w:bottom w:val="single" w:sz="4" w:color="BFC6CE"/>
              <w:right w:val="single" w:sz="4" w:color="BFC6CE"/>
            </w:tcBorders>
            <w:vAlign w:val="top"/>
            <w:shd w:val="clear" w:color="auto" w:fill="F2F5F7"/>
          </w:tcPr>
          <w:p>
            <w:r/>
            <w:r>
              <w:rPr>
                <w:sz w:val="19"/>
              </w:rPr>
              <w:t>Renewal (Yr 4–5) — with 3% CPI step-up</w:t>
            </w:r>
          </w:p>
        </w:tc>
        <w:tc>
          <w:tcPr>
            <w:tcW w:type="dxa" w:w="1928"/>
            <w:tcBorders>
              <w:top w:val="single" w:sz="4" w:color="BFC6CE"/>
              <w:left w:val="single" w:sz="4" w:color="BFC6CE"/>
              <w:bottom w:val="single" w:sz="4" w:color="BFC6CE"/>
              <w:right w:val="single" w:sz="4" w:color="BFC6CE"/>
            </w:tcBorders>
            <w:vAlign w:val="top"/>
            <w:shd w:val="clear" w:color="auto" w:fill="F2F5F7"/>
          </w:tcPr>
          <w:p>
            <w:r/>
            <w:r>
              <w:rPr>
                <w:sz w:val="19"/>
              </w:rPr>
              <w:t>$1.044M (Yr4) / $1.075M (Yr5)</w:t>
            </w:r>
          </w:p>
        </w:tc>
        <w:tc>
          <w:tcPr>
            <w:tcW w:type="dxa" w:w="964"/>
            <w:tcBorders>
              <w:top w:val="single" w:sz="4" w:color="BFC6CE"/>
              <w:left w:val="single" w:sz="4" w:color="BFC6CE"/>
              <w:bottom w:val="single" w:sz="4" w:color="BFC6CE"/>
              <w:right w:val="single" w:sz="4" w:color="BFC6CE"/>
            </w:tcBorders>
            <w:vAlign w:val="top"/>
            <w:shd w:val="clear" w:color="auto" w:fill="F2F5F7"/>
          </w:tcPr>
          <w:p>
            <w:r/>
            <w:r>
              <w:rPr>
                <w:sz w:val="19"/>
              </w:rPr>
              <w:t>25%</w:t>
            </w:r>
          </w:p>
        </w:tc>
        <w:tc>
          <w:tcPr>
            <w:tcW w:type="dxa" w:w="1701"/>
            <w:tcBorders>
              <w:top w:val="single" w:sz="4" w:color="BFC6CE"/>
              <w:left w:val="single" w:sz="4" w:color="BFC6CE"/>
              <w:bottom w:val="single" w:sz="4" w:color="BFC6CE"/>
              <w:right w:val="single" w:sz="4" w:color="BFC6CE"/>
            </w:tcBorders>
            <w:vAlign w:val="top"/>
            <w:shd w:val="clear" w:color="auto" w:fill="F2F5F7"/>
          </w:tcPr>
          <w:p>
            <w:r/>
            <w:r>
              <w:rPr>
                <w:sz w:val="19"/>
              </w:rPr>
              <w:t>$0.783M / $0.807M</w:t>
            </w:r>
          </w:p>
        </w:tc>
        <w:tc>
          <w:tcPr>
            <w:tcW w:type="dxa" w:w="794"/>
            <w:tcBorders>
              <w:top w:val="single" w:sz="4" w:color="BFC6CE"/>
              <w:left w:val="single" w:sz="4" w:color="BFC6CE"/>
              <w:bottom w:val="single" w:sz="4" w:color="BFC6CE"/>
              <w:right w:val="single" w:sz="4" w:color="BFC6CE"/>
            </w:tcBorders>
            <w:vAlign w:val="top"/>
            <w:shd w:val="clear" w:color="auto" w:fill="F2F5F7"/>
          </w:tcPr>
          <w:p>
            <w:r/>
            <w:r>
              <w:rPr>
                <w:sz w:val="19"/>
              </w:rPr>
              <w:t>2</w:t>
            </w:r>
          </w:p>
        </w:tc>
        <w:tc>
          <w:tcPr>
            <w:tcW w:type="dxa" w:w="1417"/>
            <w:tcBorders>
              <w:top w:val="single" w:sz="4" w:color="BFC6CE"/>
              <w:left w:val="single" w:sz="4" w:color="BFC6CE"/>
              <w:bottom w:val="single" w:sz="4" w:color="BFC6CE"/>
              <w:right w:val="single" w:sz="4" w:color="BFC6CE"/>
            </w:tcBorders>
            <w:vAlign w:val="top"/>
            <w:shd w:val="clear" w:color="auto" w:fill="F2F5F7"/>
          </w:tcPr>
          <w:p>
            <w:r/>
            <w:r>
              <w:rPr>
                <w:sz w:val="19"/>
              </w:rPr>
              <w:t>$1.59M</w:t>
            </w:r>
          </w:p>
        </w:tc>
      </w:tr>
      <w:tr>
        <w:tc>
          <w:tcPr>
            <w:tcW w:type="dxa" w:w="2835"/>
            <w:tcBorders>
              <w:top w:val="single" w:sz="4" w:color="BFC6CE"/>
              <w:left w:val="single" w:sz="4" w:color="BFC6CE"/>
              <w:bottom w:val="single" w:sz="4" w:color="BFC6CE"/>
              <w:right w:val="single" w:sz="4" w:color="BFC6CE"/>
            </w:tcBorders>
            <w:vAlign w:val="top"/>
            <w:shd w:val="clear" w:color="auto" w:fill="E6EEF2"/>
          </w:tcPr>
          <w:p>
            <w:r>
              <w:rPr>
                <w:b/>
                <w:color w:val="0B2E4F"/>
              </w:rPr>
            </w:r>
            <w:r>
              <w:rPr>
                <w:b/>
                <w:color w:val="0B2E4F"/>
                <w:sz w:val="19"/>
              </w:rPr>
              <w:t>5-Year Total Contract Value</w:t>
            </w:r>
          </w:p>
        </w:tc>
        <w:tc>
          <w:tcPr>
            <w:tcW w:type="dxa" w:w="1928"/>
            <w:tcBorders>
              <w:top w:val="single" w:sz="4" w:color="BFC6CE"/>
              <w:left w:val="single" w:sz="4" w:color="BFC6CE"/>
              <w:bottom w:val="single" w:sz="4" w:color="BFC6CE"/>
              <w:right w:val="single" w:sz="4" w:color="BFC6CE"/>
            </w:tcBorders>
            <w:vAlign w:val="top"/>
            <w:shd w:val="clear" w:color="auto" w:fill="E6EEF2"/>
          </w:tcPr>
          <w:p>
            <w:r>
              <w:rPr>
                <w:b/>
                <w:color w:val="0B2E4F"/>
              </w:rPr>
            </w:r>
            <w:r>
              <w:rPr>
                <w:b/>
                <w:color w:val="0B2E4F"/>
                <w:sz w:val="19"/>
              </w:rPr>
            </w:r>
          </w:p>
        </w:tc>
        <w:tc>
          <w:tcPr>
            <w:tcW w:type="dxa" w:w="964"/>
            <w:tcBorders>
              <w:top w:val="single" w:sz="4" w:color="BFC6CE"/>
              <w:left w:val="single" w:sz="4" w:color="BFC6CE"/>
              <w:bottom w:val="single" w:sz="4" w:color="BFC6CE"/>
              <w:right w:val="single" w:sz="4" w:color="BFC6CE"/>
            </w:tcBorders>
            <w:vAlign w:val="top"/>
            <w:shd w:val="clear" w:color="auto" w:fill="E6EEF2"/>
          </w:tcPr>
          <w:p>
            <w:r>
              <w:rPr>
                <w:b/>
                <w:color w:val="0B2E4F"/>
              </w:rPr>
            </w:r>
            <w:r>
              <w:rPr>
                <w:b/>
                <w:color w:val="0B2E4F"/>
                <w:sz w:val="19"/>
              </w:rPr>
            </w:r>
          </w:p>
        </w:tc>
        <w:tc>
          <w:tcPr>
            <w:tcW w:type="dxa" w:w="1701"/>
            <w:tcBorders>
              <w:top w:val="single" w:sz="4" w:color="BFC6CE"/>
              <w:left w:val="single" w:sz="4" w:color="BFC6CE"/>
              <w:bottom w:val="single" w:sz="4" w:color="BFC6CE"/>
              <w:right w:val="single" w:sz="4" w:color="BFC6CE"/>
            </w:tcBorders>
            <w:vAlign w:val="top"/>
            <w:shd w:val="clear" w:color="auto" w:fill="E6EEF2"/>
          </w:tcPr>
          <w:p>
            <w:r>
              <w:rPr>
                <w:b/>
                <w:color w:val="0B2E4F"/>
              </w:rPr>
            </w:r>
            <w:r>
              <w:rPr>
                <w:b/>
                <w:color w:val="0B2E4F"/>
                <w:sz w:val="19"/>
              </w:rPr>
            </w:r>
          </w:p>
        </w:tc>
        <w:tc>
          <w:tcPr>
            <w:tcW w:type="dxa" w:w="794"/>
            <w:tcBorders>
              <w:top w:val="single" w:sz="4" w:color="BFC6CE"/>
              <w:left w:val="single" w:sz="4" w:color="BFC6CE"/>
              <w:bottom w:val="single" w:sz="4" w:color="BFC6CE"/>
              <w:right w:val="single" w:sz="4" w:color="BFC6CE"/>
            </w:tcBorders>
            <w:vAlign w:val="top"/>
            <w:shd w:val="clear" w:color="auto" w:fill="E6EEF2"/>
          </w:tcPr>
          <w:p>
            <w:r>
              <w:rPr>
                <w:b/>
                <w:color w:val="0B2E4F"/>
              </w:rPr>
            </w:r>
            <w:r>
              <w:rPr>
                <w:b/>
                <w:color w:val="0B2E4F"/>
                <w:sz w:val="19"/>
              </w:rPr>
            </w:r>
          </w:p>
        </w:tc>
        <w:tc>
          <w:tcPr>
            <w:tcW w:type="dxa" w:w="1417"/>
            <w:tcBorders>
              <w:top w:val="single" w:sz="4" w:color="BFC6CE"/>
              <w:left w:val="single" w:sz="4" w:color="BFC6CE"/>
              <w:bottom w:val="single" w:sz="4" w:color="BFC6CE"/>
              <w:right w:val="single" w:sz="4" w:color="BFC6CE"/>
            </w:tcBorders>
            <w:vAlign w:val="top"/>
            <w:shd w:val="clear" w:color="auto" w:fill="E6EEF2"/>
          </w:tcPr>
          <w:p>
            <w:r>
              <w:rPr>
                <w:b/>
                <w:color w:val="0B2E4F"/>
              </w:rPr>
            </w:r>
            <w:r>
              <w:rPr>
                <w:b/>
                <w:color w:val="0B2E4F"/>
                <w:sz w:val="19"/>
              </w:rPr>
              <w:t>$4.63M</w:t>
            </w:r>
          </w:p>
        </w:tc>
      </w:tr>
    </w:tbl>
    <w:p>
      <w:pPr>
        <w:spacing w:before="240" w:after="120"/>
      </w:pPr>
      <w:r>
        <w:rPr>
          <w:rFonts w:ascii="Calibri" w:hAnsi="Calibri"/>
          <w:b/>
          <w:color w:val="0B2E4F"/>
          <w:sz w:val="28"/>
        </w:rPr>
        <w:t>4.3 Position on Acme's commercial asks</w:t>
      </w:r>
    </w:p>
    <w:tbl>
      <w:tblPr>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Acme ask</w:t>
            </w:r>
          </w:p>
        </w:tc>
        <w:tc>
          <w:tcPr>
            <w:tcW w:type="dxa" w:w="147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Our position</w:t>
            </w:r>
          </w:p>
        </w:tc>
        <w:tc>
          <w:tcPr>
            <w:tcW w:type="dxa" w:w="5329"/>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Rationale / counter</w:t>
            </w:r>
          </w:p>
        </w:tc>
      </w:tr>
      <w:tr>
        <w:tc>
          <w:tcPr>
            <w:tcW w:type="dxa" w:w="2835"/>
            <w:tcBorders>
              <w:top w:val="single" w:sz="4" w:color="BFC6CE"/>
              <w:left w:val="single" w:sz="4" w:color="BFC6CE"/>
              <w:bottom w:val="single" w:sz="4" w:color="BFC6CE"/>
              <w:right w:val="single" w:sz="4" w:color="BFC6CE"/>
            </w:tcBorders>
            <w:vAlign w:val="top"/>
          </w:tcPr>
          <w:p>
            <w:r/>
            <w:r>
              <w:rPr>
                <w:sz w:val="19"/>
              </w:rPr>
              <w:t>35% discount off list</w:t>
            </w:r>
          </w:p>
        </w:tc>
        <w:tc>
          <w:tcPr>
            <w:tcW w:type="dxa" w:w="1474"/>
            <w:tcBorders>
              <w:top w:val="single" w:sz="4" w:color="BFC6CE"/>
              <w:left w:val="single" w:sz="4" w:color="BFC6CE"/>
              <w:bottom w:val="single" w:sz="4" w:color="BFC6CE"/>
              <w:right w:val="single" w:sz="4" w:color="BFC6CE"/>
            </w:tcBorders>
            <w:vAlign w:val="top"/>
          </w:tcPr>
          <w:p>
            <w:r/>
            <w:r>
              <w:rPr>
                <w:b/>
                <w:color w:val="C87A00"/>
                <w:sz w:val="19"/>
              </w:rPr>
              <w:t>NEGOTIATE</w:t>
            </w:r>
          </w:p>
        </w:tc>
        <w:tc>
          <w:tcPr>
            <w:tcW w:type="dxa" w:w="5329"/>
            <w:tcBorders>
              <w:top w:val="single" w:sz="4" w:color="BFC6CE"/>
              <w:left w:val="single" w:sz="4" w:color="BFC6CE"/>
              <w:bottom w:val="single" w:sz="4" w:color="BFC6CE"/>
              <w:right w:val="single" w:sz="4" w:color="BFC6CE"/>
            </w:tcBorders>
            <w:vAlign w:val="top"/>
          </w:tcPr>
          <w:p>
            <w:r/>
            <w:r>
              <w:rPr>
                <w:sz w:val="19"/>
              </w:rPr>
              <w:t>25% is our best industrial-sector offer; exceeds the discount given to every comparable industrial customer we serve. Up to 28% available only against a longer-term commitment matching our defence-sector precedent.</w:t>
            </w:r>
          </w:p>
        </w:tc>
      </w:tr>
      <w:tr>
        <w:tc>
          <w:tcPr>
            <w:tcW w:type="dxa" w:w="2835"/>
            <w:tcBorders>
              <w:top w:val="single" w:sz="4" w:color="BFC6CE"/>
              <w:left w:val="single" w:sz="4" w:color="BFC6CE"/>
              <w:bottom w:val="single" w:sz="4" w:color="BFC6CE"/>
              <w:right w:val="single" w:sz="4" w:color="BFC6CE"/>
            </w:tcBorders>
            <w:vAlign w:val="top"/>
            <w:shd w:val="clear" w:color="auto" w:fill="F2F5F7"/>
          </w:tcPr>
          <w:p>
            <w:r/>
            <w:r>
              <w:rPr>
                <w:sz w:val="19"/>
              </w:rPr>
              <w:t>Fixed price, full 5 years, no escalators</w:t>
            </w:r>
          </w:p>
        </w:tc>
        <w:tc>
          <w:tcPr>
            <w:tcW w:type="dxa" w:w="1474"/>
            <w:tcBorders>
              <w:top w:val="single" w:sz="4" w:color="BFC6CE"/>
              <w:left w:val="single" w:sz="4" w:color="BFC6CE"/>
              <w:bottom w:val="single" w:sz="4" w:color="BFC6CE"/>
              <w:right w:val="single" w:sz="4" w:color="BFC6CE"/>
            </w:tcBorders>
            <w:vAlign w:val="top"/>
            <w:shd w:val="clear" w:color="auto" w:fill="F2F5F7"/>
          </w:tcPr>
          <w:p>
            <w:r/>
            <w:r>
              <w:rPr>
                <w:b/>
                <w:color w:val="C87A00"/>
                <w:sz w:val="19"/>
              </w:rPr>
              <w:t>NEGOTIATE</w:t>
            </w:r>
          </w:p>
        </w:tc>
        <w:tc>
          <w:tcPr>
            <w:tcW w:type="dxa" w:w="5329"/>
            <w:tcBorders>
              <w:top w:val="single" w:sz="4" w:color="BFC6CE"/>
              <w:left w:val="single" w:sz="4" w:color="BFC6CE"/>
              <w:bottom w:val="single" w:sz="4" w:color="BFC6CE"/>
              <w:right w:val="single" w:sz="4" w:color="BFC6CE"/>
            </w:tcBorders>
            <w:vAlign w:val="top"/>
            <w:shd w:val="clear" w:color="auto" w:fill="F2F5F7"/>
          </w:tcPr>
          <w:p>
            <w:r/>
            <w:r>
              <w:rPr>
                <w:sz w:val="19"/>
              </w:rPr>
              <w:t>Years 1–3 price-locked as requested. Years 4–5 carry a 3% CPI escalator. A flat 5-year price erodes ~12–15% in real terms by Year 5 and is not commercially sustainable.</w:t>
            </w:r>
          </w:p>
        </w:tc>
      </w:tr>
      <w:tr>
        <w:tc>
          <w:tcPr>
            <w:tcW w:type="dxa" w:w="2835"/>
            <w:tcBorders>
              <w:top w:val="single" w:sz="4" w:color="BFC6CE"/>
              <w:left w:val="single" w:sz="4" w:color="BFC6CE"/>
              <w:bottom w:val="single" w:sz="4" w:color="BFC6CE"/>
              <w:right w:val="single" w:sz="4" w:color="BFC6CE"/>
            </w:tcBorders>
            <w:vAlign w:val="top"/>
          </w:tcPr>
          <w:p>
            <w:r/>
            <w:r>
              <w:rPr>
                <w:sz w:val="19"/>
              </w:rPr>
              <w:t>Annual fees billed Net 90</w:t>
            </w:r>
          </w:p>
        </w:tc>
        <w:tc>
          <w:tcPr>
            <w:tcW w:type="dxa" w:w="1474"/>
            <w:tcBorders>
              <w:top w:val="single" w:sz="4" w:color="BFC6CE"/>
              <w:left w:val="single" w:sz="4" w:color="BFC6CE"/>
              <w:bottom w:val="single" w:sz="4" w:color="BFC6CE"/>
              <w:right w:val="single" w:sz="4" w:color="BFC6CE"/>
            </w:tcBorders>
            <w:vAlign w:val="top"/>
          </w:tcPr>
          <w:p>
            <w:r/>
            <w:r>
              <w:rPr>
                <w:b/>
                <w:color w:val="C87A00"/>
                <w:sz w:val="19"/>
              </w:rPr>
              <w:t>NEGOTIATE</w:t>
            </w:r>
          </w:p>
        </w:tc>
        <w:tc>
          <w:tcPr>
            <w:tcW w:type="dxa" w:w="5329"/>
            <w:tcBorders>
              <w:top w:val="single" w:sz="4" w:color="BFC6CE"/>
              <w:left w:val="single" w:sz="4" w:color="BFC6CE"/>
              <w:bottom w:val="single" w:sz="4" w:color="BFC6CE"/>
              <w:right w:val="single" w:sz="4" w:color="BFC6CE"/>
            </w:tcBorders>
            <w:vAlign w:val="top"/>
          </w:tcPr>
          <w:p>
            <w:r/>
            <w:r>
              <w:rPr>
                <w:sz w:val="19"/>
              </w:rPr>
              <w:t>Net 45 standard offer. Net 60 available paired with a small price uplift to recover working-capital cost. Net 90 is not workable.</w:t>
            </w:r>
          </w:p>
        </w:tc>
      </w:tr>
      <w:tr>
        <w:tc>
          <w:tcPr>
            <w:tcW w:type="dxa" w:w="2835"/>
            <w:tcBorders>
              <w:top w:val="single" w:sz="4" w:color="BFC6CE"/>
              <w:left w:val="single" w:sz="4" w:color="BFC6CE"/>
              <w:bottom w:val="single" w:sz="4" w:color="BFC6CE"/>
              <w:right w:val="single" w:sz="4" w:color="BFC6CE"/>
            </w:tcBorders>
            <w:vAlign w:val="top"/>
            <w:shd w:val="clear" w:color="auto" w:fill="F2F5F7"/>
          </w:tcPr>
          <w:p>
            <w:r/>
            <w:r>
              <w:rPr>
                <w:sz w:val="19"/>
              </w:rPr>
              <w:t>Most Favoured Nation (perpetual, unscoped)</w:t>
            </w:r>
          </w:p>
        </w:tc>
        <w:tc>
          <w:tcPr>
            <w:tcW w:type="dxa" w:w="1474"/>
            <w:tcBorders>
              <w:top w:val="single" w:sz="4" w:color="BFC6CE"/>
              <w:left w:val="single" w:sz="4" w:color="BFC6CE"/>
              <w:bottom w:val="single" w:sz="4" w:color="BFC6CE"/>
              <w:right w:val="single" w:sz="4" w:color="BFC6CE"/>
            </w:tcBorders>
            <w:vAlign w:val="top"/>
            <w:shd w:val="clear" w:color="auto" w:fill="F2F5F7"/>
          </w:tcPr>
          <w:p>
            <w:r/>
            <w:r>
              <w:rPr>
                <w:b/>
                <w:color w:val="C87A00"/>
                <w:sz w:val="19"/>
              </w:rPr>
              <w:t>NEGOTIATE</w:t>
            </w:r>
          </w:p>
        </w:tc>
        <w:tc>
          <w:tcPr>
            <w:tcW w:type="dxa" w:w="5329"/>
            <w:tcBorders>
              <w:top w:val="single" w:sz="4" w:color="BFC6CE"/>
              <w:left w:val="single" w:sz="4" w:color="BFC6CE"/>
              <w:bottom w:val="single" w:sz="4" w:color="BFC6CE"/>
              <w:right w:val="single" w:sz="4" w:color="BFC6CE"/>
            </w:tcBorders>
            <w:vAlign w:val="top"/>
            <w:shd w:val="clear" w:color="auto" w:fill="F2F5F7"/>
          </w:tcPr>
          <w:p>
            <w:r/>
            <w:r>
              <w:rPr>
                <w:sz w:val="19"/>
              </w:rPr>
              <w:t>MFN scoped to: same industry vertical, comparable deal size (±20% ARR), same or longer term. Sunsets at end of initial 3-year term. Excludes promotional, partner and trial pricing.</w:t>
            </w:r>
          </w:p>
        </w:tc>
      </w:tr>
      <w:tr>
        <w:tc>
          <w:tcPr>
            <w:tcW w:type="dxa" w:w="2835"/>
            <w:tcBorders>
              <w:top w:val="single" w:sz="4" w:color="BFC6CE"/>
              <w:left w:val="single" w:sz="4" w:color="BFC6CE"/>
              <w:bottom w:val="single" w:sz="4" w:color="BFC6CE"/>
              <w:right w:val="single" w:sz="4" w:color="BFC6CE"/>
            </w:tcBorders>
            <w:vAlign w:val="top"/>
          </w:tcPr>
          <w:p>
            <w:r/>
            <w:r>
              <w:rPr>
                <w:sz w:val="19"/>
              </w:rPr>
              <w:t>Termination for convenience, 30 days, no fee</w:t>
            </w:r>
          </w:p>
        </w:tc>
        <w:tc>
          <w:tcPr>
            <w:tcW w:type="dxa" w:w="1474"/>
            <w:tcBorders>
              <w:top w:val="single" w:sz="4" w:color="BFC6CE"/>
              <w:left w:val="single" w:sz="4" w:color="BFC6CE"/>
              <w:bottom w:val="single" w:sz="4" w:color="BFC6CE"/>
              <w:right w:val="single" w:sz="4" w:color="BFC6CE"/>
            </w:tcBorders>
            <w:vAlign w:val="top"/>
          </w:tcPr>
          <w:p>
            <w:r/>
            <w:r>
              <w:rPr>
                <w:b/>
                <w:color w:val="C87A00"/>
                <w:sz w:val="19"/>
              </w:rPr>
              <w:t>NEGOTIATE</w:t>
            </w:r>
          </w:p>
        </w:tc>
        <w:tc>
          <w:tcPr>
            <w:tcW w:type="dxa" w:w="5329"/>
            <w:tcBorders>
              <w:top w:val="single" w:sz="4" w:color="BFC6CE"/>
              <w:left w:val="single" w:sz="4" w:color="BFC6CE"/>
              <w:bottom w:val="single" w:sz="4" w:color="BFC6CE"/>
              <w:right w:val="single" w:sz="4" w:color="BFC6CE"/>
            </w:tcBorders>
            <w:vAlign w:val="top"/>
          </w:tcPr>
          <w:p>
            <w:r/>
            <w:r>
              <w:rPr>
                <w:sz w:val="19"/>
              </w:rPr>
              <w:t>Counter: 6 months' notice, OR an early-termination fee covering 50% of remaining-term ARR. A 30-day exit with zero consequence converts a 3-year contract into a 30-day contract and invalidates the multi-year discount.</w:t>
            </w:r>
          </w:p>
        </w:tc>
      </w:tr>
    </w:tbl>
    <w:p>
      <w:pPr>
        <w:spacing w:before="240" w:after="120"/>
      </w:pPr>
      <w:r>
        <w:rPr>
          <w:rFonts w:ascii="Calibri" w:hAnsi="Calibri"/>
          <w:b/>
          <w:color w:val="0B2E4F"/>
          <w:sz w:val="40"/>
        </w:rPr>
        <w:t>5. Contract Approach</w:t>
      </w:r>
    </w:p>
    <w:p>
      <w:pPr>
        <w:spacing w:after="120"/>
      </w:pPr>
      <w:r>
        <w:rPr>
          <w:b w:val="0"/>
          <w:i w:val="0"/>
          <w:color w:val="1A1A1A"/>
          <w:sz w:val="21"/>
        </w:rPr>
        <w:t>We accept the broad framework of Acme's contractual asks and will redline against the master agreement on three clauses where, as drafted, the terms create unbounded financial or operational exposure that we cannot underwrite at any price. We have precedent-backed alternative language for each, and the IP clause in particular mirrors a position we have already agreed with a comparable customer (Stark Industries) — we propose to bring that drafted language to the table directly to save negotiation cycles.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721"/>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Clause</w:t>
            </w:r>
          </w:p>
        </w:tc>
        <w:tc>
          <w:tcPr>
            <w:tcW w:type="dxa" w:w="907"/>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Risk</w:t>
            </w:r>
          </w:p>
        </w:tc>
        <w:tc>
          <w:tcPr>
            <w:tcW w:type="dxa" w:w="147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Our position</w:t>
            </w:r>
          </w:p>
        </w:tc>
        <w:tc>
          <w:tcPr>
            <w:tcW w:type="dxa" w:w="4535"/>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Counter-language we will bring</w:t>
            </w:r>
          </w:p>
        </w:tc>
      </w:tr>
      <w:tr>
        <w:tc>
          <w:tcPr>
            <w:tcW w:type="dxa" w:w="2721"/>
            <w:tcBorders>
              <w:top w:val="single" w:sz="4" w:color="BFC6CE"/>
              <w:left w:val="single" w:sz="4" w:color="BFC6CE"/>
              <w:bottom w:val="single" w:sz="4" w:color="BFC6CE"/>
              <w:right w:val="single" w:sz="4" w:color="BFC6CE"/>
            </w:tcBorders>
            <w:vAlign w:val="top"/>
          </w:tcPr>
          <w:p>
            <w:r/>
            <w:r>
              <w:rPr>
                <w:sz w:val="19"/>
              </w:rPr>
              <w:t>3.4 Most Favoured Nation</w:t>
            </w:r>
          </w:p>
        </w:tc>
        <w:tc>
          <w:tcPr>
            <w:tcW w:type="dxa" w:w="907"/>
            <w:tcBorders>
              <w:top w:val="single" w:sz="4" w:color="BFC6CE"/>
              <w:left w:val="single" w:sz="4" w:color="BFC6CE"/>
              <w:bottom w:val="single" w:sz="4" w:color="BFC6CE"/>
              <w:right w:val="single" w:sz="4" w:color="BFC6CE"/>
            </w:tcBorders>
            <w:vAlign w:val="top"/>
          </w:tcPr>
          <w:p>
            <w:r/>
            <w:r>
              <w:rPr>
                <w:b/>
                <w:color w:val="C87A00"/>
                <w:sz w:val="19"/>
              </w:rPr>
              <w:t>AMBER</w:t>
            </w:r>
          </w:p>
        </w:tc>
        <w:tc>
          <w:tcPr>
            <w:tcW w:type="dxa" w:w="1474"/>
            <w:tcBorders>
              <w:top w:val="single" w:sz="4" w:color="BFC6CE"/>
              <w:left w:val="single" w:sz="4" w:color="BFC6CE"/>
              <w:bottom w:val="single" w:sz="4" w:color="BFC6CE"/>
              <w:right w:val="single" w:sz="4" w:color="BFC6CE"/>
            </w:tcBorders>
            <w:vAlign w:val="top"/>
          </w:tcPr>
          <w:p>
            <w:r/>
            <w:r>
              <w:rPr>
                <w:sz w:val="19"/>
              </w:rPr>
              <w:t>NEGOTIATE</w:t>
            </w:r>
          </w:p>
        </w:tc>
        <w:tc>
          <w:tcPr>
            <w:tcW w:type="dxa" w:w="4535"/>
            <w:tcBorders>
              <w:top w:val="single" w:sz="4" w:color="BFC6CE"/>
              <w:left w:val="single" w:sz="4" w:color="BFC6CE"/>
              <w:bottom w:val="single" w:sz="4" w:color="BFC6CE"/>
              <w:right w:val="single" w:sz="4" w:color="BFC6CE"/>
            </w:tcBorders>
            <w:vAlign w:val="top"/>
          </w:tcPr>
          <w:p>
            <w:r/>
            <w:r>
              <w:rPr>
                <w:sz w:val="19"/>
              </w:rPr>
              <w:t>MFN applies only to customers of equivalent contract value and volume; excludes promotional, trial, or partner pricing.</w:t>
            </w:r>
          </w:p>
        </w:tc>
      </w:tr>
      <w:tr>
        <w:tc>
          <w:tcPr>
            <w:tcW w:type="dxa" w:w="2721"/>
            <w:tcBorders>
              <w:top w:val="single" w:sz="4" w:color="BFC6CE"/>
              <w:left w:val="single" w:sz="4" w:color="BFC6CE"/>
              <w:bottom w:val="single" w:sz="4" w:color="BFC6CE"/>
              <w:right w:val="single" w:sz="4" w:color="BFC6CE"/>
            </w:tcBorders>
            <w:vAlign w:val="top"/>
            <w:shd w:val="clear" w:color="auto" w:fill="F2F5F7"/>
          </w:tcPr>
          <w:p>
            <w:r/>
            <w:r>
              <w:rPr>
                <w:sz w:val="19"/>
              </w:rPr>
              <w:t>3.5 Termination for convenience</w:t>
            </w:r>
          </w:p>
        </w:tc>
        <w:tc>
          <w:tcPr>
            <w:tcW w:type="dxa" w:w="907"/>
            <w:tcBorders>
              <w:top w:val="single" w:sz="4" w:color="BFC6CE"/>
              <w:left w:val="single" w:sz="4" w:color="BFC6CE"/>
              <w:bottom w:val="single" w:sz="4" w:color="BFC6CE"/>
              <w:right w:val="single" w:sz="4" w:color="BFC6CE"/>
            </w:tcBorders>
            <w:vAlign w:val="top"/>
            <w:shd w:val="clear" w:color="auto" w:fill="F2F5F7"/>
          </w:tcPr>
          <w:p>
            <w:r/>
            <w:r>
              <w:rPr>
                <w:b/>
                <w:color w:val="C87A00"/>
                <w:sz w:val="19"/>
              </w:rPr>
              <w:t>AMBER</w:t>
            </w:r>
          </w:p>
        </w:tc>
        <w:tc>
          <w:tcPr>
            <w:tcW w:type="dxa" w:w="1474"/>
            <w:tcBorders>
              <w:top w:val="single" w:sz="4" w:color="BFC6CE"/>
              <w:left w:val="single" w:sz="4" w:color="BFC6CE"/>
              <w:bottom w:val="single" w:sz="4" w:color="BFC6CE"/>
              <w:right w:val="single" w:sz="4" w:color="BFC6CE"/>
            </w:tcBorders>
            <w:vAlign w:val="top"/>
            <w:shd w:val="clear" w:color="auto" w:fill="F2F5F7"/>
          </w:tcPr>
          <w:p>
            <w:r/>
            <w:r>
              <w:rPr>
                <w:sz w:val="19"/>
              </w:rPr>
              <w:t>NEGOTIATE</w:t>
            </w:r>
          </w:p>
        </w:tc>
        <w:tc>
          <w:tcPr>
            <w:tcW w:type="dxa" w:w="4535"/>
            <w:tcBorders>
              <w:top w:val="single" w:sz="4" w:color="BFC6CE"/>
              <w:left w:val="single" w:sz="4" w:color="BFC6CE"/>
              <w:bottom w:val="single" w:sz="4" w:color="BFC6CE"/>
              <w:right w:val="single" w:sz="4" w:color="BFC6CE"/>
            </w:tcBorders>
            <w:vAlign w:val="top"/>
            <w:shd w:val="clear" w:color="auto" w:fill="F2F5F7"/>
          </w:tcPr>
          <w:p>
            <w:r/>
            <w:r>
              <w:rPr>
                <w:sz w:val="19"/>
              </w:rPr>
              <w:t>Termination for convenience requires 6 months' notice; for multi-year terms, Acme reimburses non-recoverable pre-paid costs incurred beyond the notice date.</w:t>
            </w:r>
          </w:p>
        </w:tc>
      </w:tr>
      <w:tr>
        <w:tc>
          <w:tcPr>
            <w:tcW w:type="dxa" w:w="2721"/>
            <w:tcBorders>
              <w:top w:val="single" w:sz="4" w:color="BFC6CE"/>
              <w:left w:val="single" w:sz="4" w:color="BFC6CE"/>
              <w:bottom w:val="single" w:sz="4" w:color="BFC6CE"/>
              <w:right w:val="single" w:sz="4" w:color="BFC6CE"/>
            </w:tcBorders>
            <w:vAlign w:val="top"/>
          </w:tcPr>
          <w:p>
            <w:r/>
            <w:r>
              <w:rPr>
                <w:sz w:val="19"/>
              </w:rPr>
              <w:t>4.1 Breach liability — uncapped + reputational</w:t>
            </w:r>
          </w:p>
        </w:tc>
        <w:tc>
          <w:tcPr>
            <w:tcW w:type="dxa" w:w="907"/>
            <w:tcBorders>
              <w:top w:val="single" w:sz="4" w:color="BFC6CE"/>
              <w:left w:val="single" w:sz="4" w:color="BFC6CE"/>
              <w:bottom w:val="single" w:sz="4" w:color="BFC6CE"/>
              <w:right w:val="single" w:sz="4" w:color="BFC6CE"/>
            </w:tcBorders>
            <w:vAlign w:val="top"/>
          </w:tcPr>
          <w:p>
            <w:r/>
            <w:r>
              <w:rPr>
                <w:b/>
                <w:color w:val="B01C2E"/>
                <w:sz w:val="19"/>
              </w:rPr>
              <w:t>RED</w:t>
            </w:r>
          </w:p>
        </w:tc>
        <w:tc>
          <w:tcPr>
            <w:tcW w:type="dxa" w:w="1474"/>
            <w:tcBorders>
              <w:top w:val="single" w:sz="4" w:color="BFC6CE"/>
              <w:left w:val="single" w:sz="4" w:color="BFC6CE"/>
              <w:bottom w:val="single" w:sz="4" w:color="BFC6CE"/>
              <w:right w:val="single" w:sz="4" w:color="BFC6CE"/>
            </w:tcBorders>
            <w:vAlign w:val="top"/>
          </w:tcPr>
          <w:p>
            <w:r/>
            <w:r>
              <w:rPr>
                <w:sz w:val="19"/>
              </w:rPr>
              <w:t>REJECT (as drafted)</w:t>
            </w:r>
          </w:p>
        </w:tc>
        <w:tc>
          <w:tcPr>
            <w:tcW w:type="dxa" w:w="4535"/>
            <w:tcBorders>
              <w:top w:val="single" w:sz="4" w:color="BFC6CE"/>
              <w:left w:val="single" w:sz="4" w:color="BFC6CE"/>
              <w:bottom w:val="single" w:sz="4" w:color="BFC6CE"/>
              <w:right w:val="single" w:sz="4" w:color="BFC6CE"/>
            </w:tcBorders>
            <w:vAlign w:val="top"/>
          </w:tcPr>
          <w:p>
            <w:r/>
            <w:r>
              <w:rPr>
                <w:sz w:val="19"/>
              </w:rPr>
              <w:t>Data-breach liability capped at 2× fees paid in the 12 months preceding the incident; indemnity covers notification and regulatory fines; reputational damages excluded.</w:t>
            </w:r>
          </w:p>
        </w:tc>
      </w:tr>
      <w:tr>
        <w:tc>
          <w:tcPr>
            <w:tcW w:type="dxa" w:w="2721"/>
            <w:tcBorders>
              <w:top w:val="single" w:sz="4" w:color="BFC6CE"/>
              <w:left w:val="single" w:sz="4" w:color="BFC6CE"/>
              <w:bottom w:val="single" w:sz="4" w:color="BFC6CE"/>
              <w:right w:val="single" w:sz="4" w:color="BFC6CE"/>
            </w:tcBorders>
            <w:vAlign w:val="top"/>
            <w:shd w:val="clear" w:color="auto" w:fill="F2F5F7"/>
          </w:tcPr>
          <w:p>
            <w:r/>
            <w:r>
              <w:rPr>
                <w:sz w:val="19"/>
              </w:rPr>
              <w:t>4.2 Audit — no notice, 4×/year, vendor pays</w:t>
            </w:r>
          </w:p>
        </w:tc>
        <w:tc>
          <w:tcPr>
            <w:tcW w:type="dxa" w:w="907"/>
            <w:tcBorders>
              <w:top w:val="single" w:sz="4" w:color="BFC6CE"/>
              <w:left w:val="single" w:sz="4" w:color="BFC6CE"/>
              <w:bottom w:val="single" w:sz="4" w:color="BFC6CE"/>
              <w:right w:val="single" w:sz="4" w:color="BFC6CE"/>
            </w:tcBorders>
            <w:vAlign w:val="top"/>
            <w:shd w:val="clear" w:color="auto" w:fill="F2F5F7"/>
          </w:tcPr>
          <w:p>
            <w:r/>
            <w:r>
              <w:rPr>
                <w:b/>
                <w:color w:val="C87A00"/>
                <w:sz w:val="19"/>
              </w:rPr>
              <w:t>AMBER</w:t>
            </w:r>
          </w:p>
        </w:tc>
        <w:tc>
          <w:tcPr>
            <w:tcW w:type="dxa" w:w="1474"/>
            <w:tcBorders>
              <w:top w:val="single" w:sz="4" w:color="BFC6CE"/>
              <w:left w:val="single" w:sz="4" w:color="BFC6CE"/>
              <w:bottom w:val="single" w:sz="4" w:color="BFC6CE"/>
              <w:right w:val="single" w:sz="4" w:color="BFC6CE"/>
            </w:tcBorders>
            <w:vAlign w:val="top"/>
            <w:shd w:val="clear" w:color="auto" w:fill="F2F5F7"/>
          </w:tcPr>
          <w:p>
            <w:r/>
            <w:r>
              <w:rPr>
                <w:sz w:val="19"/>
              </w:rPr>
              <w:t>NEGOTIATE</w:t>
            </w:r>
          </w:p>
        </w:tc>
        <w:tc>
          <w:tcPr>
            <w:tcW w:type="dxa" w:w="4535"/>
            <w:tcBorders>
              <w:top w:val="single" w:sz="4" w:color="BFC6CE"/>
              <w:left w:val="single" w:sz="4" w:color="BFC6CE"/>
              <w:bottom w:val="single" w:sz="4" w:color="BFC6CE"/>
              <w:right w:val="single" w:sz="4" w:color="BFC6CE"/>
            </w:tcBorders>
            <w:vAlign w:val="top"/>
            <w:shd w:val="clear" w:color="auto" w:fill="F2F5F7"/>
          </w:tcPr>
          <w:p>
            <w:r/>
            <w:r>
              <w:rPr>
                <w:sz w:val="19"/>
              </w:rPr>
              <w:t>Audits with 10 business days' notice, limited to 2×/year; costs shared unless audit reveals material non-compliance, in which case vendor bears costs.</w:t>
            </w:r>
          </w:p>
        </w:tc>
      </w:tr>
      <w:tr>
        <w:tc>
          <w:tcPr>
            <w:tcW w:type="dxa" w:w="2721"/>
            <w:tcBorders>
              <w:top w:val="single" w:sz="4" w:color="BFC6CE"/>
              <w:left w:val="single" w:sz="4" w:color="BFC6CE"/>
              <w:bottom w:val="single" w:sz="4" w:color="BFC6CE"/>
              <w:right w:val="single" w:sz="4" w:color="BFC6CE"/>
            </w:tcBorders>
            <w:vAlign w:val="top"/>
          </w:tcPr>
          <w:p>
            <w:r/>
            <w:r>
              <w:rPr>
                <w:sz w:val="19"/>
              </w:rPr>
              <w:t>4.3 SLA — 99.99% + immediate termination</w:t>
            </w:r>
          </w:p>
        </w:tc>
        <w:tc>
          <w:tcPr>
            <w:tcW w:type="dxa" w:w="907"/>
            <w:tcBorders>
              <w:top w:val="single" w:sz="4" w:color="BFC6CE"/>
              <w:left w:val="single" w:sz="4" w:color="BFC6CE"/>
              <w:bottom w:val="single" w:sz="4" w:color="BFC6CE"/>
              <w:right w:val="single" w:sz="4" w:color="BFC6CE"/>
            </w:tcBorders>
            <w:vAlign w:val="top"/>
          </w:tcPr>
          <w:p>
            <w:r/>
            <w:r>
              <w:rPr>
                <w:b/>
                <w:color w:val="B01C2E"/>
                <w:sz w:val="19"/>
              </w:rPr>
              <w:t>RED</w:t>
            </w:r>
          </w:p>
        </w:tc>
        <w:tc>
          <w:tcPr>
            <w:tcW w:type="dxa" w:w="1474"/>
            <w:tcBorders>
              <w:top w:val="single" w:sz="4" w:color="BFC6CE"/>
              <w:left w:val="single" w:sz="4" w:color="BFC6CE"/>
              <w:bottom w:val="single" w:sz="4" w:color="BFC6CE"/>
              <w:right w:val="single" w:sz="4" w:color="BFC6CE"/>
            </w:tcBorders>
            <w:vAlign w:val="top"/>
          </w:tcPr>
          <w:p>
            <w:r/>
            <w:r>
              <w:rPr>
                <w:sz w:val="19"/>
              </w:rPr>
              <w:t>REJECT (as drafted)</w:t>
            </w:r>
          </w:p>
        </w:tc>
        <w:tc>
          <w:tcPr>
            <w:tcW w:type="dxa" w:w="4535"/>
            <w:tcBorders>
              <w:top w:val="single" w:sz="4" w:color="BFC6CE"/>
              <w:left w:val="single" w:sz="4" w:color="BFC6CE"/>
              <w:bottom w:val="single" w:sz="4" w:color="BFC6CE"/>
              <w:right w:val="single" w:sz="4" w:color="BFC6CE"/>
            </w:tcBorders>
            <w:vAlign w:val="top"/>
          </w:tcPr>
          <w:p>
            <w:r/>
            <w:r>
              <w:rPr>
                <w:sz w:val="19"/>
              </w:rPr>
              <w:t>Standard SLA 99.95%; 99.99% available as bespoke add-on (≈$80–120K/yr) requiring multi-region active-active. Termination only after three consecutive months of material SLA failure; remedy is pro-rata service credit.</w:t>
            </w:r>
          </w:p>
        </w:tc>
      </w:tr>
      <w:tr>
        <w:tc>
          <w:tcPr>
            <w:tcW w:type="dxa" w:w="2721"/>
            <w:tcBorders>
              <w:top w:val="single" w:sz="4" w:color="BFC6CE"/>
              <w:left w:val="single" w:sz="4" w:color="BFC6CE"/>
              <w:bottom w:val="single" w:sz="4" w:color="BFC6CE"/>
              <w:right w:val="single" w:sz="4" w:color="BFC6CE"/>
            </w:tcBorders>
            <w:vAlign w:val="top"/>
            <w:shd w:val="clear" w:color="auto" w:fill="F2F5F7"/>
          </w:tcPr>
          <w:p>
            <w:r/>
            <w:r>
              <w:rPr>
                <w:sz w:val="19"/>
              </w:rPr>
              <w:t>4.4 IP — full vesting in Acme on creation</w:t>
            </w:r>
          </w:p>
        </w:tc>
        <w:tc>
          <w:tcPr>
            <w:tcW w:type="dxa" w:w="907"/>
            <w:tcBorders>
              <w:top w:val="single" w:sz="4" w:color="BFC6CE"/>
              <w:left w:val="single" w:sz="4" w:color="BFC6CE"/>
              <w:bottom w:val="single" w:sz="4" w:color="BFC6CE"/>
              <w:right w:val="single" w:sz="4" w:color="BFC6CE"/>
            </w:tcBorders>
            <w:vAlign w:val="top"/>
            <w:shd w:val="clear" w:color="auto" w:fill="F2F5F7"/>
          </w:tcPr>
          <w:p>
            <w:r/>
            <w:r>
              <w:rPr>
                <w:b/>
                <w:color w:val="C87A00"/>
                <w:sz w:val="19"/>
              </w:rPr>
              <w:t>AMBER</w:t>
            </w:r>
          </w:p>
        </w:tc>
        <w:tc>
          <w:tcPr>
            <w:tcW w:type="dxa" w:w="1474"/>
            <w:tcBorders>
              <w:top w:val="single" w:sz="4" w:color="BFC6CE"/>
              <w:left w:val="single" w:sz="4" w:color="BFC6CE"/>
              <w:bottom w:val="single" w:sz="4" w:color="BFC6CE"/>
              <w:right w:val="single" w:sz="4" w:color="BFC6CE"/>
            </w:tcBorders>
            <w:vAlign w:val="top"/>
            <w:shd w:val="clear" w:color="auto" w:fill="F2F5F7"/>
          </w:tcPr>
          <w:p>
            <w:r/>
            <w:r>
              <w:rPr>
                <w:sz w:val="19"/>
              </w:rPr>
              <w:t>NEGOTIATE</w:t>
            </w:r>
          </w:p>
        </w:tc>
        <w:tc>
          <w:tcPr>
            <w:tcW w:type="dxa" w:w="4535"/>
            <w:tcBorders>
              <w:top w:val="single" w:sz="4" w:color="BFC6CE"/>
              <w:left w:val="single" w:sz="4" w:color="BFC6CE"/>
              <w:bottom w:val="single" w:sz="4" w:color="BFC6CE"/>
              <w:right w:val="single" w:sz="4" w:color="BFC6CE"/>
            </w:tcBorders>
            <w:vAlign w:val="top"/>
            <w:shd w:val="clear" w:color="auto" w:fill="F2F5F7"/>
          </w:tcPr>
          <w:p>
            <w:r/>
            <w:r>
              <w:rPr>
                <w:sz w:val="19"/>
              </w:rPr>
              <w:t>Vendor retains ownership of work product; Acme receives a perpetual, irrevocable, royalty-free licence to use derivative works within its internal operations (Stark Industries precedent).</w:t>
            </w:r>
          </w:p>
        </w:tc>
      </w:tr>
      <w:tr>
        <w:tc>
          <w:tcPr>
            <w:tcW w:type="dxa" w:w="2721"/>
            <w:tcBorders>
              <w:top w:val="single" w:sz="4" w:color="BFC6CE"/>
              <w:left w:val="single" w:sz="4" w:color="BFC6CE"/>
              <w:bottom w:val="single" w:sz="4" w:color="BFC6CE"/>
              <w:right w:val="single" w:sz="4" w:color="BFC6CE"/>
            </w:tcBorders>
            <w:vAlign w:val="top"/>
          </w:tcPr>
          <w:p>
            <w:r/>
            <w:r>
              <w:rPr>
                <w:sz w:val="19"/>
              </w:rPr>
              <w:t>4.5 Subprocessors — per-engagement consent</w:t>
            </w:r>
          </w:p>
        </w:tc>
        <w:tc>
          <w:tcPr>
            <w:tcW w:type="dxa" w:w="907"/>
            <w:tcBorders>
              <w:top w:val="single" w:sz="4" w:color="BFC6CE"/>
              <w:left w:val="single" w:sz="4" w:color="BFC6CE"/>
              <w:bottom w:val="single" w:sz="4" w:color="BFC6CE"/>
              <w:right w:val="single" w:sz="4" w:color="BFC6CE"/>
            </w:tcBorders>
            <w:vAlign w:val="top"/>
          </w:tcPr>
          <w:p>
            <w:r/>
            <w:r>
              <w:rPr>
                <w:b/>
                <w:color w:val="B01C2E"/>
                <w:sz w:val="19"/>
              </w:rPr>
              <w:t>RED</w:t>
            </w:r>
          </w:p>
        </w:tc>
        <w:tc>
          <w:tcPr>
            <w:tcW w:type="dxa" w:w="1474"/>
            <w:tcBorders>
              <w:top w:val="single" w:sz="4" w:color="BFC6CE"/>
              <w:left w:val="single" w:sz="4" w:color="BFC6CE"/>
              <w:bottom w:val="single" w:sz="4" w:color="BFC6CE"/>
              <w:right w:val="single" w:sz="4" w:color="BFC6CE"/>
            </w:tcBorders>
            <w:vAlign w:val="top"/>
          </w:tcPr>
          <w:p>
            <w:r/>
            <w:r>
              <w:rPr>
                <w:sz w:val="19"/>
              </w:rPr>
              <w:t>REJECT (as drafted)</w:t>
            </w:r>
          </w:p>
        </w:tc>
        <w:tc>
          <w:tcPr>
            <w:tcW w:type="dxa" w:w="4535"/>
            <w:tcBorders>
              <w:top w:val="single" w:sz="4" w:color="BFC6CE"/>
              <w:left w:val="single" w:sz="4" w:color="BFC6CE"/>
              <w:bottom w:val="single" w:sz="4" w:color="BFC6CE"/>
              <w:right w:val="single" w:sz="4" w:color="BFC6CE"/>
            </w:tcBorders>
            <w:vAlign w:val="top"/>
          </w:tcPr>
          <w:p>
            <w:r/>
            <w:r>
              <w:rPr>
                <w:sz w:val="19"/>
              </w:rPr>
              <w:t>Published subprocessor list; 30 days' advance notice of material changes; Acme may object on reasonable grounds; consent not unreasonably withheld.</w:t>
            </w:r>
          </w:p>
        </w:tc>
      </w:tr>
    </w:tbl>
    <w:p>
      <w:pPr>
        <w:spacing w:after="80"/>
      </w:pPr>
      <w:r>
        <w:rPr>
          <w:b w:val="0"/>
          <w:i/>
          <w:color w:val="4A5568"/>
          <w:sz w:val="21"/>
        </w:rPr>
        <w:t>We will provide a complete redline against Acme's master agreement within five business days of shortlist notification. None of the three RED items above is a deal-blocker; each has a workable alternative that we have used with comparable enterprise customers.</w:t>
      </w:r>
    </w:p>
    <w:p>
      <w:pPr>
        <w:spacing w:before="240" w:after="120"/>
      </w:pPr>
      <w:r>
        <w:rPr>
          <w:rFonts w:ascii="Calibri" w:hAnsi="Calibri"/>
          <w:b/>
          <w:color w:val="0B2E4F"/>
          <w:sz w:val="40"/>
        </w:rPr>
        <w:t>6. Risks and How We Mitigate Them</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948"/>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Risk</w:t>
            </w:r>
          </w:p>
        </w:tc>
        <w:tc>
          <w:tcPr>
            <w:tcW w:type="dxa" w:w="1304"/>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Likelihood</w:t>
            </w:r>
          </w:p>
        </w:tc>
        <w:tc>
          <w:tcPr>
            <w:tcW w:type="dxa" w:w="1020"/>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Impact</w:t>
            </w:r>
          </w:p>
        </w:tc>
        <w:tc>
          <w:tcPr>
            <w:tcW w:type="dxa" w:w="4365"/>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Mitigation</w:t>
            </w:r>
          </w:p>
        </w:tc>
      </w:tr>
      <w:tr>
        <w:tc>
          <w:tcPr>
            <w:tcW w:type="dxa" w:w="2948"/>
            <w:tcBorders>
              <w:top w:val="single" w:sz="4" w:color="BFC6CE"/>
              <w:left w:val="single" w:sz="4" w:color="BFC6CE"/>
              <w:bottom w:val="single" w:sz="4" w:color="BFC6CE"/>
              <w:right w:val="single" w:sz="4" w:color="BFC6CE"/>
            </w:tcBorders>
            <w:vAlign w:val="top"/>
          </w:tcPr>
          <w:p>
            <w:r/>
            <w:r>
              <w:rPr>
                <w:sz w:val="19"/>
              </w:rPr>
              <w:t>Sub-100ms streaming-query latency not met for any hard real-time dashboards on live IoT telemetry.</w:t>
            </w:r>
          </w:p>
        </w:tc>
        <w:tc>
          <w:tcPr>
            <w:tcW w:type="dxa" w:w="1304"/>
            <w:tcBorders>
              <w:top w:val="single" w:sz="4" w:color="BFC6CE"/>
              <w:left w:val="single" w:sz="4" w:color="BFC6CE"/>
              <w:bottom w:val="single" w:sz="4" w:color="BFC6CE"/>
              <w:right w:val="single" w:sz="4" w:color="BFC6CE"/>
            </w:tcBorders>
            <w:vAlign w:val="top"/>
          </w:tcPr>
          <w:p>
            <w:r/>
            <w:r>
              <w:rPr>
                <w:sz w:val="19"/>
              </w:rPr>
              <w:t>Low</w:t>
            </w:r>
          </w:p>
        </w:tc>
        <w:tc>
          <w:tcPr>
            <w:tcW w:type="dxa" w:w="1020"/>
            <w:tcBorders>
              <w:top w:val="single" w:sz="4" w:color="BFC6CE"/>
              <w:left w:val="single" w:sz="4" w:color="BFC6CE"/>
              <w:bottom w:val="single" w:sz="4" w:color="BFC6CE"/>
              <w:right w:val="single" w:sz="4" w:color="BFC6CE"/>
            </w:tcBorders>
            <w:vAlign w:val="top"/>
          </w:tcPr>
          <w:p>
            <w:r/>
            <w:r>
              <w:rPr>
                <w:sz w:val="19"/>
              </w:rPr>
              <w:t>Medium</w:t>
            </w:r>
          </w:p>
        </w:tc>
        <w:tc>
          <w:tcPr>
            <w:tcW w:type="dxa" w:w="4365"/>
            <w:tcBorders>
              <w:top w:val="single" w:sz="4" w:color="BFC6CE"/>
              <w:left w:val="single" w:sz="4" w:color="BFC6CE"/>
              <w:bottom w:val="single" w:sz="4" w:color="BFC6CE"/>
              <w:right w:val="single" w:sz="4" w:color="BFC6CE"/>
            </w:tcBorders>
            <w:vAlign w:val="top"/>
          </w:tcPr>
          <w:p>
            <w:r/>
            <w:r>
              <w:rPr>
                <w:sz w:val="19"/>
              </w:rPr>
              <w:t>Separate ingest from query path: BTS-Synthetic absorbs 80K eps for analytics; a thin TSDB/edge tier (e.g., Azure Data Explorer) handles any sub-100ms alerting. We will confirm in discovery whether Acme has a hard sub-100ms dashboard SLA — the most likely answer is no.</w:t>
            </w:r>
          </w:p>
        </w:tc>
      </w:tr>
      <w:tr>
        <w:tc>
          <w:tcPr>
            <w:tcW w:type="dxa" w:w="2948"/>
            <w:tcBorders>
              <w:top w:val="single" w:sz="4" w:color="BFC6CE"/>
              <w:left w:val="single" w:sz="4" w:color="BFC6CE"/>
              <w:bottom w:val="single" w:sz="4" w:color="BFC6CE"/>
              <w:right w:val="single" w:sz="4" w:color="BFC6CE"/>
            </w:tcBorders>
            <w:vAlign w:val="top"/>
            <w:shd w:val="clear" w:color="auto" w:fill="F2F5F7"/>
          </w:tcPr>
          <w:p>
            <w:r/>
            <w:r>
              <w:rPr>
                <w:sz w:val="19"/>
              </w:rPr>
              <w:t>Scope creep during the multi-year Teradata decommission (through 2027).</w:t>
            </w:r>
          </w:p>
        </w:tc>
        <w:tc>
          <w:tcPr>
            <w:tcW w:type="dxa" w:w="1304"/>
            <w:tcBorders>
              <w:top w:val="single" w:sz="4" w:color="BFC6CE"/>
              <w:left w:val="single" w:sz="4" w:color="BFC6CE"/>
              <w:bottom w:val="single" w:sz="4" w:color="BFC6CE"/>
              <w:right w:val="single" w:sz="4" w:color="BFC6CE"/>
            </w:tcBorders>
            <w:vAlign w:val="top"/>
            <w:shd w:val="clear" w:color="auto" w:fill="F2F5F7"/>
          </w:tcPr>
          <w:p>
            <w:r/>
            <w:r>
              <w:rPr>
                <w:sz w:val="19"/>
              </w:rPr>
              <w:t>Medium</w:t>
            </w:r>
          </w:p>
        </w:tc>
        <w:tc>
          <w:tcPr>
            <w:tcW w:type="dxa" w:w="1020"/>
            <w:tcBorders>
              <w:top w:val="single" w:sz="4" w:color="BFC6CE"/>
              <w:left w:val="single" w:sz="4" w:color="BFC6CE"/>
              <w:bottom w:val="single" w:sz="4" w:color="BFC6CE"/>
              <w:right w:val="single" w:sz="4" w:color="BFC6CE"/>
            </w:tcBorders>
            <w:vAlign w:val="top"/>
            <w:shd w:val="clear" w:color="auto" w:fill="F2F5F7"/>
          </w:tcPr>
          <w:p>
            <w:r/>
            <w:r>
              <w:rPr>
                <w:sz w:val="19"/>
              </w:rPr>
              <w:t>High</w:t>
            </w:r>
          </w:p>
        </w:tc>
        <w:tc>
          <w:tcPr>
            <w:tcW w:type="dxa" w:w="4365"/>
            <w:tcBorders>
              <w:top w:val="single" w:sz="4" w:color="BFC6CE"/>
              <w:left w:val="single" w:sz="4" w:color="BFC6CE"/>
              <w:bottom w:val="single" w:sz="4" w:color="BFC6CE"/>
              <w:right w:val="single" w:sz="4" w:color="BFC6CE"/>
            </w:tcBorders>
            <w:vAlign w:val="top"/>
            <w:shd w:val="clear" w:color="auto" w:fill="F2F5F7"/>
          </w:tcPr>
          <w:p>
            <w:r/>
            <w:r>
              <w:rPr>
                <w:sz w:val="19"/>
              </w:rPr>
              <w:t>Anchor delivery to our 24-week multi-region/multi-source benchmark. Dedicated migration workstream with source-system prioritisation gates agreed before contract signature. Professional services scoped as a required line item, not optional.</w:t>
            </w:r>
          </w:p>
        </w:tc>
      </w:tr>
      <w:tr>
        <w:tc>
          <w:tcPr>
            <w:tcW w:type="dxa" w:w="2948"/>
            <w:tcBorders>
              <w:top w:val="single" w:sz="4" w:color="BFC6CE"/>
              <w:left w:val="single" w:sz="4" w:color="BFC6CE"/>
              <w:bottom w:val="single" w:sz="4" w:color="BFC6CE"/>
              <w:right w:val="single" w:sz="4" w:color="BFC6CE"/>
            </w:tcBorders>
            <w:vAlign w:val="top"/>
          </w:tcPr>
          <w:p>
            <w:r/>
            <w:r>
              <w:rPr>
                <w:sz w:val="19"/>
              </w:rPr>
              <w:t>Competitive pressure from Microsoft Fabric bundling within Acme's E5 estate.</w:t>
            </w:r>
          </w:p>
        </w:tc>
        <w:tc>
          <w:tcPr>
            <w:tcW w:type="dxa" w:w="1304"/>
            <w:tcBorders>
              <w:top w:val="single" w:sz="4" w:color="BFC6CE"/>
              <w:left w:val="single" w:sz="4" w:color="BFC6CE"/>
              <w:bottom w:val="single" w:sz="4" w:color="BFC6CE"/>
              <w:right w:val="single" w:sz="4" w:color="BFC6CE"/>
            </w:tcBorders>
            <w:vAlign w:val="top"/>
          </w:tcPr>
          <w:p>
            <w:r/>
            <w:r>
              <w:rPr>
                <w:sz w:val="19"/>
              </w:rPr>
              <w:t>High</w:t>
            </w:r>
          </w:p>
        </w:tc>
        <w:tc>
          <w:tcPr>
            <w:tcW w:type="dxa" w:w="1020"/>
            <w:tcBorders>
              <w:top w:val="single" w:sz="4" w:color="BFC6CE"/>
              <w:left w:val="single" w:sz="4" w:color="BFC6CE"/>
              <w:bottom w:val="single" w:sz="4" w:color="BFC6CE"/>
              <w:right w:val="single" w:sz="4" w:color="BFC6CE"/>
            </w:tcBorders>
            <w:vAlign w:val="top"/>
          </w:tcPr>
          <w:p>
            <w:r/>
            <w:r>
              <w:rPr>
                <w:sz w:val="19"/>
              </w:rPr>
              <w:t>Medium</w:t>
            </w:r>
          </w:p>
        </w:tc>
        <w:tc>
          <w:tcPr>
            <w:tcW w:type="dxa" w:w="4365"/>
            <w:tcBorders>
              <w:top w:val="single" w:sz="4" w:color="BFC6CE"/>
              <w:left w:val="single" w:sz="4" w:color="BFC6CE"/>
              <w:bottom w:val="single" w:sz="4" w:color="BFC6CE"/>
              <w:right w:val="single" w:sz="4" w:color="BFC6CE"/>
            </w:tcBorders>
            <w:vAlign w:val="top"/>
          </w:tcPr>
          <w:p>
            <w:r/>
            <w:r>
              <w:rPr>
                <w:sz w:val="19"/>
              </w:rPr>
              <w:t>Direct demonstration of real-time SLA gap and 280TB-scale lakehouse maturity (Initech Sensors precedent). Reframe "free with E5" as the total cost of being tethered to Microsoft's roadmap velocity.</w:t>
            </w:r>
          </w:p>
        </w:tc>
      </w:tr>
      <w:tr>
        <w:tc>
          <w:tcPr>
            <w:tcW w:type="dxa" w:w="2948"/>
            <w:tcBorders>
              <w:top w:val="single" w:sz="4" w:color="BFC6CE"/>
              <w:left w:val="single" w:sz="4" w:color="BFC6CE"/>
              <w:bottom w:val="single" w:sz="4" w:color="BFC6CE"/>
              <w:right w:val="single" w:sz="4" w:color="BFC6CE"/>
            </w:tcBorders>
            <w:vAlign w:val="top"/>
            <w:shd w:val="clear" w:color="auto" w:fill="F2F5F7"/>
          </w:tcPr>
          <w:p>
            <w:r/>
            <w:r>
              <w:rPr>
                <w:sz w:val="19"/>
              </w:rPr>
              <w:t>Inflation erosion over the 5-year horizon if escalators are refused.</w:t>
            </w:r>
          </w:p>
        </w:tc>
        <w:tc>
          <w:tcPr>
            <w:tcW w:type="dxa" w:w="1304"/>
            <w:tcBorders>
              <w:top w:val="single" w:sz="4" w:color="BFC6CE"/>
              <w:left w:val="single" w:sz="4" w:color="BFC6CE"/>
              <w:bottom w:val="single" w:sz="4" w:color="BFC6CE"/>
              <w:right w:val="single" w:sz="4" w:color="BFC6CE"/>
            </w:tcBorders>
            <w:vAlign w:val="top"/>
            <w:shd w:val="clear" w:color="auto" w:fill="F2F5F7"/>
          </w:tcPr>
          <w:p>
            <w:r/>
            <w:r>
              <w:rPr>
                <w:sz w:val="19"/>
              </w:rPr>
              <w:t>Medium</w:t>
            </w:r>
          </w:p>
        </w:tc>
        <w:tc>
          <w:tcPr>
            <w:tcW w:type="dxa" w:w="1020"/>
            <w:tcBorders>
              <w:top w:val="single" w:sz="4" w:color="BFC6CE"/>
              <w:left w:val="single" w:sz="4" w:color="BFC6CE"/>
              <w:bottom w:val="single" w:sz="4" w:color="BFC6CE"/>
              <w:right w:val="single" w:sz="4" w:color="BFC6CE"/>
            </w:tcBorders>
            <w:vAlign w:val="top"/>
            <w:shd w:val="clear" w:color="auto" w:fill="F2F5F7"/>
          </w:tcPr>
          <w:p>
            <w:r/>
            <w:r>
              <w:rPr>
                <w:sz w:val="19"/>
              </w:rPr>
              <w:t>Medium</w:t>
            </w:r>
          </w:p>
        </w:tc>
        <w:tc>
          <w:tcPr>
            <w:tcW w:type="dxa" w:w="4365"/>
            <w:tcBorders>
              <w:top w:val="single" w:sz="4" w:color="BFC6CE"/>
              <w:left w:val="single" w:sz="4" w:color="BFC6CE"/>
              <w:bottom w:val="single" w:sz="4" w:color="BFC6CE"/>
              <w:right w:val="single" w:sz="4" w:color="BFC6CE"/>
            </w:tcBorders>
            <w:vAlign w:val="top"/>
            <w:shd w:val="clear" w:color="auto" w:fill="F2F5F7"/>
          </w:tcPr>
          <w:p>
            <w:r/>
            <w:r>
              <w:rPr>
                <w:sz w:val="19"/>
              </w:rPr>
              <w:t>We have built a 3% CPI step-up into Years 4–5. If Acme insists on a flat 5-year price, we will quantify the real-terms margin erosion and adjust the Year 1 net ARR to compensate, or shorten the priced horizon.</w:t>
            </w:r>
          </w:p>
        </w:tc>
      </w:tr>
      <w:tr>
        <w:tc>
          <w:tcPr>
            <w:tcW w:type="dxa" w:w="2948"/>
            <w:tcBorders>
              <w:top w:val="single" w:sz="4" w:color="BFC6CE"/>
              <w:left w:val="single" w:sz="4" w:color="BFC6CE"/>
              <w:bottom w:val="single" w:sz="4" w:color="BFC6CE"/>
              <w:right w:val="single" w:sz="4" w:color="BFC6CE"/>
            </w:tcBorders>
            <w:vAlign w:val="top"/>
          </w:tcPr>
          <w:p>
            <w:r/>
            <w:r>
              <w:rPr>
                <w:sz w:val="19"/>
              </w:rPr>
              <w:t>Operational impossibility of per-engagement subprocessor consent at our delivery scale.</w:t>
            </w:r>
          </w:p>
        </w:tc>
        <w:tc>
          <w:tcPr>
            <w:tcW w:type="dxa" w:w="1304"/>
            <w:tcBorders>
              <w:top w:val="single" w:sz="4" w:color="BFC6CE"/>
              <w:left w:val="single" w:sz="4" w:color="BFC6CE"/>
              <w:bottom w:val="single" w:sz="4" w:color="BFC6CE"/>
              <w:right w:val="single" w:sz="4" w:color="BFC6CE"/>
            </w:tcBorders>
            <w:vAlign w:val="top"/>
          </w:tcPr>
          <w:p>
            <w:r/>
            <w:r>
              <w:rPr>
                <w:sz w:val="19"/>
              </w:rPr>
              <w:t>High (if accepted as drafted)</w:t>
            </w:r>
          </w:p>
        </w:tc>
        <w:tc>
          <w:tcPr>
            <w:tcW w:type="dxa" w:w="1020"/>
            <w:tcBorders>
              <w:top w:val="single" w:sz="4" w:color="BFC6CE"/>
              <w:left w:val="single" w:sz="4" w:color="BFC6CE"/>
              <w:bottom w:val="single" w:sz="4" w:color="BFC6CE"/>
              <w:right w:val="single" w:sz="4" w:color="BFC6CE"/>
            </w:tcBorders>
            <w:vAlign w:val="top"/>
          </w:tcPr>
          <w:p>
            <w:r/>
            <w:r>
              <w:rPr>
                <w:sz w:val="19"/>
              </w:rPr>
              <w:t>High</w:t>
            </w:r>
          </w:p>
        </w:tc>
        <w:tc>
          <w:tcPr>
            <w:tcW w:type="dxa" w:w="4365"/>
            <w:tcBorders>
              <w:top w:val="single" w:sz="4" w:color="BFC6CE"/>
              <w:left w:val="single" w:sz="4" w:color="BFC6CE"/>
              <w:bottom w:val="single" w:sz="4" w:color="BFC6CE"/>
              <w:right w:val="single" w:sz="4" w:color="BFC6CE"/>
            </w:tcBorders>
            <w:vAlign w:val="top"/>
          </w:tcPr>
          <w:p>
            <w:r/>
            <w:r>
              <w:rPr>
                <w:sz w:val="19"/>
              </w:rPr>
              <w:t>Counter to a published subprocessor list with 30-day notice and a reasonable-objection right (industry-standard pattern). This is non-negotiable from our side — we have explained why and provided the standard language.</w:t>
            </w:r>
          </w:p>
        </w:tc>
      </w:tr>
      <w:tr>
        <w:tc>
          <w:tcPr>
            <w:tcW w:type="dxa" w:w="2948"/>
            <w:tcBorders>
              <w:top w:val="single" w:sz="4" w:color="BFC6CE"/>
              <w:left w:val="single" w:sz="4" w:color="BFC6CE"/>
              <w:bottom w:val="single" w:sz="4" w:color="BFC6CE"/>
              <w:right w:val="single" w:sz="4" w:color="BFC6CE"/>
            </w:tcBorders>
            <w:vAlign w:val="top"/>
            <w:shd w:val="clear" w:color="auto" w:fill="F2F5F7"/>
          </w:tcPr>
          <w:p>
            <w:r/>
            <w:r>
              <w:rPr>
                <w:sz w:val="19"/>
              </w:rPr>
              <w:t>MFN clause creating downstream pricing contagion across our industrial book.</w:t>
            </w:r>
          </w:p>
        </w:tc>
        <w:tc>
          <w:tcPr>
            <w:tcW w:type="dxa" w:w="1304"/>
            <w:tcBorders>
              <w:top w:val="single" w:sz="4" w:color="BFC6CE"/>
              <w:left w:val="single" w:sz="4" w:color="BFC6CE"/>
              <w:bottom w:val="single" w:sz="4" w:color="BFC6CE"/>
              <w:right w:val="single" w:sz="4" w:color="BFC6CE"/>
            </w:tcBorders>
            <w:vAlign w:val="top"/>
            <w:shd w:val="clear" w:color="auto" w:fill="F2F5F7"/>
          </w:tcPr>
          <w:p>
            <w:r/>
            <w:r>
              <w:rPr>
                <w:sz w:val="19"/>
              </w:rPr>
              <w:t>Medium</w:t>
            </w:r>
          </w:p>
        </w:tc>
        <w:tc>
          <w:tcPr>
            <w:tcW w:type="dxa" w:w="1020"/>
            <w:tcBorders>
              <w:top w:val="single" w:sz="4" w:color="BFC6CE"/>
              <w:left w:val="single" w:sz="4" w:color="BFC6CE"/>
              <w:bottom w:val="single" w:sz="4" w:color="BFC6CE"/>
              <w:right w:val="single" w:sz="4" w:color="BFC6CE"/>
            </w:tcBorders>
            <w:vAlign w:val="top"/>
            <w:shd w:val="clear" w:color="auto" w:fill="F2F5F7"/>
          </w:tcPr>
          <w:p>
            <w:r/>
            <w:r>
              <w:rPr>
                <w:sz w:val="19"/>
              </w:rPr>
              <w:t>High</w:t>
            </w:r>
          </w:p>
        </w:tc>
        <w:tc>
          <w:tcPr>
            <w:tcW w:type="dxa" w:w="4365"/>
            <w:tcBorders>
              <w:top w:val="single" w:sz="4" w:color="BFC6CE"/>
              <w:left w:val="single" w:sz="4" w:color="BFC6CE"/>
              <w:bottom w:val="single" w:sz="4" w:color="BFC6CE"/>
              <w:right w:val="single" w:sz="4" w:color="BFC6CE"/>
            </w:tcBorders>
            <w:vAlign w:val="top"/>
            <w:shd w:val="clear" w:color="auto" w:fill="F2F5F7"/>
          </w:tcPr>
          <w:p>
            <w:r/>
            <w:r>
              <w:rPr>
                <w:sz w:val="19"/>
              </w:rPr>
              <w:t>Scope-limit MFN to comparable industry, deal size and term; sunset at end of initial term. We will not accept an unscoped or perpetual MFN.</w:t>
            </w:r>
          </w:p>
        </w:tc>
      </w:tr>
    </w:tbl>
    <w:p>
      <w:pPr>
        <w:spacing w:before="240" w:after="120"/>
      </w:pPr>
      <w:r>
        <w:rPr>
          <w:rFonts w:ascii="Calibri" w:hAnsi="Calibri"/>
          <w:b/>
          <w:color w:val="0B2E4F"/>
          <w:sz w:val="40"/>
        </w:rPr>
        <w:t>7. Implementation Outline</w:t>
      </w:r>
    </w:p>
    <w:p>
      <w:pPr>
        <w:spacing w:after="120"/>
      </w:pPr>
      <w:r>
        <w:rPr>
          <w:b w:val="0"/>
          <w:i w:val="0"/>
          <w:color w:val="1A1A1A"/>
          <w:sz w:val="21"/>
        </w:rPr>
        <w:t>We propose a four-phase, 24-week rollout to first full multi-region production, with the Teradata decommission running in parallel through the contractual horizon. Detailed milestones, dependencies and acceptance criteria will accompany the statement of work.</w:t>
      </w:r>
    </w:p>
    <w:tbl>
      <w:tblPr>
        <w:tblW w:type="auto" w:w="0"/>
        <w:jc w:val="center"/>
        <w:tblLayout w:type="fixed"/>
        <w:tblLook w:firstColumn="1" w:firstRow="1" w:lastColumn="0" w:lastRow="0" w:noHBand="0" w:noVBand="1" w:val="04A0"/>
      </w:tblPr>
      <w:tblGrid>
        <w:gridCol w:w="3324"/>
        <w:gridCol w:w="3324"/>
        <w:gridCol w:w="3324"/>
      </w:tblGrid>
      <w:tr>
        <w:tc>
          <w:tcPr>
            <w:tcW w:type="dxa" w:w="2551"/>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Phase</w:t>
            </w:r>
          </w:p>
        </w:tc>
        <w:tc>
          <w:tcPr>
            <w:tcW w:type="dxa" w:w="6236"/>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Scope</w:t>
            </w:r>
          </w:p>
        </w:tc>
        <w:tc>
          <w:tcPr>
            <w:tcW w:type="dxa" w:w="1417"/>
            <w:shd w:val="clear" w:color="auto" w:fill="0B2E4F"/>
            <w:tcBorders>
              <w:top w:val="single" w:sz="4" w:color="BFC6CE"/>
              <w:left w:val="single" w:sz="4" w:color="BFC6CE"/>
              <w:bottom w:val="single" w:sz="4" w:color="BFC6CE"/>
              <w:right w:val="single" w:sz="4" w:color="BFC6CE"/>
            </w:tcBorders>
            <w:vAlign w:val="center"/>
          </w:tcPr>
          <w:p>
            <w:r/>
            <w:r>
              <w:rPr>
                <w:b/>
                <w:color w:val="FFFFFF"/>
                <w:sz w:val="20"/>
              </w:rPr>
              <w:t>Weeks</w:t>
            </w:r>
          </w:p>
        </w:tc>
      </w:tr>
      <w:tr>
        <w:tc>
          <w:tcPr>
            <w:tcW w:type="dxa" w:w="2551"/>
            <w:tcBorders>
              <w:top w:val="single" w:sz="4" w:color="BFC6CE"/>
              <w:left w:val="single" w:sz="4" w:color="BFC6CE"/>
              <w:bottom w:val="single" w:sz="4" w:color="BFC6CE"/>
              <w:right w:val="single" w:sz="4" w:color="BFC6CE"/>
            </w:tcBorders>
            <w:vAlign w:val="top"/>
          </w:tcPr>
          <w:p>
            <w:r/>
            <w:r>
              <w:rPr>
                <w:sz w:val="19"/>
              </w:rPr>
              <w:t>Phase 1 — Foundation</w:t>
            </w:r>
          </w:p>
        </w:tc>
        <w:tc>
          <w:tcPr>
            <w:tcW w:type="dxa" w:w="6236"/>
            <w:tcBorders>
              <w:top w:val="single" w:sz="4" w:color="BFC6CE"/>
              <w:left w:val="single" w:sz="4" w:color="BFC6CE"/>
              <w:bottom w:val="single" w:sz="4" w:color="BFC6CE"/>
              <w:right w:val="single" w:sz="4" w:color="BFC6CE"/>
            </w:tcBorders>
            <w:vAlign w:val="top"/>
          </w:tcPr>
          <w:p>
            <w:r/>
            <w:r>
              <w:rPr>
                <w:sz w:val="19"/>
              </w:rPr>
              <w:t>Multi-region lakehouse (EU primary, US East secondary), Azure Blob integration, EU residency configuration, Power BI DirectQuery at scale, security/ABAC baseline.</w:t>
            </w:r>
          </w:p>
        </w:tc>
        <w:tc>
          <w:tcPr>
            <w:tcW w:type="dxa" w:w="1417"/>
            <w:tcBorders>
              <w:top w:val="single" w:sz="4" w:color="BFC6CE"/>
              <w:left w:val="single" w:sz="4" w:color="BFC6CE"/>
              <w:bottom w:val="single" w:sz="4" w:color="BFC6CE"/>
              <w:right w:val="single" w:sz="4" w:color="BFC6CE"/>
            </w:tcBorders>
            <w:vAlign w:val="top"/>
          </w:tcPr>
          <w:p>
            <w:r/>
            <w:r>
              <w:rPr>
                <w:sz w:val="19"/>
              </w:rPr>
              <w:t>1–8</w:t>
            </w:r>
          </w:p>
        </w:tc>
      </w:tr>
      <w:tr>
        <w:tc>
          <w:tcPr>
            <w:tcW w:type="dxa" w:w="2551"/>
            <w:tcBorders>
              <w:top w:val="single" w:sz="4" w:color="BFC6CE"/>
              <w:left w:val="single" w:sz="4" w:color="BFC6CE"/>
              <w:bottom w:val="single" w:sz="4" w:color="BFC6CE"/>
              <w:right w:val="single" w:sz="4" w:color="BFC6CE"/>
            </w:tcBorders>
            <w:vAlign w:val="top"/>
            <w:shd w:val="clear" w:color="auto" w:fill="F2F5F7"/>
          </w:tcPr>
          <w:p>
            <w:r/>
            <w:r>
              <w:rPr>
                <w:sz w:val="19"/>
              </w:rPr>
              <w:t>Phase 2 — Core Workloads</w:t>
            </w:r>
          </w:p>
        </w:tc>
        <w:tc>
          <w:tcPr>
            <w:tcW w:type="dxa" w:w="6236"/>
            <w:tcBorders>
              <w:top w:val="single" w:sz="4" w:color="BFC6CE"/>
              <w:left w:val="single" w:sz="4" w:color="BFC6CE"/>
              <w:bottom w:val="single" w:sz="4" w:color="BFC6CE"/>
              <w:right w:val="single" w:sz="4" w:color="BFC6CE"/>
            </w:tcBorders>
            <w:vAlign w:val="top"/>
            <w:shd w:val="clear" w:color="auto" w:fill="F2F5F7"/>
          </w:tcPr>
          <w:p>
            <w:r/>
            <w:r>
              <w:rPr>
                <w:sz w:val="19"/>
              </w:rPr>
              <w:t>Real-time IoT streaming (Kafka), top 10–15 batch ETL sources, self-service data prep onboarded for the data-engineering team, first BI dashboards live.</w:t>
            </w:r>
          </w:p>
        </w:tc>
        <w:tc>
          <w:tcPr>
            <w:tcW w:type="dxa" w:w="1417"/>
            <w:tcBorders>
              <w:top w:val="single" w:sz="4" w:color="BFC6CE"/>
              <w:left w:val="single" w:sz="4" w:color="BFC6CE"/>
              <w:bottom w:val="single" w:sz="4" w:color="BFC6CE"/>
              <w:right w:val="single" w:sz="4" w:color="BFC6CE"/>
            </w:tcBorders>
            <w:vAlign w:val="top"/>
            <w:shd w:val="clear" w:color="auto" w:fill="F2F5F7"/>
          </w:tcPr>
          <w:p>
            <w:r/>
            <w:r>
              <w:rPr>
                <w:sz w:val="19"/>
              </w:rPr>
              <w:t>9–16</w:t>
            </w:r>
          </w:p>
        </w:tc>
      </w:tr>
      <w:tr>
        <w:tc>
          <w:tcPr>
            <w:tcW w:type="dxa" w:w="2551"/>
            <w:tcBorders>
              <w:top w:val="single" w:sz="4" w:color="BFC6CE"/>
              <w:left w:val="single" w:sz="4" w:color="BFC6CE"/>
              <w:bottom w:val="single" w:sz="4" w:color="BFC6CE"/>
              <w:right w:val="single" w:sz="4" w:color="BFC6CE"/>
            </w:tcBorders>
            <w:vAlign w:val="top"/>
          </w:tcPr>
          <w:p>
            <w:r/>
            <w:r>
              <w:rPr>
                <w:sz w:val="19"/>
              </w:rPr>
              <w:t>Phase 3 — Full Migration</w:t>
            </w:r>
          </w:p>
        </w:tc>
        <w:tc>
          <w:tcPr>
            <w:tcW w:type="dxa" w:w="6236"/>
            <w:tcBorders>
              <w:top w:val="single" w:sz="4" w:color="BFC6CE"/>
              <w:left w:val="single" w:sz="4" w:color="BFC6CE"/>
              <w:bottom w:val="single" w:sz="4" w:color="BFC6CE"/>
              <w:right w:val="single" w:sz="4" w:color="BFC6CE"/>
            </w:tcBorders>
            <w:vAlign w:val="top"/>
          </w:tcPr>
          <w:p>
            <w:r/>
            <w:r>
              <w:rPr>
                <w:sz w:val="19"/>
              </w:rPr>
              <w:t>Remaining 30+ batch sources, Teradata migration (ANSI SQL portability + data validation), all 600 analysts onboarded to Power BI on the new platform.</w:t>
            </w:r>
          </w:p>
        </w:tc>
        <w:tc>
          <w:tcPr>
            <w:tcW w:type="dxa" w:w="1417"/>
            <w:tcBorders>
              <w:top w:val="single" w:sz="4" w:color="BFC6CE"/>
              <w:left w:val="single" w:sz="4" w:color="BFC6CE"/>
              <w:bottom w:val="single" w:sz="4" w:color="BFC6CE"/>
              <w:right w:val="single" w:sz="4" w:color="BFC6CE"/>
            </w:tcBorders>
            <w:vAlign w:val="top"/>
          </w:tcPr>
          <w:p>
            <w:r/>
            <w:r>
              <w:rPr>
                <w:sz w:val="19"/>
              </w:rPr>
              <w:t>17–24</w:t>
            </w:r>
          </w:p>
        </w:tc>
      </w:tr>
      <w:tr>
        <w:tc>
          <w:tcPr>
            <w:tcW w:type="dxa" w:w="2551"/>
            <w:tcBorders>
              <w:top w:val="single" w:sz="4" w:color="BFC6CE"/>
              <w:left w:val="single" w:sz="4" w:color="BFC6CE"/>
              <w:bottom w:val="single" w:sz="4" w:color="BFC6CE"/>
              <w:right w:val="single" w:sz="4" w:color="BFC6CE"/>
            </w:tcBorders>
            <w:vAlign w:val="top"/>
            <w:shd w:val="clear" w:color="auto" w:fill="F2F5F7"/>
          </w:tcPr>
          <w:p>
            <w:r/>
            <w:r>
              <w:rPr>
                <w:sz w:val="19"/>
              </w:rPr>
              <w:t>Phase 4 — ML Readiness</w:t>
            </w:r>
          </w:p>
        </w:tc>
        <w:tc>
          <w:tcPr>
            <w:tcW w:type="dxa" w:w="6236"/>
            <w:tcBorders>
              <w:top w:val="single" w:sz="4" w:color="BFC6CE"/>
              <w:left w:val="single" w:sz="4" w:color="BFC6CE"/>
              <w:bottom w:val="single" w:sz="4" w:color="BFC6CE"/>
              <w:right w:val="single" w:sz="4" w:color="BFC6CE"/>
            </w:tcBorders>
            <w:vAlign w:val="top"/>
            <w:shd w:val="clear" w:color="auto" w:fill="F2F5F7"/>
          </w:tcPr>
          <w:p>
            <w:r/>
            <w:r>
              <w:rPr>
                <w:sz w:val="19"/>
              </w:rPr>
              <w:t>Feature store, model registry and predictive-maintenance pipeline scaffolding, ready when Acme's ML team is.</w:t>
            </w:r>
          </w:p>
        </w:tc>
        <w:tc>
          <w:tcPr>
            <w:tcW w:type="dxa" w:w="1417"/>
            <w:tcBorders>
              <w:top w:val="single" w:sz="4" w:color="BFC6CE"/>
              <w:left w:val="single" w:sz="4" w:color="BFC6CE"/>
              <w:bottom w:val="single" w:sz="4" w:color="BFC6CE"/>
              <w:right w:val="single" w:sz="4" w:color="BFC6CE"/>
            </w:tcBorders>
            <w:vAlign w:val="top"/>
            <w:shd w:val="clear" w:color="auto" w:fill="F2F5F7"/>
          </w:tcPr>
          <w:p>
            <w:r/>
            <w:r>
              <w:rPr>
                <w:sz w:val="19"/>
              </w:rPr>
              <w:t>Post-week 24, on Acme's roadmap</w:t>
            </w:r>
          </w:p>
        </w:tc>
      </w:tr>
    </w:tbl>
    <w:p>
      <w:pPr>
        <w:spacing w:before="240" w:after="120"/>
      </w:pPr>
      <w:r>
        <w:rPr>
          <w:rFonts w:ascii="Calibri" w:hAnsi="Calibri"/>
          <w:b/>
          <w:color w:val="0B2E4F"/>
          <w:sz w:val="40"/>
        </w:rPr>
        <w:t>8. Next Steps</w:t>
      </w:r>
    </w:p>
    <w:p>
      <w:pPr>
        <w:pStyle w:val="ListBullet"/>
        <w:spacing w:after="40"/>
      </w:pPr>
      <w:r>
        <w:rPr>
          <w:b/>
          <w:sz w:val="21"/>
        </w:rPr>
        <w:t>1.</w:t>
      </w:r>
      <w:r>
        <w:rPr>
          <w:sz w:val="21"/>
        </w:rPr>
        <w:t xml:space="preserve"> Joint discovery session on real-time dashboard latency requirements (1 week post-shortlist).</w:t>
      </w:r>
    </w:p>
    <w:p>
      <w:pPr>
        <w:pStyle w:val="ListBullet"/>
        <w:spacing w:after="40"/>
      </w:pPr>
      <w:r>
        <w:rPr>
          <w:b/>
          <w:sz w:val="21"/>
        </w:rPr>
        <w:t>2.</w:t>
      </w:r>
      <w:r>
        <w:rPr>
          <w:sz w:val="21"/>
        </w:rPr>
        <w:t xml:space="preserve"> Reference calls with Initech Sensors and Globex Manufacturing — both directly comparable, both willing to speak.</w:t>
      </w:r>
    </w:p>
    <w:p>
      <w:pPr>
        <w:pStyle w:val="ListBullet"/>
        <w:spacing w:after="40"/>
      </w:pPr>
      <w:r>
        <w:rPr>
          <w:b/>
          <w:sz w:val="21"/>
        </w:rPr>
        <w:t>3.</w:t>
      </w:r>
      <w:r>
        <w:rPr>
          <w:sz w:val="21"/>
        </w:rPr>
        <w:t xml:space="preserve"> Redline against Acme's master agreement within five business days of shortlist notification.</w:t>
      </w:r>
    </w:p>
    <w:p>
      <w:pPr>
        <w:pStyle w:val="ListBullet"/>
        <w:spacing w:after="40"/>
      </w:pPr>
      <w:r>
        <w:rPr>
          <w:b/>
          <w:sz w:val="21"/>
        </w:rPr>
        <w:t>4.</w:t>
      </w:r>
      <w:r>
        <w:rPr>
          <w:sz w:val="21"/>
        </w:rPr>
        <w:t xml:space="preserve"> Capability Matrix attachment submitted alongside this response.</w:t>
      </w:r>
    </w:p>
    <w:p>
      <w:pPr>
        <w:pStyle w:val="ListBullet"/>
        <w:spacing w:after="40"/>
      </w:pPr>
      <w:r>
        <w:rPr>
          <w:b/>
          <w:sz w:val="21"/>
        </w:rPr>
        <w:t>5.</w:t>
      </w:r>
      <w:r>
        <w:rPr>
          <w:sz w:val="21"/>
        </w:rPr>
        <w:t xml:space="preserve"> Single point of commercial contact: BTS-Synthetic Deal Desk (deals@bts-synthetic.example).</w:t>
      </w:r>
    </w:p>
    <w:p/>
    <w:p>
      <w:pPr>
        <w:pBdr>
          <w:bottom w:val="single" w:sz="6" w:color="008E9B"/>
        </w:pBdr>
      </w:pPr>
    </w:p>
    <w:p>
      <w:pPr>
        <w:jc w:val="center"/>
      </w:pPr>
      <w:r>
        <w:rPr>
          <w:i/>
          <w:color w:val="4A5568"/>
          <w:sz w:val="17"/>
        </w:rPr>
        <w:t>BTS-Synthetic  ·  Confidential — prepared exclusively for Acme Corp  ·  26 May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