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746"/>
      </w:tblGrid>
      <w:tr w:rsidR="00670EFC" w14:paraId="531BB81D" w14:textId="77777777">
        <w:tc>
          <w:tcPr>
            <w:tcW w:w="9746" w:type="dxa"/>
            <w:shd w:val="clear" w:color="auto" w:fill="1F3A5F"/>
          </w:tcPr>
          <w:p w14:paraId="69597BAA" w14:textId="77777777" w:rsidR="00670EFC" w:rsidRDefault="00000000">
            <w:r>
              <w:rPr>
                <w:b/>
                <w:color w:val="FFFFFF"/>
                <w:sz w:val="32"/>
              </w:rPr>
              <w:t xml:space="preserve">  BTS-SYNTHETIC</w:t>
            </w:r>
          </w:p>
          <w:p w14:paraId="28EA236B" w14:textId="77777777" w:rsidR="00670EFC" w:rsidRDefault="00670EFC"/>
          <w:p w14:paraId="395D809C" w14:textId="77777777" w:rsidR="00670EFC" w:rsidRDefault="00000000">
            <w:pPr>
              <w:spacing w:after="40"/>
            </w:pPr>
            <w:r>
              <w:rPr>
                <w:color w:val="FFFFFF"/>
                <w:sz w:val="20"/>
              </w:rPr>
              <w:t xml:space="preserve">  Enterprise Data Platform · Deal Desk Response</w:t>
            </w:r>
          </w:p>
        </w:tc>
      </w:tr>
    </w:tbl>
    <w:p w14:paraId="69730966" w14:textId="77777777" w:rsidR="00670EFC" w:rsidRDefault="00670EFC"/>
    <w:p w14:paraId="7D3C783A" w14:textId="77777777" w:rsidR="00670EFC" w:rsidRDefault="00670EFC"/>
    <w:p w14:paraId="13DD31AC" w14:textId="77777777" w:rsidR="00670EFC" w:rsidRDefault="00670EFC"/>
    <w:p w14:paraId="27C75CD7" w14:textId="77777777" w:rsidR="00670EFC" w:rsidRDefault="00670EFC"/>
    <w:p w14:paraId="26417747" w14:textId="77777777" w:rsidR="00670EFC" w:rsidRDefault="00670EFC"/>
    <w:p w14:paraId="3889AA19" w14:textId="77777777" w:rsidR="00670EFC" w:rsidRDefault="00670EFC"/>
    <w:p w14:paraId="144F499E" w14:textId="77777777" w:rsidR="00670EFC" w:rsidRDefault="00000000">
      <w:pPr>
        <w:spacing w:after="80"/>
      </w:pPr>
      <w:r>
        <w:rPr>
          <w:b/>
          <w:color w:val="C8821A"/>
          <w:sz w:val="24"/>
        </w:rPr>
        <w:t>PROPOSAL</w:t>
      </w:r>
    </w:p>
    <w:p w14:paraId="40C7DF48" w14:textId="77777777" w:rsidR="00670EFC" w:rsidRDefault="00000000">
      <w:pPr>
        <w:spacing w:after="80"/>
      </w:pPr>
      <w:r>
        <w:rPr>
          <w:b/>
          <w:color w:val="1F3A5F"/>
          <w:sz w:val="56"/>
        </w:rPr>
        <w:t>Enterprise Data Platform for Acme Corp</w:t>
      </w:r>
    </w:p>
    <w:p w14:paraId="4ECD9F6D" w14:textId="77777777" w:rsidR="00670EFC" w:rsidRDefault="00000000">
      <w:pPr>
        <w:spacing w:after="480"/>
      </w:pPr>
      <w:r>
        <w:rPr>
          <w:i/>
          <w:sz w:val="26"/>
        </w:rPr>
        <w:t>A Power BI–native lakehouse on open formats — phased Teradata exit by 2027, EU-sovereign by design, five-year fixed cost.</w:t>
      </w:r>
    </w:p>
    <w:tbl>
      <w:tblPr>
        <w:tblW w:w="0" w:type="auto"/>
        <w:tblLook w:val="04A0" w:firstRow="1" w:lastRow="0" w:firstColumn="1" w:lastColumn="0" w:noHBand="0" w:noVBand="1"/>
      </w:tblPr>
      <w:tblGrid>
        <w:gridCol w:w="2835"/>
        <w:gridCol w:w="6803"/>
      </w:tblGrid>
      <w:tr w:rsidR="00670EFC" w14:paraId="55BA121A" w14:textId="77777777">
        <w:tc>
          <w:tcPr>
            <w:tcW w:w="2835" w:type="dxa"/>
            <w:shd w:val="clear" w:color="auto" w:fill="ECEFF3"/>
          </w:tcPr>
          <w:p w14:paraId="416A035F" w14:textId="77777777" w:rsidR="00670EFC" w:rsidRDefault="00000000">
            <w:r>
              <w:rPr>
                <w:b/>
                <w:color w:val="1F3A5F"/>
                <w:sz w:val="20"/>
              </w:rPr>
              <w:t>Submitted to</w:t>
            </w:r>
          </w:p>
        </w:tc>
        <w:tc>
          <w:tcPr>
            <w:tcW w:w="6803" w:type="dxa"/>
          </w:tcPr>
          <w:p w14:paraId="1B102722" w14:textId="77777777" w:rsidR="00670EFC" w:rsidRDefault="00000000">
            <w:r>
              <w:rPr>
                <w:sz w:val="20"/>
              </w:rPr>
              <w:t>Acme Corp — Procurement Office</w:t>
            </w:r>
          </w:p>
        </w:tc>
      </w:tr>
      <w:tr w:rsidR="00670EFC" w14:paraId="5CE2B78C" w14:textId="77777777">
        <w:tc>
          <w:tcPr>
            <w:tcW w:w="2835" w:type="dxa"/>
            <w:shd w:val="clear" w:color="auto" w:fill="ECEFF3"/>
          </w:tcPr>
          <w:p w14:paraId="5E55459C" w14:textId="77777777" w:rsidR="00670EFC" w:rsidRDefault="00000000">
            <w:r>
              <w:rPr>
                <w:b/>
                <w:color w:val="1F3A5F"/>
                <w:sz w:val="20"/>
              </w:rPr>
              <w:t>Attention</w:t>
            </w:r>
          </w:p>
        </w:tc>
        <w:tc>
          <w:tcPr>
            <w:tcW w:w="6803" w:type="dxa"/>
          </w:tcPr>
          <w:p w14:paraId="085C6D88" w14:textId="77777777" w:rsidR="00670EFC" w:rsidRDefault="00000000">
            <w:r>
              <w:rPr>
                <w:sz w:val="20"/>
              </w:rPr>
              <w:t>Sarah Chen, VP Procurement · Marcus Webb, Chief Data Officer</w:t>
            </w:r>
          </w:p>
        </w:tc>
      </w:tr>
      <w:tr w:rsidR="00670EFC" w14:paraId="512D9B2C" w14:textId="77777777">
        <w:tc>
          <w:tcPr>
            <w:tcW w:w="2835" w:type="dxa"/>
            <w:shd w:val="clear" w:color="auto" w:fill="ECEFF3"/>
          </w:tcPr>
          <w:p w14:paraId="00A85818" w14:textId="77777777" w:rsidR="00670EFC" w:rsidRDefault="00000000">
            <w:r>
              <w:rPr>
                <w:b/>
                <w:color w:val="1F3A5F"/>
                <w:sz w:val="20"/>
              </w:rPr>
              <w:t>RFP reference</w:t>
            </w:r>
          </w:p>
        </w:tc>
        <w:tc>
          <w:tcPr>
            <w:tcW w:w="6803" w:type="dxa"/>
          </w:tcPr>
          <w:p w14:paraId="55484937" w14:textId="77777777" w:rsidR="00670EFC" w:rsidRDefault="00000000">
            <w:r>
              <w:rPr>
                <w:sz w:val="20"/>
              </w:rPr>
              <w:t>Acme Corp Enterprise Data Platform RFP, issued 2026-05-12</w:t>
            </w:r>
          </w:p>
        </w:tc>
      </w:tr>
      <w:tr w:rsidR="00670EFC" w14:paraId="4731C083" w14:textId="77777777">
        <w:tc>
          <w:tcPr>
            <w:tcW w:w="2835" w:type="dxa"/>
            <w:shd w:val="clear" w:color="auto" w:fill="ECEFF3"/>
          </w:tcPr>
          <w:p w14:paraId="5DA6C445" w14:textId="77777777" w:rsidR="00670EFC" w:rsidRDefault="00000000">
            <w:r>
              <w:rPr>
                <w:b/>
                <w:color w:val="1F3A5F"/>
                <w:sz w:val="20"/>
              </w:rPr>
              <w:t>Submission date</w:t>
            </w:r>
          </w:p>
        </w:tc>
        <w:tc>
          <w:tcPr>
            <w:tcW w:w="6803" w:type="dxa"/>
          </w:tcPr>
          <w:p w14:paraId="61C46A60" w14:textId="77777777" w:rsidR="00670EFC" w:rsidRDefault="00000000">
            <w:r>
              <w:rPr>
                <w:sz w:val="20"/>
              </w:rPr>
              <w:t>2026-05-26</w:t>
            </w:r>
          </w:p>
        </w:tc>
      </w:tr>
    </w:tbl>
    <w:p w14:paraId="5AB3410C" w14:textId="77777777" w:rsidR="00670EFC" w:rsidRDefault="00670EFC"/>
    <w:p w14:paraId="29D352EF" w14:textId="77777777" w:rsidR="00670EFC" w:rsidRDefault="00670EFC"/>
    <w:p w14:paraId="2B21720B" w14:textId="77777777" w:rsidR="00670EFC" w:rsidRDefault="00000000">
      <w:pPr>
        <w:spacing w:after="120"/>
      </w:pPr>
      <w:r>
        <w:rPr>
          <w:color w:val="C8821A"/>
          <w:sz w:val="20"/>
        </w:rPr>
        <w:t>From: BTS-Synthetic · Deal Desk · proposals@bts-synthetic.example</w:t>
      </w:r>
    </w:p>
    <w:p w14:paraId="3D20D3F5" w14:textId="77777777" w:rsidR="00670EFC" w:rsidRDefault="00000000">
      <w:pPr>
        <w:spacing w:after="120"/>
      </w:pPr>
      <w:r>
        <w:rPr>
          <w:i/>
          <w:sz w:val="18"/>
        </w:rPr>
        <w:t>Confidential — prepared for Acme Corp evaluation. Not for redistribution.</w:t>
      </w:r>
    </w:p>
    <w:p w14:paraId="2F702E2E" w14:textId="77777777" w:rsidR="00670EFC" w:rsidRDefault="00000000">
      <w:r>
        <w:br w:type="page"/>
      </w:r>
    </w:p>
    <w:p w14:paraId="7DA85BD2" w14:textId="77777777" w:rsidR="00670EFC" w:rsidRDefault="00000000">
      <w:pPr>
        <w:pStyle w:val="Heading1"/>
      </w:pPr>
      <w:r>
        <w:lastRenderedPageBreak/>
        <w:t>1. Executive Summary</w:t>
      </w:r>
    </w:p>
    <w:tbl>
      <w:tblPr>
        <w:tblW w:w="0" w:type="auto"/>
        <w:tblLook w:val="04A0" w:firstRow="1" w:lastRow="0" w:firstColumn="1" w:lastColumn="0" w:noHBand="0" w:noVBand="1"/>
      </w:tblPr>
      <w:tblGrid>
        <w:gridCol w:w="9746"/>
      </w:tblGrid>
      <w:tr w:rsidR="00670EFC" w14:paraId="6C92A8A9" w14:textId="77777777">
        <w:tc>
          <w:tcPr>
            <w:tcW w:w="9746" w:type="dxa"/>
            <w:tcBorders>
              <w:left w:val="single" w:sz="24" w:space="0" w:color="C8821A"/>
            </w:tcBorders>
            <w:shd w:val="clear" w:color="auto" w:fill="FFF8EC"/>
          </w:tcPr>
          <w:p w14:paraId="3ED78193" w14:textId="77777777" w:rsidR="00670EFC" w:rsidRDefault="00000000">
            <w:pPr>
              <w:spacing w:before="80" w:after="80"/>
            </w:pPr>
            <w:r>
              <w:rPr>
                <w:b/>
                <w:i/>
                <w:color w:val="1F3A5F"/>
              </w:rPr>
              <w:t>Acme keeps its 600 Power BI users on the interface they know, retires Teradata on schedule, fixes its data-platform cost for five years, and walks away on open formats whenever Acme chooses. That is the offer.</w:t>
            </w:r>
          </w:p>
        </w:tc>
      </w:tr>
    </w:tbl>
    <w:p w14:paraId="515D4771" w14:textId="77777777" w:rsidR="00670EFC" w:rsidRDefault="00670EFC"/>
    <w:p w14:paraId="028A9132" w14:textId="77777777" w:rsidR="00670EFC" w:rsidRDefault="00000000">
      <w:pPr>
        <w:pStyle w:val="Heading3"/>
      </w:pPr>
      <w:r>
        <w:t>Acme — the situation as Acme described it</w:t>
      </w:r>
    </w:p>
    <w:p w14:paraId="18F0E829" w14:textId="77777777" w:rsidR="00670EFC" w:rsidRDefault="00000000">
      <w:pPr>
        <w:spacing w:after="120"/>
      </w:pPr>
      <w:r>
        <w:t>Acme Corp operates 18 countries, ~$1.4B revenue, an Azure-first IT estate, 280 TB of analytics data growing at 12 TB per month, and a 40,000-device IoT fleet pushing a peak 80,000 events per second. Teradata must be decommissioned through 2027. Power BI is non-negotiable — 600 users today (RFP §2.3). EU customer data must stay in the EU (RFP §2.3). Functional fit, commercial terms, and five-year TCO together account for 75% of evaluation scoring (RFP §5).</w:t>
      </w:r>
    </w:p>
    <w:p w14:paraId="6D071AD3" w14:textId="77777777" w:rsidR="00670EFC" w:rsidRDefault="00000000">
      <w:pPr>
        <w:pStyle w:val="Heading3"/>
      </w:pPr>
      <w:r>
        <w:t>Acme — what Acme must achieve</w:t>
      </w:r>
    </w:p>
    <w:p w14:paraId="449D0EC2" w14:textId="77777777" w:rsidR="00670EFC" w:rsidRDefault="00000000">
      <w:pPr>
        <w:pStyle w:val="ListBullet"/>
        <w:spacing w:after="40"/>
        <w:ind w:left="340"/>
      </w:pPr>
      <w:r>
        <w:t>Retire Teradata by 2027 without a forklift cutover that risks the manufacturing calendar in Mexico, Vietnam and Romania.</w:t>
      </w:r>
    </w:p>
    <w:p w14:paraId="584BF6ED" w14:textId="77777777" w:rsidR="00670EFC" w:rsidRDefault="00000000">
      <w:pPr>
        <w:pStyle w:val="ListBullet"/>
        <w:spacing w:after="40"/>
        <w:ind w:left="340"/>
      </w:pPr>
      <w:r>
        <w:t>Modernise analytics without disrupting the 600 Power BI users or trading one form of vendor lock-in for another.</w:t>
      </w:r>
    </w:p>
    <w:p w14:paraId="754CC2C1" w14:textId="77777777" w:rsidR="00670EFC" w:rsidRDefault="00000000">
      <w:pPr>
        <w:pStyle w:val="ListBullet"/>
        <w:spacing w:after="40"/>
        <w:ind w:left="340"/>
      </w:pPr>
      <w:r>
        <w:t>Fix five-year total cost at signature — no escalators, no compute-creep — so the Acme CFO can budget Year 2 and Year 5 with the same confidence as Year 1.</w:t>
      </w:r>
    </w:p>
    <w:p w14:paraId="1CD84C18" w14:textId="77777777" w:rsidR="00670EFC" w:rsidRDefault="00000000">
      <w:pPr>
        <w:pStyle w:val="Heading3"/>
      </w:pPr>
      <w:r>
        <w:t>The solution Acme is being offered</w:t>
      </w:r>
    </w:p>
    <w:p w14:paraId="30EBF070" w14:textId="77777777" w:rsidR="00670EFC" w:rsidRDefault="00000000">
      <w:pPr>
        <w:spacing w:after="120"/>
      </w:pPr>
      <w:r>
        <w:t>A lakehouse platform deployed on Acme's own Azure tenancy in the EU primary region with US East secondary, storing data natively in open Delta, Iceberg and Parquet formats. A dedicated Power BI DirectQuery adapter — the most mature integration in this category — drops underneath the existing Power BI estate on day one with no analyst retraining. A phased Teradata-overlay migration model runs source-by-source in parallel with production, cutting over only when each source passes golden-record validation. Per-table residency pinning, BYO Azure storage in Acme's tenancy, and an optional self-hosted tier deliver EU sovereignty as a technical control, not a procedural one. The entire five-year cost is fixed at signature.</w:t>
      </w:r>
    </w:p>
    <w:p w14:paraId="6673C99C" w14:textId="77777777" w:rsidR="00670EFC" w:rsidRDefault="00000000">
      <w:pPr>
        <w:pStyle w:val="Heading3"/>
      </w:pPr>
      <w:r>
        <w:t>Proof — comparable customers, named</w:t>
      </w:r>
    </w:p>
    <w:p w14:paraId="030A461C" w14:textId="77777777" w:rsidR="00670EFC" w:rsidRDefault="00000000">
      <w:pPr>
        <w:pStyle w:val="ListBullet"/>
        <w:spacing w:after="40"/>
        <w:ind w:left="340"/>
      </w:pPr>
      <w:r>
        <w:t>Initech Sensors (Industrial / IoT, 2025) — closest profile match to Acme: 600+ analyst Power BI estate, Azure footprint, IoT ingest. Selected this platform over a licence-bundled alternative on real-time performance and open-format portability. Two-year contract; reference available.</w:t>
      </w:r>
    </w:p>
    <w:p w14:paraId="3C304AE2" w14:textId="77777777" w:rsidR="00670EFC" w:rsidRDefault="00000000">
      <w:pPr>
        <w:pStyle w:val="ListBullet"/>
        <w:spacing w:after="40"/>
        <w:ind w:left="340"/>
      </w:pPr>
      <w:r>
        <w:t>Globex Manufacturing (Industrial, 2025) — beat a consumption-metered incumbent on actual three-year workload TCO at heavy-unstructured profile. Three-year contract; reference available.</w:t>
      </w:r>
    </w:p>
    <w:p w14:paraId="23B5881D" w14:textId="77777777" w:rsidR="00670EFC" w:rsidRDefault="00000000">
      <w:pPr>
        <w:pStyle w:val="ListBullet"/>
        <w:spacing w:after="40"/>
        <w:ind w:left="340"/>
      </w:pPr>
      <w:r>
        <w:t>Stark Industries (Defence/Aerospace, 2026) — sovereign deployment, per-table residency, and an IP licence-back model accepted by Stark's legal team. Five-year contract; precedent for Acme's §4.4 IP position.</w:t>
      </w:r>
    </w:p>
    <w:p w14:paraId="06337A02" w14:textId="77777777" w:rsidR="00670EFC" w:rsidRDefault="00000000">
      <w:pPr>
        <w:pStyle w:val="Heading3"/>
      </w:pPr>
      <w:r>
        <w:lastRenderedPageBreak/>
        <w:t>Why this platform — three discriminators, with proof</w:t>
      </w:r>
    </w:p>
    <w:p w14:paraId="7FDC5E69" w14:textId="77777777" w:rsidR="00670EFC" w:rsidRDefault="00000000">
      <w:pPr>
        <w:pStyle w:val="ListBullet"/>
        <w:spacing w:after="40"/>
        <w:ind w:left="340"/>
      </w:pPr>
      <w:r>
        <w:t>Power BI DirectQuery on open Delta / Iceberg — Acme's analysts keep their interface; Acme keeps its exit. Initech precedent.</w:t>
      </w:r>
    </w:p>
    <w:p w14:paraId="441EF17C" w14:textId="77777777" w:rsidR="00670EFC" w:rsidRDefault="00000000">
      <w:pPr>
        <w:pStyle w:val="ListBullet"/>
        <w:spacing w:after="40"/>
        <w:ind w:left="340"/>
      </w:pPr>
      <w:r>
        <w:t>Compute decoupled from storage at fixed annualised price — no DBU meter, no credit consumption, no Year-2 surprise. Globex precedent.</w:t>
      </w:r>
    </w:p>
    <w:p w14:paraId="7222E7F4" w14:textId="77777777" w:rsidR="00670EFC" w:rsidRDefault="00000000">
      <w:pPr>
        <w:pStyle w:val="ListBullet"/>
        <w:spacing w:after="40"/>
        <w:ind w:left="340"/>
      </w:pPr>
      <w:r>
        <w:t>Per-table EU residency enforcement on BYO Azure storage — Acme owns the storage account; the vendor never holds the data. Stark precedent.</w:t>
      </w:r>
    </w:p>
    <w:p w14:paraId="4029678A" w14:textId="77777777" w:rsidR="00670EFC" w:rsidRDefault="00000000">
      <w:pPr>
        <w:pStyle w:val="Heading3"/>
      </w:pPr>
      <w:r>
        <w:t>Acme's five-year all-in investment</w:t>
      </w:r>
    </w:p>
    <w:p w14:paraId="0F75E231" w14:textId="77777777" w:rsidR="00670EFC" w:rsidRDefault="00000000">
      <w:pPr>
        <w:spacing w:after="120"/>
      </w:pPr>
      <w:r>
        <w:t>USD 4,910,000 over five years — USD 974,000 per year on a normalised basis, fixed at signature, with the storage ramp from 280 TB to ~1,000 TB absorbed inside the price. A 99.99% multi-region active-active SLA tier is available as a transparent add-on. The full commercial schedule is in §7.</w:t>
      </w:r>
    </w:p>
    <w:p w14:paraId="38732919" w14:textId="77777777" w:rsidR="00670EFC" w:rsidRDefault="00000000">
      <w:pPr>
        <w:pStyle w:val="Heading3"/>
      </w:pPr>
      <w:r>
        <w:t>Next step</w:t>
      </w:r>
    </w:p>
    <w:p w14:paraId="34FC7FDF" w14:textId="77777777" w:rsidR="00670EFC" w:rsidRDefault="00000000">
      <w:pPr>
        <w:spacing w:after="120"/>
      </w:pPr>
      <w:r>
        <w:t>A 90-minute solution working session with Marcus Webb (CDO) and Sarah Chen (VP Procurement) within seven calendar days of this submission, followed by a fully drafted Master Subscription Agreement reflecting the contract positions in §8, lodged with Acme legal by 2026-06-30 in line with Acme's stated award date.</w:t>
      </w:r>
    </w:p>
    <w:p w14:paraId="55C2550B" w14:textId="77777777" w:rsidR="00670EFC" w:rsidRDefault="00000000">
      <w:r>
        <w:br w:type="page"/>
      </w:r>
    </w:p>
    <w:p w14:paraId="1B456855" w14:textId="77777777" w:rsidR="00670EFC" w:rsidRDefault="00000000">
      <w:pPr>
        <w:pStyle w:val="Heading1"/>
      </w:pPr>
      <w:r>
        <w:lastRenderedPageBreak/>
        <w:t>2. Acme's Need — As Acme Described It</w:t>
      </w:r>
    </w:p>
    <w:tbl>
      <w:tblPr>
        <w:tblW w:w="0" w:type="auto"/>
        <w:tblLook w:val="04A0" w:firstRow="1" w:lastRow="0" w:firstColumn="1" w:lastColumn="0" w:noHBand="0" w:noVBand="1"/>
      </w:tblPr>
      <w:tblGrid>
        <w:gridCol w:w="9746"/>
      </w:tblGrid>
      <w:tr w:rsidR="00670EFC" w14:paraId="78F6EFF6" w14:textId="77777777">
        <w:tc>
          <w:tcPr>
            <w:tcW w:w="9746" w:type="dxa"/>
            <w:tcBorders>
              <w:left w:val="single" w:sz="24" w:space="0" w:color="C8821A"/>
            </w:tcBorders>
            <w:shd w:val="clear" w:color="auto" w:fill="FFF8EC"/>
          </w:tcPr>
          <w:p w14:paraId="50C0367B" w14:textId="77777777" w:rsidR="00670EFC" w:rsidRDefault="00000000">
            <w:pPr>
              <w:spacing w:before="80" w:after="80"/>
            </w:pPr>
            <w:r>
              <w:rPr>
                <w:b/>
                <w:i/>
                <w:color w:val="1F3A5F"/>
              </w:rPr>
              <w:t>Acme's patchwork of warehouses and ad-hoc cloud analytics has reached the end of its useful life — and the 2027 Teradata sunset has converted that strategic problem into a deadline.</w:t>
            </w:r>
          </w:p>
        </w:tc>
      </w:tr>
    </w:tbl>
    <w:p w14:paraId="3460A40F" w14:textId="77777777" w:rsidR="00670EFC" w:rsidRDefault="00670EFC"/>
    <w:p w14:paraId="7A82984E" w14:textId="77777777" w:rsidR="00670EFC" w:rsidRDefault="00000000">
      <w:pPr>
        <w:spacing w:after="120"/>
      </w:pPr>
      <w:r>
        <w:t>Acme's RFP describes a global industrial manufacturer running on an Azure cloud and Microsoft application stack, operating manufacturing in Mexico, Vietnam and Romania, R&amp;D in Austin and Munich, serving an analytics community of 600 Power BI users and 150 data engineers, and gathering telemetry from 40,000 connected industrial sensors at peak rates approaching 80,000 events per second. Data is at 280 TB today and growing at 12 TB per month — Acme's estate will reach approximately 640 TB by the close of Year 3 and pass 1 TB by Year 5.</w:t>
      </w:r>
    </w:p>
    <w:p w14:paraId="7F19E5C3" w14:textId="77777777" w:rsidR="00670EFC" w:rsidRDefault="00000000">
      <w:pPr>
        <w:spacing w:after="120"/>
      </w:pPr>
      <w:r>
        <w:t>Underneath the technical scope, the RFP names three explicit business commitments Acme must keep. First, the Teradata estate must be decommissioned through 2027 — a commitment with licensing, capital, and operational consequences that does not move. Second, the 600 Power BI users are described as "non-negotiable" in §2.3, and the word non-negotiable is rare in procurement language. It signals that any platform that disrupts the Power BI experience is disqualified. Third, EU customer data must remain in the EU under §2.3, with multi-region deployment to US East for secondary workloads — a clear sovereignty obligation, not a deployment preference.</w:t>
      </w:r>
    </w:p>
    <w:p w14:paraId="1F906CBE" w14:textId="77777777" w:rsidR="00670EFC" w:rsidRDefault="00000000">
      <w:pPr>
        <w:spacing w:after="120"/>
      </w:pPr>
      <w:r>
        <w:t>Three hidden constraints are equally important. The RFP's explicit demand for open formats — Parquet, Delta, Iceberg — under §2.3 is a portability hedge: Acme is signalling that the chosen vendor must not become a new lock-in to replace the old one. The five-year fixed-price requirement in §3.1 is the Acme CFO's defence against the compute-creep that has surprised peer-industry buyers in their second year on consumption-metered platforms. And the 30-day termination right in §3.5 is a continuation of that same posture — Acme intends to retain the freedom to walk away.</w:t>
      </w:r>
    </w:p>
    <w:p w14:paraId="02A87517" w14:textId="77777777" w:rsidR="00670EFC" w:rsidRDefault="00000000">
      <w:pPr>
        <w:spacing w:after="120"/>
      </w:pPr>
      <w:r>
        <w:t>The evaluation weighting is consistent with that reading: Functional fit (30%), Commercial terms (25%) and three-plus-two-year TCO (20%) together account for 75% of the scoring. Acme is asking the market to compete on outcomes, cost, and optionality — not on feature inventory.</w:t>
      </w:r>
    </w:p>
    <w:p w14:paraId="13A0B273" w14:textId="77777777" w:rsidR="00670EFC" w:rsidRDefault="00000000">
      <w:r>
        <w:br w:type="page"/>
      </w:r>
    </w:p>
    <w:p w14:paraId="16EA9703" w14:textId="77777777" w:rsidR="00670EFC" w:rsidRDefault="00000000">
      <w:pPr>
        <w:pStyle w:val="Heading1"/>
      </w:pPr>
      <w:r>
        <w:lastRenderedPageBreak/>
        <w:t>3. Why Acme Needs an Open-Format Lakehouse Now</w:t>
      </w:r>
    </w:p>
    <w:tbl>
      <w:tblPr>
        <w:tblW w:w="0" w:type="auto"/>
        <w:tblLook w:val="04A0" w:firstRow="1" w:lastRow="0" w:firstColumn="1" w:lastColumn="0" w:noHBand="0" w:noVBand="1"/>
      </w:tblPr>
      <w:tblGrid>
        <w:gridCol w:w="9746"/>
      </w:tblGrid>
      <w:tr w:rsidR="00670EFC" w14:paraId="3ADCED7D" w14:textId="77777777">
        <w:tc>
          <w:tcPr>
            <w:tcW w:w="9746" w:type="dxa"/>
            <w:tcBorders>
              <w:left w:val="single" w:sz="24" w:space="0" w:color="C8821A"/>
            </w:tcBorders>
            <w:shd w:val="clear" w:color="auto" w:fill="FFF8EC"/>
          </w:tcPr>
          <w:p w14:paraId="40AFFF2B" w14:textId="77777777" w:rsidR="00670EFC" w:rsidRDefault="00000000">
            <w:pPr>
              <w:spacing w:before="80" w:after="80"/>
            </w:pPr>
            <w:r>
              <w:rPr>
                <w:b/>
                <w:i/>
                <w:color w:val="1F3A5F"/>
              </w:rPr>
              <w:t>The right answer for Acme is not a faster warehouse, and it is not a richer ML platform. It is a lakehouse whose storage is owned by Acme and whose compute is priced for predictability.</w:t>
            </w:r>
          </w:p>
        </w:tc>
      </w:tr>
    </w:tbl>
    <w:p w14:paraId="488F9838" w14:textId="77777777" w:rsidR="00670EFC" w:rsidRDefault="00670EFC"/>
    <w:p w14:paraId="47CF84F2" w14:textId="77777777" w:rsidR="00670EFC" w:rsidRDefault="00000000">
      <w:pPr>
        <w:spacing w:after="120"/>
      </w:pPr>
      <w:r>
        <w:t>Acme's three workload tiers — real-time IoT ingest, large-scale batch ETL from 30+ sources, and 600-user BI on shared semantic models — have historically lived on separate platforms. Acme's "patchwork of warehouses and ad-hoc cloud analytics" (RFP §2) is the operational symptom. The lakehouse architectural pattern emerged specifically to consolidate those tiers onto a single governed substrate without the cost and lock-in of a warehouse-first approach.</w:t>
      </w:r>
    </w:p>
    <w:p w14:paraId="7F2C0144" w14:textId="77777777" w:rsidR="00670EFC" w:rsidRDefault="00000000">
      <w:pPr>
        <w:spacing w:after="120"/>
      </w:pPr>
      <w:r>
        <w:t>For Acme specifically, three properties of an open-format lakehouse matter more than the rest. Open Delta / Iceberg storage means Acme's data is not held by the vendor — Acme can read it directly, ship it elsewhere, or self-manage it on the day the contract ends. Decoupled compute and storage means Acme's storage growth curve from 280 TB to 1,000 TB does not surface as a compute bill — the two are priced independently and Acme controls each lever. And per-table residency enforcement means Acme's EU obligation is enforced as a write-time policy at the individual table level, not as a regional default that pipelines can drift out of.</w:t>
      </w:r>
    </w:p>
    <w:p w14:paraId="5639873C" w14:textId="77777777" w:rsidR="00670EFC" w:rsidRDefault="00000000">
      <w:pPr>
        <w:spacing w:after="120"/>
      </w:pPr>
      <w:r>
        <w:t>The alternatives Acme will see in this evaluation each fail one of those three tests. Warehouse-first platforms achieve maturity on SQL and BI but bolt the lakehouse and ML stories on top of a different architecture, and most price storage and compute as a coupled consumption envelope. Compute-metered lakehouses price storage cleanly but expose Acme to compute escalation in Years 2 and 3 as workload patterns mature. Licence-bundled platforms appear free at the surface but trade openness for ecosystem lock-in — and the "non-negotiable" Power BI estate becomes a captive renewal, not a portable asset. Regional alternatives solve for residency but cannot serve the 18-country support footprint Acme operates today.</w:t>
      </w:r>
    </w:p>
    <w:p w14:paraId="7805FA9C" w14:textId="77777777" w:rsidR="00670EFC" w:rsidRDefault="00000000">
      <w:pPr>
        <w:spacing w:after="120"/>
      </w:pPr>
      <w:r>
        <w:t>The category answer for Acme is therefore: an open-format lakehouse with a first-class Power BI integration, decoupled compute pricing, and per-table residency. The rest of this proposal explains why this platform is that lakehouse for Acme.</w:t>
      </w:r>
    </w:p>
    <w:p w14:paraId="186C2F81" w14:textId="77777777" w:rsidR="00670EFC" w:rsidRDefault="00000000">
      <w:r>
        <w:br w:type="page"/>
      </w:r>
    </w:p>
    <w:p w14:paraId="09673305" w14:textId="77777777" w:rsidR="00670EFC" w:rsidRDefault="00000000">
      <w:pPr>
        <w:pStyle w:val="Heading1"/>
      </w:pPr>
      <w:r>
        <w:lastRenderedPageBreak/>
        <w:t>4. Why BTS-Synthetic — The Acme-Specific Case</w:t>
      </w:r>
    </w:p>
    <w:tbl>
      <w:tblPr>
        <w:tblW w:w="0" w:type="auto"/>
        <w:tblLook w:val="04A0" w:firstRow="1" w:lastRow="0" w:firstColumn="1" w:lastColumn="0" w:noHBand="0" w:noVBand="1"/>
      </w:tblPr>
      <w:tblGrid>
        <w:gridCol w:w="9746"/>
      </w:tblGrid>
      <w:tr w:rsidR="00670EFC" w14:paraId="0ECBF4A3" w14:textId="77777777">
        <w:tc>
          <w:tcPr>
            <w:tcW w:w="9746" w:type="dxa"/>
            <w:tcBorders>
              <w:left w:val="single" w:sz="24" w:space="0" w:color="C8821A"/>
            </w:tcBorders>
            <w:shd w:val="clear" w:color="auto" w:fill="FFF8EC"/>
          </w:tcPr>
          <w:p w14:paraId="571D0169" w14:textId="77777777" w:rsidR="00670EFC" w:rsidRDefault="00000000">
            <w:pPr>
              <w:spacing w:before="80" w:after="80"/>
            </w:pPr>
            <w:r>
              <w:rPr>
                <w:b/>
                <w:i/>
                <w:color w:val="1F3A5F"/>
              </w:rPr>
              <w:t>Acme's 600 Power BI users will keep the interface they know and gain the query performance they need — on day one, on open formats Acme can walk away from. Three discriminators carry that promise.</w:t>
            </w:r>
          </w:p>
        </w:tc>
      </w:tr>
    </w:tbl>
    <w:p w14:paraId="4174BC60" w14:textId="77777777" w:rsidR="00670EFC" w:rsidRDefault="00670EFC"/>
    <w:p w14:paraId="366B7A54" w14:textId="77777777" w:rsidR="00670EFC" w:rsidRDefault="00000000">
      <w:pPr>
        <w:pStyle w:val="Heading2"/>
      </w:pPr>
      <w:r>
        <w:t>Discriminator 1 — Power BI continuity on open Delta/Iceberg</w:t>
      </w:r>
    </w:p>
    <w:p w14:paraId="5440BEFB" w14:textId="77777777" w:rsidR="00670EFC" w:rsidRDefault="00000000">
      <w:pPr>
        <w:spacing w:after="120"/>
      </w:pPr>
      <w:r>
        <w:t>Acme's Power BI estate is the proving ground for any candidate platform. The integration on offer here is delivered through a dedicated DirectQuery adapter — the most mature Power BI connection in this category, built specifically for Power BI rather than reused from a generic ODBC endpoint. Acme's analysts connect Power BI to a semantic layer sitting on top of open Delta and Iceberg tables stored in Acme's own Azure tenancy. From the analyst's chair, nothing changes — workbooks, DAX measures, scheduled refreshes, and shared workspaces all continue. From the architecture board's chair, the data underneath is in open Parquet/Delta/Iceberg format, readable by any future engine, carrying no proprietary lock-in.</w:t>
      </w:r>
    </w:p>
    <w:p w14:paraId="52EB948D" w14:textId="77777777" w:rsidR="00670EFC" w:rsidRDefault="00000000">
      <w:pPr>
        <w:spacing w:after="120"/>
      </w:pPr>
      <w:r>
        <w:t>Acme has seen this discriminator land before. Initech Sensors — an industrial IoT manufacturer with a 600+ analyst Power BI estate, an Azure footprint, and a peak event-rate profile comparable to Acme's — selected this platform in late 2025 over a licence-bundled alternative. Initech's decision criteria were the same three that appear in Acme's RFP: Power BI continuity, real-time SLA at peak load, and open-format portability. Initech is a reference customer for this proposal.</w:t>
      </w:r>
    </w:p>
    <w:p w14:paraId="32AEB83F" w14:textId="77777777" w:rsidR="00670EFC" w:rsidRDefault="00000000">
      <w:pPr>
        <w:spacing w:after="120"/>
      </w:pPr>
      <w:r>
        <w:t>Licence-bundled offers do integrate Power BI tightly — they should, given the vendor owns both products — but that tightness is itself the lock-in. Open Delta/Iceberg under the same Power BI surface is the architectural choice that preserves both the user experience and the exit.</w:t>
      </w:r>
    </w:p>
    <w:p w14:paraId="73DF0640" w14:textId="77777777" w:rsidR="00670EFC" w:rsidRDefault="00000000">
      <w:pPr>
        <w:pStyle w:val="Heading2"/>
      </w:pPr>
      <w:r>
        <w:t>Discriminator 2 — Compute decoupled from storage, fixed for five years</w:t>
      </w:r>
    </w:p>
    <w:p w14:paraId="4DFFBC63" w14:textId="77777777" w:rsidR="00670EFC" w:rsidRDefault="00000000">
      <w:pPr>
        <w:spacing w:after="120"/>
      </w:pPr>
      <w:r>
        <w:t>Acme has asked for five-year fixed pricing with no escalators and a published discount floor (RFP §3.1, §3.3). That request exposes a structural difference between platforms that meter compute against a consumption envelope and platforms that contract compute as a fixed annualised commitment. This platform is the second kind.</w:t>
      </w:r>
    </w:p>
    <w:p w14:paraId="66EAF49C" w14:textId="77777777" w:rsidR="00670EFC" w:rsidRDefault="00000000">
      <w:pPr>
        <w:spacing w:after="120"/>
      </w:pPr>
      <w:r>
        <w:t>Acme contracts an annual compute allocation; storage scales linearly and transparently with ingestion. Acme's 280 TB baseline plus 12 TB per month of growth is a predictable, auditable storage line. Acme's compute is set at signature and held constant for five years. The platform's own architecture (compute and storage are independently scaled) is what makes the pricing model possible — this is not a marketing simplification.</w:t>
      </w:r>
    </w:p>
    <w:p w14:paraId="5EB6EBEC" w14:textId="77777777" w:rsidR="00670EFC" w:rsidRDefault="00000000">
      <w:pPr>
        <w:spacing w:after="120"/>
      </w:pPr>
      <w:r>
        <w:t>Globex Manufacturing — an industrial peer that ran the same evaluation against a consumption-metered competitor in 2025 — selected this platform after a three-year TCO comparison at Globex's actual workload profile. The headline outcome was a 20–25% TCO advantage that widened in Years 2 and 3 as data volumes and query complexity grew. Globex is a reference customer for this proposal.</w:t>
      </w:r>
    </w:p>
    <w:p w14:paraId="2A85A21D" w14:textId="77777777" w:rsidR="00670EFC" w:rsidRDefault="00000000">
      <w:pPr>
        <w:spacing w:after="120"/>
      </w:pPr>
      <w:r>
        <w:t>Compute-metered platforms surface their cost surprise where Acme can least afford one: in the second-year budget cycle, when the platform has succeeded, adoption has grown, and the bill reflects that success. The architectural answer for Acme is to take that variable off the table at signature.</w:t>
      </w:r>
    </w:p>
    <w:p w14:paraId="63A90328" w14:textId="77777777" w:rsidR="00670EFC" w:rsidRDefault="00000000">
      <w:pPr>
        <w:pStyle w:val="Heading2"/>
      </w:pPr>
      <w:r>
        <w:lastRenderedPageBreak/>
        <w:t>Discriminator 3 — EU sovereignty as a technical control, not a procedural one</w:t>
      </w:r>
    </w:p>
    <w:p w14:paraId="65EB0074" w14:textId="77777777" w:rsidR="00670EFC" w:rsidRDefault="00000000">
      <w:pPr>
        <w:spacing w:after="120"/>
      </w:pPr>
      <w:r>
        <w:t>Acme's EU residency requirement is a legal obligation, not a deployment preference. The architecture here enforces it at three independent layers. First, the catalog enforces per-table residency tags at write time — an EU-tagged table physically cannot be written to the US East cluster, regardless of how a pipeline is configured. Second, the storage layer is bring-your-own Azure Blob in Acme's own EU subscription — Acme holds the storage account and the encryption keys, the vendor never holds the data. Third, for the highest-sensitivity datasets — Munich R&amp;D, or any data attracting future national localisation rules — a self-hosted deployment option is available with no architectural rework.</w:t>
      </w:r>
    </w:p>
    <w:p w14:paraId="037D43B4" w14:textId="77777777" w:rsidR="00670EFC" w:rsidRDefault="00000000">
      <w:pPr>
        <w:spacing w:after="120"/>
      </w:pPr>
      <w:r>
        <w:t>Stark Industries deployed this exact sovereign-and-self-host architecture in early 2026 for a defence-aerospace workload subject to comparable residency obligations. Stark's legal team reviewed the GDPR DPA, the per-table catalog enforcement, and the BYOC storage model line by line and accepted it. Stark is a reference customer for this proposal — and the named precedent for the IP licence-back position in §8.</w:t>
      </w:r>
    </w:p>
    <w:p w14:paraId="779AF088" w14:textId="77777777" w:rsidR="00670EFC" w:rsidRDefault="00000000">
      <w:pPr>
        <w:spacing w:after="120"/>
      </w:pPr>
      <w:r>
        <w:t>Single-hyperscaler-native platforms can offer EU regions; they cannot offer per-table residency enforcement, BYOC under the customer's tenancy, and a self-host option in the same product. Regional alternatives can offer all three inside the EU; they cannot offer the 18-country support footprint Acme requires across Mexico, Vietnam, Romania, Austin and Munich.</w:t>
      </w:r>
    </w:p>
    <w:p w14:paraId="0E0A8EB1" w14:textId="77777777" w:rsidR="00670EFC" w:rsidRDefault="00000000">
      <w:pPr>
        <w:pStyle w:val="Heading2"/>
      </w:pPr>
      <w:r>
        <w:t>Where this platform is honest with Acme</w:t>
      </w:r>
    </w:p>
    <w:p w14:paraId="4610C463" w14:textId="77777777" w:rsidR="00670EFC" w:rsidRDefault="00000000">
      <w:pPr>
        <w:spacing w:after="120"/>
      </w:pPr>
      <w:r>
        <w:t>Acme will hear claims of sub-100ms streaming latency from at least one of the other named vendors. The number stated here is 250 milliseconds to 1 second on streaming queries, measured at the 80,000-events-per-second peak Acme has specified — not a best-case figure on a quiet dataset. For Acme's predictive maintenance workload, where the physical event horizon is measured in seconds to minutes, this latency is correctly calibrated. For the specific subset of interactive analyst exploration where sub-100ms genuinely matters, an in-memory aggregation cache layer is configurable per dataset and delivers sub-100ms on the most-queried aggregates — the same pattern Initech Sensors runs in production. Acme's architecture board should ask each competing vendor to state their streaming latency plainly, name the workload tier it applies to, and confirm it holds at the 80,000-events-per-second peak.</w:t>
      </w:r>
    </w:p>
    <w:p w14:paraId="0C4AEAA0" w14:textId="77777777" w:rsidR="00670EFC" w:rsidRDefault="00000000">
      <w:r>
        <w:br w:type="page"/>
      </w:r>
    </w:p>
    <w:p w14:paraId="3117BBBE" w14:textId="77777777" w:rsidR="00670EFC" w:rsidRDefault="00000000">
      <w:pPr>
        <w:pStyle w:val="Heading1"/>
      </w:pPr>
      <w:r>
        <w:lastRenderedPageBreak/>
        <w:t>5. Technical Solution</w:t>
      </w:r>
    </w:p>
    <w:tbl>
      <w:tblPr>
        <w:tblW w:w="0" w:type="auto"/>
        <w:tblLook w:val="04A0" w:firstRow="1" w:lastRow="0" w:firstColumn="1" w:lastColumn="0" w:noHBand="0" w:noVBand="1"/>
      </w:tblPr>
      <w:tblGrid>
        <w:gridCol w:w="9746"/>
      </w:tblGrid>
      <w:tr w:rsidR="00670EFC" w14:paraId="2C872114" w14:textId="77777777">
        <w:tc>
          <w:tcPr>
            <w:tcW w:w="9746" w:type="dxa"/>
            <w:tcBorders>
              <w:left w:val="single" w:sz="24" w:space="0" w:color="C8821A"/>
            </w:tcBorders>
            <w:shd w:val="clear" w:color="auto" w:fill="FFF8EC"/>
          </w:tcPr>
          <w:p w14:paraId="768A23AA" w14:textId="77777777" w:rsidR="00670EFC" w:rsidRDefault="00000000">
            <w:pPr>
              <w:spacing w:before="80" w:after="80"/>
            </w:pPr>
            <w:r>
              <w:rPr>
                <w:b/>
                <w:i/>
                <w:color w:val="1F3A5F"/>
              </w:rPr>
              <w:t>Acme's scope across ingest, governance, BI and ML is met by a single open-format lakehouse on Acme's Azure tenancy — designed around Acme's workloads, not configured from a generic template.</w:t>
            </w:r>
          </w:p>
        </w:tc>
      </w:tr>
    </w:tbl>
    <w:p w14:paraId="570CBA88" w14:textId="77777777" w:rsidR="00670EFC" w:rsidRDefault="00670EFC"/>
    <w:p w14:paraId="1E5CCB13" w14:textId="77777777" w:rsidR="00670EFC" w:rsidRDefault="00000000">
      <w:pPr>
        <w:pStyle w:val="Heading2"/>
      </w:pPr>
      <w:r>
        <w:t>5.1 Power BI continuity — the day-one experience</w:t>
      </w:r>
    </w:p>
    <w:p w14:paraId="68E75F4F" w14:textId="77777777" w:rsidR="00670EFC" w:rsidRDefault="00000000">
      <w:pPr>
        <w:spacing w:after="120"/>
      </w:pPr>
      <w:r>
        <w:t>Acme's 600 Power BI users connect to the new platform on day one through the dedicated DirectQuery adapter. There is no client-side change, no separate license to deploy, and no Power BI version dependency. The semantic layer sits on open Delta/Iceberg tables in Acme's own Azure Blob Storage; data is never copied into a vendor-proprietary format. Workbooks, DAX measures, dashboards, scheduled refreshes and shared workspaces all continue to function. From IT's perspective, the connection is one entry in the Power BI gateway configuration. From the analyst's perspective, the interface is unchanged and query response improves.</w:t>
      </w:r>
    </w:p>
    <w:p w14:paraId="0F403783" w14:textId="77777777" w:rsidR="00670EFC" w:rsidRDefault="00000000">
      <w:pPr>
        <w:pStyle w:val="Heading2"/>
      </w:pPr>
      <w:r>
        <w:t>5.2 Real-time ingest at scale, with headroom</w:t>
      </w:r>
    </w:p>
    <w:p w14:paraId="2D9E5FF4" w14:textId="77777777" w:rsidR="00670EFC" w:rsidRDefault="00000000">
      <w:pPr>
        <w:spacing w:after="120"/>
      </w:pPr>
      <w:r>
        <w:t>Acme's 40,000 IoT devices generate a stated peak of 80,000 events per second. The ingest layer has been tested at 250,000 events per second on a single-region deployment — three times Acme's stated peak, providing operational headroom for burst events and future fleet expansion without an architecture change. The recommended partition strategy is 400 Kafka partitions, approximately 100 devices per partition at the baseline rate, keyed by device ID to preserve event ordering per asset — the correct pattern for predictive maintenance signal processing. CDC via Debezium handles the 30+ batch sources running out of Teradata during the parallel-migration window. Acme's telemetry from Mexico, Vietnam and Romania flows into the EU primary cluster with residency tags applied from the first byte.</w:t>
      </w:r>
    </w:p>
    <w:p w14:paraId="2FD3D26F" w14:textId="77777777" w:rsidR="00670EFC" w:rsidRDefault="00000000">
      <w:pPr>
        <w:pStyle w:val="Heading2"/>
      </w:pPr>
      <w:r>
        <w:t>5.3 EU sovereignty — three layers of enforcement</w:t>
      </w:r>
    </w:p>
    <w:p w14:paraId="6C3CA80A" w14:textId="77777777" w:rsidR="00670EFC" w:rsidRDefault="00000000">
      <w:pPr>
        <w:spacing w:after="120"/>
      </w:pPr>
      <w:r>
        <w:t>Layer 1 — Per-table residency pinning. Every table in the catalog carries a residency tag (EU, US, or unrestricted). The catalog enforces that tag at write time as a technical control. Every enforcement event is logged and exportable for DPA compliance evidence.</w:t>
      </w:r>
    </w:p>
    <w:p w14:paraId="6E077EEB" w14:textId="77777777" w:rsidR="00670EFC" w:rsidRDefault="00000000">
      <w:pPr>
        <w:spacing w:after="120"/>
      </w:pPr>
      <w:r>
        <w:t>Layer 2 — Bring-your-own Azure Storage in Acme's tenancy. The data physically resides in an Azure Blob Storage account that belongs to Acme's subscription, in the EU region of Acme's choosing. EU customer data never transits or rests in vendor-controlled infrastructure. If the commercial relationship ends, Acme retains full ownership and access.</w:t>
      </w:r>
    </w:p>
    <w:p w14:paraId="309CDDCE" w14:textId="77777777" w:rsidR="00670EFC" w:rsidRDefault="00000000">
      <w:pPr>
        <w:spacing w:after="120"/>
      </w:pPr>
      <w:r>
        <w:t>Layer 3 — Self-hosted option for the highest-sensitivity workloads (Munich R&amp;D, or future national localisation cases). Acme's infrastructure, network, and keys; no architectural rework required between options.</w:t>
      </w:r>
    </w:p>
    <w:p w14:paraId="0CF5F8FD" w14:textId="77777777" w:rsidR="00670EFC" w:rsidRDefault="00000000">
      <w:pPr>
        <w:spacing w:after="120"/>
      </w:pPr>
      <w:r>
        <w:t>The underlying compliance stack: SOC 2 Type II, ISO 27001, GDPR Data Processing Agreement (available for signature on contract execution), and HIPAA-eligible controls. The DPA is a standard contract term, not a negotiation item.</w:t>
      </w:r>
    </w:p>
    <w:p w14:paraId="535DAA85" w14:textId="77777777" w:rsidR="00670EFC" w:rsidRDefault="00000000">
      <w:pPr>
        <w:pStyle w:val="Heading2"/>
      </w:pPr>
      <w:r>
        <w:lastRenderedPageBreak/>
        <w:t>5.4 A phased Teradata exit — the migration model</w:t>
      </w:r>
    </w:p>
    <w:p w14:paraId="4B639B63" w14:textId="77777777" w:rsidR="00670EFC" w:rsidRDefault="00000000">
      <w:pPr>
        <w:spacing w:after="120"/>
      </w:pPr>
      <w:r>
        <w:t>Acme's Teradata decommission through 2027 is treated as a phased overlay migration, not a forklift cutover. The failure mode being engineered out is the big-bang cutover date when systems break in ways that did not appear in a test environment.</w:t>
      </w:r>
    </w:p>
    <w:p w14:paraId="474D1475" w14:textId="77777777" w:rsidR="00670EFC" w:rsidRDefault="00000000">
      <w:pPr>
        <w:spacing w:after="120"/>
      </w:pPr>
      <w:r>
        <w:rPr>
          <w:b/>
          <w:color w:val="1F3A5F"/>
        </w:rPr>
        <w:t xml:space="preserve">Phase 1 — Foundation (Weeks 1–8). </w:t>
      </w:r>
      <w:r>
        <w:t>The lakehouse is stood up on Azure in the EU primary region, with US East secondary, wired to Acme's existing Azure AD for identity. Per-table residency policies and audit controls are configured. Power BI is repointed to the new semantic layer via federated query against the existing Teradata data — analysts see the new platform immediately; no data has yet moved.</w:t>
      </w:r>
    </w:p>
    <w:p w14:paraId="7316B121" w14:textId="77777777" w:rsidR="00670EFC" w:rsidRDefault="00000000">
      <w:pPr>
        <w:spacing w:after="120"/>
      </w:pPr>
      <w:r>
        <w:rPr>
          <w:b/>
          <w:color w:val="1F3A5F"/>
        </w:rPr>
        <w:t xml:space="preserve">Phase 2 — Parallel migration (Weeks 9–32, rolling by source). </w:t>
      </w:r>
      <w:r>
        <w:t>Each of the 30+ source systems is replicated into the lakehouse one at a time using CDC via Debezium for Teradata sources and certified batch connectors for the rest. Each source runs in dual-mode; automated golden-record validation confirms reconciliation before cutover. Sources are prioritised by business criticality. Cutover is per-source, when validation passes.</w:t>
      </w:r>
    </w:p>
    <w:p w14:paraId="48963D04" w14:textId="77777777" w:rsidR="00670EFC" w:rsidRDefault="00000000">
      <w:pPr>
        <w:spacing w:after="120"/>
      </w:pPr>
      <w:r>
        <w:rPr>
          <w:b/>
          <w:color w:val="1F3A5F"/>
        </w:rPr>
        <w:t xml:space="preserve">Phase 3 — Teradata retirement (Q4 2026 — Q2 2027). </w:t>
      </w:r>
      <w:r>
        <w:t>As each source is fully migrated, the corresponding Teradata workload is retired. Licence costs fall progressively. Final decommission lands comfortably inside the 2027 deadline.</w:t>
      </w:r>
    </w:p>
    <w:p w14:paraId="46AFB05F" w14:textId="77777777" w:rsidR="00670EFC" w:rsidRDefault="00000000">
      <w:pPr>
        <w:pStyle w:val="Heading2"/>
      </w:pPr>
      <w:r>
        <w:t>5.5 Architecture at a glance</w:t>
      </w:r>
    </w:p>
    <w:p w14:paraId="5D0E1842" w14:textId="77777777" w:rsidR="00670EFC" w:rsidRDefault="00000000">
      <w:pPr>
        <w:spacing w:after="120"/>
      </w:pPr>
      <w:r>
        <w:t>Sources → Ingest → Storage → Compute → Governance → Consumption. 40,000 IoT devices and 30+ batch systems feed a Kafka/Kinesis ingest layer (streaming) and Debezium CDC (batch + Teradata change capture). Data lands in Acme's Azure Blob Storage (EU primary; US East secondary) in open Delta/Iceberg format with per-table residency enforced at write. Three decoupled compute engines run concurrently: ANSI SQL (sub-second on warmed cache to 10 TB), Spark (batch and ML training), and streaming compute (Kafka consumers and real-time aggregation). The Unity-style governance catalog provides ABAC, audit, PII detection, and residency enforcement as the single control plane. Consumption is served by Power BI DirectQuery for the 600 analysts, Notebooks for the 150 data engineers, and a model registry + serving layer for predictive maintenance when Acme activates it.</w:t>
      </w:r>
    </w:p>
    <w:p w14:paraId="00C57D76" w14:textId="77777777" w:rsidR="00670EFC" w:rsidRDefault="00000000">
      <w:r>
        <w:rPr>
          <w:i/>
          <w:color w:val="C8821A"/>
          <w:sz w:val="19"/>
        </w:rPr>
        <w:t>Figure 1 — Every layer is independently scalable, independently auditable, and owned by Acme: storage in Acme's tenancy, governance enforced as a technical control, and consumption that reaches the 600 Power BI users on day one.</w:t>
      </w:r>
    </w:p>
    <w:p w14:paraId="336AD768" w14:textId="77777777" w:rsidR="00670EFC" w:rsidRDefault="00000000">
      <w:pPr>
        <w:pStyle w:val="Heading2"/>
      </w:pPr>
      <w:r>
        <w:t>5.6 Workload-to-capability fit summary</w:t>
      </w:r>
    </w:p>
    <w:tbl>
      <w:tblPr>
        <w:tblStyle w:val="LightGrid-Accent1"/>
        <w:tblW w:w="0" w:type="auto"/>
        <w:tblLook w:val="04A0" w:firstRow="1" w:lastRow="0" w:firstColumn="1" w:lastColumn="0" w:noHBand="0" w:noVBand="1"/>
      </w:tblPr>
      <w:tblGrid>
        <w:gridCol w:w="2948"/>
        <w:gridCol w:w="3855"/>
        <w:gridCol w:w="2835"/>
      </w:tblGrid>
      <w:tr w:rsidR="00670EFC" w14:paraId="33B4AA35" w14:textId="77777777" w:rsidTr="00670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shd w:val="clear" w:color="auto" w:fill="1F3A5F"/>
            <w:vAlign w:val="center"/>
          </w:tcPr>
          <w:p w14:paraId="24D68BD3" w14:textId="77777777" w:rsidR="00670EFC" w:rsidRDefault="00000000">
            <w:pPr>
              <w:spacing w:before="40" w:after="40"/>
            </w:pPr>
            <w:r>
              <w:rPr>
                <w:color w:val="FFFFFF"/>
                <w:sz w:val="20"/>
              </w:rPr>
              <w:t>Acme workload</w:t>
            </w:r>
          </w:p>
        </w:tc>
        <w:tc>
          <w:tcPr>
            <w:tcW w:w="3855" w:type="dxa"/>
            <w:shd w:val="clear" w:color="auto" w:fill="1F3A5F"/>
            <w:vAlign w:val="center"/>
          </w:tcPr>
          <w:p w14:paraId="55BED0DD" w14:textId="77777777" w:rsidR="00670EFC"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Capability response</w:t>
            </w:r>
          </w:p>
        </w:tc>
        <w:tc>
          <w:tcPr>
            <w:tcW w:w="2835" w:type="dxa"/>
            <w:shd w:val="clear" w:color="auto" w:fill="1F3A5F"/>
            <w:vAlign w:val="center"/>
          </w:tcPr>
          <w:p w14:paraId="145FA11E" w14:textId="77777777" w:rsidR="00670EFC"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Headroom / proof</w:t>
            </w:r>
          </w:p>
        </w:tc>
      </w:tr>
      <w:tr w:rsidR="00670EFC" w14:paraId="5C0D0F9C"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34F27079" w14:textId="77777777" w:rsidR="00670EFC" w:rsidRDefault="00000000">
            <w:pPr>
              <w:spacing w:before="20" w:after="20"/>
            </w:pPr>
            <w:r>
              <w:rPr>
                <w:sz w:val="19"/>
              </w:rPr>
              <w:t>Real-time ingest, 40k IoT devices, 80k events/sec peak</w:t>
            </w:r>
          </w:p>
        </w:tc>
        <w:tc>
          <w:tcPr>
            <w:tcW w:w="3855" w:type="dxa"/>
          </w:tcPr>
          <w:p w14:paraId="53D194CB"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Kafka/Kinesis native consumers; 400-partition strategy; CDC via Debezium</w:t>
            </w:r>
          </w:p>
        </w:tc>
        <w:tc>
          <w:tcPr>
            <w:tcW w:w="2835" w:type="dxa"/>
          </w:tcPr>
          <w:p w14:paraId="2A460A7C"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250k events/sec tested — 3× Acme's peak. Initech precedent.</w:t>
            </w:r>
          </w:p>
        </w:tc>
      </w:tr>
      <w:tr w:rsidR="00670EFC" w14:paraId="6DFC1FD2"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shd w:val="clear" w:color="auto" w:fill="ECEFF3"/>
          </w:tcPr>
          <w:p w14:paraId="7C1CC855" w14:textId="77777777" w:rsidR="00670EFC" w:rsidRDefault="00000000">
            <w:pPr>
              <w:spacing w:before="20" w:after="20"/>
            </w:pPr>
            <w:r>
              <w:rPr>
                <w:sz w:val="19"/>
              </w:rPr>
              <w:t>Batch ETL from 30+ internal sources</w:t>
            </w:r>
          </w:p>
        </w:tc>
        <w:tc>
          <w:tcPr>
            <w:tcW w:w="3855" w:type="dxa"/>
            <w:shd w:val="clear" w:color="auto" w:fill="ECEFF3"/>
          </w:tcPr>
          <w:p w14:paraId="773E5DF6"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80+ certified connectors; CDC for Teradata; catalog-driven schema contracts</w:t>
            </w:r>
          </w:p>
        </w:tc>
        <w:tc>
          <w:tcPr>
            <w:tcW w:w="2835" w:type="dxa"/>
            <w:shd w:val="clear" w:color="auto" w:fill="ECEFF3"/>
          </w:tcPr>
          <w:p w14:paraId="2EA79497"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Schema-drift mitigation built in, not bolted on.</w:t>
            </w:r>
          </w:p>
        </w:tc>
      </w:tr>
      <w:tr w:rsidR="00670EFC" w14:paraId="797233A4"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7C5DB99D" w14:textId="77777777" w:rsidR="00670EFC" w:rsidRDefault="00000000">
            <w:pPr>
              <w:spacing w:before="20" w:after="20"/>
            </w:pPr>
            <w:r>
              <w:rPr>
                <w:sz w:val="19"/>
              </w:rPr>
              <w:t>BI for 600 analysts and executives</w:t>
            </w:r>
          </w:p>
        </w:tc>
        <w:tc>
          <w:tcPr>
            <w:tcW w:w="3855" w:type="dxa"/>
          </w:tcPr>
          <w:p w14:paraId="32A6C5D4"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Dedicated Power BI DirectQuery adapter on open Delta/Iceberg</w:t>
            </w:r>
          </w:p>
        </w:tc>
        <w:tc>
          <w:tcPr>
            <w:tcW w:w="2835" w:type="dxa"/>
          </w:tcPr>
          <w:p w14:paraId="4300315A"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Most mature BI integration in the portfolio. Initech precedent.</w:t>
            </w:r>
          </w:p>
        </w:tc>
      </w:tr>
      <w:tr w:rsidR="00670EFC" w14:paraId="3FCABAC5"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shd w:val="clear" w:color="auto" w:fill="ECEFF3"/>
          </w:tcPr>
          <w:p w14:paraId="2D3414A3" w14:textId="77777777" w:rsidR="00670EFC" w:rsidRDefault="00000000">
            <w:pPr>
              <w:spacing w:before="20" w:after="20"/>
            </w:pPr>
            <w:r>
              <w:rPr>
                <w:sz w:val="19"/>
              </w:rPr>
              <w:t>Self-service prep for 150 data engineers</w:t>
            </w:r>
          </w:p>
        </w:tc>
        <w:tc>
          <w:tcPr>
            <w:tcW w:w="3855" w:type="dxa"/>
            <w:shd w:val="clear" w:color="auto" w:fill="ECEFF3"/>
          </w:tcPr>
          <w:p w14:paraId="42088702"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Low-code prep UI + Notebooks (Python, R, Scala)</w:t>
            </w:r>
          </w:p>
        </w:tc>
        <w:tc>
          <w:tcPr>
            <w:tcW w:w="2835" w:type="dxa"/>
            <w:shd w:val="clear" w:color="auto" w:fill="ECEFF3"/>
          </w:tcPr>
          <w:p w14:paraId="5C3030BD"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Standard product capability.</w:t>
            </w:r>
          </w:p>
        </w:tc>
      </w:tr>
      <w:tr w:rsidR="00670EFC" w14:paraId="7F897445"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F6BF7EC" w14:textId="77777777" w:rsidR="00670EFC" w:rsidRDefault="00000000">
            <w:pPr>
              <w:spacing w:before="20" w:after="20"/>
            </w:pPr>
            <w:r>
              <w:rPr>
                <w:sz w:val="19"/>
              </w:rPr>
              <w:t>Planned ML for predictive maintenance</w:t>
            </w:r>
          </w:p>
        </w:tc>
        <w:tc>
          <w:tcPr>
            <w:tcW w:w="3855" w:type="dxa"/>
          </w:tcPr>
          <w:p w14:paraId="4C130934"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Model registry, feature store, native serving, BYOM (HF/Anthropic/OpenAI)</w:t>
            </w:r>
          </w:p>
        </w:tc>
        <w:tc>
          <w:tcPr>
            <w:tcW w:w="2835" w:type="dxa"/>
          </w:tcPr>
          <w:p w14:paraId="1154DC05"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Ready when Acme activates the programme.</w:t>
            </w:r>
          </w:p>
        </w:tc>
      </w:tr>
      <w:tr w:rsidR="00670EFC" w14:paraId="382AAB07"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shd w:val="clear" w:color="auto" w:fill="ECEFF3"/>
          </w:tcPr>
          <w:p w14:paraId="573E6DB5" w14:textId="77777777" w:rsidR="00670EFC" w:rsidRDefault="00000000">
            <w:pPr>
              <w:spacing w:before="20" w:after="20"/>
            </w:pPr>
            <w:r>
              <w:rPr>
                <w:sz w:val="19"/>
              </w:rPr>
              <w:lastRenderedPageBreak/>
              <w:t>280 TB → ~1,000 TB scale at 12 TB/mo growth</w:t>
            </w:r>
          </w:p>
        </w:tc>
        <w:tc>
          <w:tcPr>
            <w:tcW w:w="3855" w:type="dxa"/>
            <w:shd w:val="clear" w:color="auto" w:fill="ECEFF3"/>
          </w:tcPr>
          <w:p w14:paraId="11038F4D"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BYO Azure Blob in Acme tenancy; no platform-imposed storage cap</w:t>
            </w:r>
          </w:p>
        </w:tc>
        <w:tc>
          <w:tcPr>
            <w:tcW w:w="2835" w:type="dxa"/>
            <w:shd w:val="clear" w:color="auto" w:fill="ECEFF3"/>
          </w:tcPr>
          <w:p w14:paraId="509D2895"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Storage costs absorbed in fixed five-year price.</w:t>
            </w:r>
          </w:p>
        </w:tc>
      </w:tr>
      <w:tr w:rsidR="00670EFC" w14:paraId="5DAED24B"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7F00FA5" w14:textId="77777777" w:rsidR="00670EFC" w:rsidRDefault="00000000">
            <w:pPr>
              <w:spacing w:before="20" w:after="20"/>
            </w:pPr>
            <w:r>
              <w:rPr>
                <w:sz w:val="19"/>
              </w:rPr>
              <w:t>EU residency + multi-region (EU primary, US East secondary)</w:t>
            </w:r>
          </w:p>
        </w:tc>
        <w:tc>
          <w:tcPr>
            <w:tcW w:w="3855" w:type="dxa"/>
          </w:tcPr>
          <w:p w14:paraId="2F95208F"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Per-table residency pinning + BYO Azure storage + self-host option</w:t>
            </w:r>
          </w:p>
        </w:tc>
        <w:tc>
          <w:tcPr>
            <w:tcW w:w="2835" w:type="dxa"/>
          </w:tcPr>
          <w:p w14:paraId="070ECBD8"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Stark precedent.</w:t>
            </w:r>
          </w:p>
        </w:tc>
      </w:tr>
      <w:tr w:rsidR="00670EFC" w14:paraId="30AD66E9"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shd w:val="clear" w:color="auto" w:fill="ECEFF3"/>
          </w:tcPr>
          <w:p w14:paraId="16C66343" w14:textId="77777777" w:rsidR="00670EFC" w:rsidRDefault="00000000">
            <w:pPr>
              <w:spacing w:before="20" w:after="20"/>
            </w:pPr>
            <w:r>
              <w:rPr>
                <w:sz w:val="19"/>
              </w:rPr>
              <w:t>Open Parquet / Delta / Iceberg formats for portability</w:t>
            </w:r>
          </w:p>
        </w:tc>
        <w:tc>
          <w:tcPr>
            <w:tcW w:w="3855" w:type="dxa"/>
            <w:shd w:val="clear" w:color="auto" w:fill="ECEFF3"/>
          </w:tcPr>
          <w:p w14:paraId="53DAB6EA"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Native open-format storage; no proprietary format layer</w:t>
            </w:r>
          </w:p>
        </w:tc>
        <w:tc>
          <w:tcPr>
            <w:tcW w:w="2835" w:type="dxa"/>
            <w:shd w:val="clear" w:color="auto" w:fill="ECEFF3"/>
          </w:tcPr>
          <w:p w14:paraId="08A803FB"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Acme retains exit option at all times.</w:t>
            </w:r>
          </w:p>
        </w:tc>
      </w:tr>
    </w:tbl>
    <w:p w14:paraId="0751D15D" w14:textId="77777777" w:rsidR="00670EFC" w:rsidRDefault="00000000">
      <w:r>
        <w:rPr>
          <w:i/>
          <w:color w:val="C8821A"/>
          <w:sz w:val="19"/>
        </w:rPr>
        <w:t>Table 1 — Every Acme workload mapped to a specific capability and a named proof point. No marketing adjectives.</w:t>
      </w:r>
    </w:p>
    <w:p w14:paraId="68D992A8" w14:textId="77777777" w:rsidR="00670EFC" w:rsidRDefault="00000000">
      <w:r>
        <w:br w:type="page"/>
      </w:r>
    </w:p>
    <w:p w14:paraId="7DDC27DF" w14:textId="77777777" w:rsidR="00670EFC" w:rsidRDefault="00000000">
      <w:pPr>
        <w:pStyle w:val="Heading1"/>
      </w:pPr>
      <w:r>
        <w:lastRenderedPageBreak/>
        <w:t>6. Implementation Plan</w:t>
      </w:r>
    </w:p>
    <w:tbl>
      <w:tblPr>
        <w:tblW w:w="0" w:type="auto"/>
        <w:tblLook w:val="04A0" w:firstRow="1" w:lastRow="0" w:firstColumn="1" w:lastColumn="0" w:noHBand="0" w:noVBand="1"/>
      </w:tblPr>
      <w:tblGrid>
        <w:gridCol w:w="9746"/>
      </w:tblGrid>
      <w:tr w:rsidR="00670EFC" w14:paraId="4FE46B79" w14:textId="77777777">
        <w:tc>
          <w:tcPr>
            <w:tcW w:w="9746" w:type="dxa"/>
            <w:tcBorders>
              <w:left w:val="single" w:sz="24" w:space="0" w:color="C8821A"/>
            </w:tcBorders>
            <w:shd w:val="clear" w:color="auto" w:fill="FFF8EC"/>
          </w:tcPr>
          <w:p w14:paraId="01F284FC" w14:textId="77777777" w:rsidR="00670EFC" w:rsidRDefault="00000000">
            <w:pPr>
              <w:spacing w:before="80" w:after="80"/>
            </w:pPr>
            <w:r>
              <w:rPr>
                <w:b/>
                <w:i/>
                <w:color w:val="1F3A5F"/>
              </w:rPr>
              <w:t>Acme's Teradata 2027 deadline is met by a phased overlay migration that runs underneath Power BI — never by a big-bang cutover.</w:t>
            </w:r>
          </w:p>
        </w:tc>
      </w:tr>
    </w:tbl>
    <w:p w14:paraId="08FBD615" w14:textId="77777777" w:rsidR="00670EFC" w:rsidRDefault="00670EFC"/>
    <w:p w14:paraId="405094EF" w14:textId="77777777" w:rsidR="00670EFC" w:rsidRDefault="00000000">
      <w:pPr>
        <w:pStyle w:val="Heading2"/>
      </w:pPr>
      <w:r>
        <w:t>6.1 Phases, milestones, and ownership</w:t>
      </w:r>
    </w:p>
    <w:tbl>
      <w:tblPr>
        <w:tblStyle w:val="LightGrid-Accent1"/>
        <w:tblW w:w="0" w:type="auto"/>
        <w:tblLook w:val="04A0" w:firstRow="1" w:lastRow="0" w:firstColumn="1" w:lastColumn="0" w:noHBand="0" w:noVBand="1"/>
      </w:tblPr>
      <w:tblGrid>
        <w:gridCol w:w="1474"/>
        <w:gridCol w:w="2835"/>
        <w:gridCol w:w="1474"/>
        <w:gridCol w:w="2041"/>
        <w:gridCol w:w="2041"/>
      </w:tblGrid>
      <w:tr w:rsidR="00670EFC" w14:paraId="022AB526" w14:textId="77777777" w:rsidTr="00670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shd w:val="clear" w:color="auto" w:fill="1F3A5F"/>
            <w:vAlign w:val="center"/>
          </w:tcPr>
          <w:p w14:paraId="6E6E5C3A" w14:textId="77777777" w:rsidR="00670EFC" w:rsidRDefault="00000000">
            <w:pPr>
              <w:spacing w:before="40" w:after="40"/>
            </w:pPr>
            <w:r>
              <w:rPr>
                <w:color w:val="FFFFFF"/>
                <w:sz w:val="20"/>
              </w:rPr>
              <w:t>Phase</w:t>
            </w:r>
          </w:p>
        </w:tc>
        <w:tc>
          <w:tcPr>
            <w:tcW w:w="2835" w:type="dxa"/>
            <w:shd w:val="clear" w:color="auto" w:fill="1F3A5F"/>
            <w:vAlign w:val="center"/>
          </w:tcPr>
          <w:p w14:paraId="1AD5213F" w14:textId="77777777" w:rsidR="00670EFC"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Scope</w:t>
            </w:r>
          </w:p>
        </w:tc>
        <w:tc>
          <w:tcPr>
            <w:tcW w:w="1474" w:type="dxa"/>
            <w:shd w:val="clear" w:color="auto" w:fill="1F3A5F"/>
            <w:vAlign w:val="center"/>
          </w:tcPr>
          <w:p w14:paraId="7D69313E" w14:textId="77777777" w:rsidR="00670EFC"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Duration</w:t>
            </w:r>
          </w:p>
        </w:tc>
        <w:tc>
          <w:tcPr>
            <w:tcW w:w="2041" w:type="dxa"/>
            <w:shd w:val="clear" w:color="auto" w:fill="1F3A5F"/>
            <w:vAlign w:val="center"/>
          </w:tcPr>
          <w:p w14:paraId="4793230A" w14:textId="77777777" w:rsidR="00670EFC"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Acme ownership</w:t>
            </w:r>
          </w:p>
        </w:tc>
        <w:tc>
          <w:tcPr>
            <w:tcW w:w="2041" w:type="dxa"/>
            <w:shd w:val="clear" w:color="auto" w:fill="1F3A5F"/>
            <w:vAlign w:val="center"/>
          </w:tcPr>
          <w:p w14:paraId="72B418DC" w14:textId="77777777" w:rsidR="00670EFC"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Exit criteria</w:t>
            </w:r>
          </w:p>
        </w:tc>
      </w:tr>
      <w:tr w:rsidR="00670EFC" w14:paraId="4D7739EE"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3B7424C8" w14:textId="77777777" w:rsidR="00670EFC" w:rsidRDefault="00000000">
            <w:pPr>
              <w:spacing w:before="20" w:after="20"/>
            </w:pPr>
            <w:r>
              <w:rPr>
                <w:sz w:val="19"/>
              </w:rPr>
              <w:t>1 — Foundation</w:t>
            </w:r>
          </w:p>
        </w:tc>
        <w:tc>
          <w:tcPr>
            <w:tcW w:w="2835" w:type="dxa"/>
          </w:tcPr>
          <w:p w14:paraId="71B3EC6A"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Lakehouse stood up on Azure EU + US East; identity/governance wired; Power BI repointed via federated query.</w:t>
            </w:r>
          </w:p>
        </w:tc>
        <w:tc>
          <w:tcPr>
            <w:tcW w:w="1474" w:type="dxa"/>
          </w:tcPr>
          <w:p w14:paraId="1E819499"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Weeks 1–8</w:t>
            </w:r>
          </w:p>
        </w:tc>
        <w:tc>
          <w:tcPr>
            <w:tcW w:w="2041" w:type="dxa"/>
          </w:tcPr>
          <w:p w14:paraId="6C2E6F3F"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Azure tenancy access, Azure AD federation, governance policy sign-off.</w:t>
            </w:r>
          </w:p>
        </w:tc>
        <w:tc>
          <w:tcPr>
            <w:tcW w:w="2041" w:type="dxa"/>
          </w:tcPr>
          <w:p w14:paraId="4C6EB088"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Power BI live against new semantic layer; zero data moved; first 5 dashboards validated.</w:t>
            </w:r>
          </w:p>
        </w:tc>
      </w:tr>
      <w:tr w:rsidR="00670EFC" w14:paraId="7A83DFDF"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shd w:val="clear" w:color="auto" w:fill="ECEFF3"/>
          </w:tcPr>
          <w:p w14:paraId="71F64835" w14:textId="77777777" w:rsidR="00670EFC" w:rsidRDefault="00000000">
            <w:pPr>
              <w:spacing w:before="20" w:after="20"/>
            </w:pPr>
            <w:r>
              <w:rPr>
                <w:sz w:val="19"/>
              </w:rPr>
              <w:t>2 — Parallel migration</w:t>
            </w:r>
          </w:p>
        </w:tc>
        <w:tc>
          <w:tcPr>
            <w:tcW w:w="2835" w:type="dxa"/>
            <w:shd w:val="clear" w:color="auto" w:fill="ECEFF3"/>
          </w:tcPr>
          <w:p w14:paraId="103D16E9"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Source-by-source replication into lakehouse; dual-mode running; golden-record validation; per-source cutover.</w:t>
            </w:r>
          </w:p>
        </w:tc>
        <w:tc>
          <w:tcPr>
            <w:tcW w:w="1474" w:type="dxa"/>
            <w:shd w:val="clear" w:color="auto" w:fill="ECEFF3"/>
          </w:tcPr>
          <w:p w14:paraId="12A4B3A7"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Weeks 9–32 (rolling)</w:t>
            </w:r>
          </w:p>
        </w:tc>
        <w:tc>
          <w:tcPr>
            <w:tcW w:w="2041" w:type="dxa"/>
            <w:shd w:val="clear" w:color="auto" w:fill="ECEFF3"/>
          </w:tcPr>
          <w:p w14:paraId="538CBA53"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Source-system owner identified per source; validation sign-off authority.</w:t>
            </w:r>
          </w:p>
        </w:tc>
        <w:tc>
          <w:tcPr>
            <w:tcW w:w="2041" w:type="dxa"/>
            <w:shd w:val="clear" w:color="auto" w:fill="ECEFF3"/>
          </w:tcPr>
          <w:p w14:paraId="58D4E5E1"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All 30+ sources cutover; Teradata read-only.</w:t>
            </w:r>
          </w:p>
        </w:tc>
      </w:tr>
      <w:tr w:rsidR="00670EFC" w14:paraId="3AFF9C76"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303066DF" w14:textId="77777777" w:rsidR="00670EFC" w:rsidRDefault="00000000">
            <w:pPr>
              <w:spacing w:before="20" w:after="20"/>
            </w:pPr>
            <w:r>
              <w:rPr>
                <w:sz w:val="19"/>
              </w:rPr>
              <w:t>3 — Teradata retirement</w:t>
            </w:r>
          </w:p>
        </w:tc>
        <w:tc>
          <w:tcPr>
            <w:tcW w:w="2835" w:type="dxa"/>
          </w:tcPr>
          <w:p w14:paraId="4BE75267"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Progressive Teradata workload retirement as sources complete; licence cost ramp-down; final decommission.</w:t>
            </w:r>
          </w:p>
        </w:tc>
        <w:tc>
          <w:tcPr>
            <w:tcW w:w="1474" w:type="dxa"/>
          </w:tcPr>
          <w:p w14:paraId="045107A6"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Q4 2026 – Q2 2027</w:t>
            </w:r>
          </w:p>
        </w:tc>
        <w:tc>
          <w:tcPr>
            <w:tcW w:w="2041" w:type="dxa"/>
          </w:tcPr>
          <w:p w14:paraId="339F10B2"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Teradata licence and infrastructure retirement coordination.</w:t>
            </w:r>
          </w:p>
        </w:tc>
        <w:tc>
          <w:tcPr>
            <w:tcW w:w="2041" w:type="dxa"/>
          </w:tcPr>
          <w:p w14:paraId="785048A3"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Teradata estate fully decommissioned; cost off Acme's ledger.</w:t>
            </w:r>
          </w:p>
        </w:tc>
      </w:tr>
      <w:tr w:rsidR="00670EFC" w14:paraId="76D120EF"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shd w:val="clear" w:color="auto" w:fill="ECEFF3"/>
          </w:tcPr>
          <w:p w14:paraId="7B222F75" w14:textId="77777777" w:rsidR="00670EFC" w:rsidRDefault="00000000">
            <w:pPr>
              <w:spacing w:before="20" w:after="20"/>
            </w:pPr>
            <w:r>
              <w:rPr>
                <w:sz w:val="19"/>
              </w:rPr>
              <w:t>4 — ML activation (optional)</w:t>
            </w:r>
          </w:p>
        </w:tc>
        <w:tc>
          <w:tcPr>
            <w:tcW w:w="2835" w:type="dxa"/>
            <w:shd w:val="clear" w:color="auto" w:fill="ECEFF3"/>
          </w:tcPr>
          <w:p w14:paraId="69839E7A"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Predictive maintenance models on feature store; production serving for selected use cases.</w:t>
            </w:r>
          </w:p>
        </w:tc>
        <w:tc>
          <w:tcPr>
            <w:tcW w:w="1474" w:type="dxa"/>
            <w:shd w:val="clear" w:color="auto" w:fill="ECEFF3"/>
          </w:tcPr>
          <w:p w14:paraId="79639BA3"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On Acme's schedule</w:t>
            </w:r>
          </w:p>
        </w:tc>
        <w:tc>
          <w:tcPr>
            <w:tcW w:w="2041" w:type="dxa"/>
            <w:shd w:val="clear" w:color="auto" w:fill="ECEFF3"/>
          </w:tcPr>
          <w:p w14:paraId="7D56BCF0"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ML use-case prioritisation; data science capacity.</w:t>
            </w:r>
          </w:p>
        </w:tc>
        <w:tc>
          <w:tcPr>
            <w:tcW w:w="2041" w:type="dxa"/>
            <w:shd w:val="clear" w:color="auto" w:fill="ECEFF3"/>
          </w:tcPr>
          <w:p w14:paraId="039B45CB"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First predictive maintenance model in production for one named asset class.</w:t>
            </w:r>
          </w:p>
        </w:tc>
      </w:tr>
    </w:tbl>
    <w:p w14:paraId="4FE966C3" w14:textId="77777777" w:rsidR="00670EFC" w:rsidRDefault="00000000">
      <w:r>
        <w:rPr>
          <w:i/>
          <w:color w:val="C8821A"/>
          <w:sz w:val="19"/>
        </w:rPr>
        <w:t>Table 2 — Each phase has named exit criteria. Acme controls cutover authority per source; no Phase 2 source moves without Acme sign-off.</w:t>
      </w:r>
    </w:p>
    <w:p w14:paraId="48181D15" w14:textId="77777777" w:rsidR="00670EFC" w:rsidRDefault="00000000">
      <w:pPr>
        <w:pStyle w:val="Heading2"/>
      </w:pPr>
      <w:r>
        <w:t>6.2 Risk register — named risks, named mitigations</w:t>
      </w:r>
    </w:p>
    <w:tbl>
      <w:tblPr>
        <w:tblStyle w:val="LightGrid-Accent1"/>
        <w:tblW w:w="0" w:type="auto"/>
        <w:tblLook w:val="04A0" w:firstRow="1" w:lastRow="0" w:firstColumn="1" w:lastColumn="0" w:noHBand="0" w:noVBand="1"/>
      </w:tblPr>
      <w:tblGrid>
        <w:gridCol w:w="2835"/>
        <w:gridCol w:w="1417"/>
        <w:gridCol w:w="3685"/>
        <w:gridCol w:w="1928"/>
      </w:tblGrid>
      <w:tr w:rsidR="00670EFC" w14:paraId="24C97295" w14:textId="77777777" w:rsidTr="00670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1F3A5F"/>
            <w:vAlign w:val="center"/>
          </w:tcPr>
          <w:p w14:paraId="60208B17" w14:textId="77777777" w:rsidR="00670EFC" w:rsidRDefault="00000000">
            <w:pPr>
              <w:spacing w:before="40" w:after="40"/>
            </w:pPr>
            <w:r>
              <w:rPr>
                <w:color w:val="FFFFFF"/>
                <w:sz w:val="20"/>
              </w:rPr>
              <w:t>Risk</w:t>
            </w:r>
          </w:p>
        </w:tc>
        <w:tc>
          <w:tcPr>
            <w:tcW w:w="1417" w:type="dxa"/>
            <w:shd w:val="clear" w:color="auto" w:fill="1F3A5F"/>
            <w:vAlign w:val="center"/>
          </w:tcPr>
          <w:p w14:paraId="5B84D0BD" w14:textId="77777777" w:rsidR="00670EFC"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Likelihood / Impact</w:t>
            </w:r>
          </w:p>
        </w:tc>
        <w:tc>
          <w:tcPr>
            <w:tcW w:w="3685" w:type="dxa"/>
            <w:shd w:val="clear" w:color="auto" w:fill="1F3A5F"/>
            <w:vAlign w:val="center"/>
          </w:tcPr>
          <w:p w14:paraId="1148C545" w14:textId="77777777" w:rsidR="00670EFC"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Mitigation</w:t>
            </w:r>
          </w:p>
        </w:tc>
        <w:tc>
          <w:tcPr>
            <w:tcW w:w="1928" w:type="dxa"/>
            <w:shd w:val="clear" w:color="auto" w:fill="1F3A5F"/>
            <w:vAlign w:val="center"/>
          </w:tcPr>
          <w:p w14:paraId="2FC49D0B" w14:textId="77777777" w:rsidR="00670EFC"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Owner</w:t>
            </w:r>
          </w:p>
        </w:tc>
      </w:tr>
      <w:tr w:rsidR="00670EFC" w14:paraId="453D2C0F"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F3D91D2" w14:textId="77777777" w:rsidR="00670EFC" w:rsidRDefault="00000000">
            <w:pPr>
              <w:spacing w:before="20" w:after="20"/>
            </w:pPr>
            <w:r>
              <w:rPr>
                <w:sz w:val="19"/>
              </w:rPr>
              <w:t>Dual-run cost overrun (Teradata + lakehouse running in parallel)</w:t>
            </w:r>
          </w:p>
        </w:tc>
        <w:tc>
          <w:tcPr>
            <w:tcW w:w="1417" w:type="dxa"/>
          </w:tcPr>
          <w:p w14:paraId="5810215F"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Med / Med</w:t>
            </w:r>
          </w:p>
        </w:tc>
        <w:tc>
          <w:tcPr>
            <w:tcW w:w="3685" w:type="dxa"/>
          </w:tcPr>
          <w:p w14:paraId="7DDD0B8E"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Phased cutover limits overlap per source; dual-run costs pre-agreed in commercial schedule (§7).</w:t>
            </w:r>
          </w:p>
        </w:tc>
        <w:tc>
          <w:tcPr>
            <w:tcW w:w="1928" w:type="dxa"/>
          </w:tcPr>
          <w:p w14:paraId="241142D2"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BTS-Synthetic + Acme finance</w:t>
            </w:r>
          </w:p>
        </w:tc>
      </w:tr>
      <w:tr w:rsidR="00670EFC" w14:paraId="0F79CF9A"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ECEFF3"/>
          </w:tcPr>
          <w:p w14:paraId="56D01703" w14:textId="77777777" w:rsidR="00670EFC" w:rsidRDefault="00000000">
            <w:pPr>
              <w:spacing w:before="20" w:after="20"/>
            </w:pPr>
            <w:r>
              <w:rPr>
                <w:sz w:val="19"/>
              </w:rPr>
              <w:t>Reconciliation discrepancies during dual-run</w:t>
            </w:r>
          </w:p>
        </w:tc>
        <w:tc>
          <w:tcPr>
            <w:tcW w:w="1417" w:type="dxa"/>
            <w:shd w:val="clear" w:color="auto" w:fill="ECEFF3"/>
          </w:tcPr>
          <w:p w14:paraId="080FA695"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Med / High</w:t>
            </w:r>
          </w:p>
        </w:tc>
        <w:tc>
          <w:tcPr>
            <w:tcW w:w="3685" w:type="dxa"/>
            <w:shd w:val="clear" w:color="auto" w:fill="ECEFF3"/>
          </w:tcPr>
          <w:p w14:paraId="5B766976"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Automated golden-record validation embedded in Phase 2; no cutover without passing validation gates.</w:t>
            </w:r>
          </w:p>
        </w:tc>
        <w:tc>
          <w:tcPr>
            <w:tcW w:w="1928" w:type="dxa"/>
            <w:shd w:val="clear" w:color="auto" w:fill="ECEFF3"/>
          </w:tcPr>
          <w:p w14:paraId="68B8AAB5"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BTS-Synthetic delivery lead</w:t>
            </w:r>
          </w:p>
        </w:tc>
      </w:tr>
      <w:tr w:rsidR="00670EFC" w14:paraId="32CA08E5"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F1E055C" w14:textId="77777777" w:rsidR="00670EFC" w:rsidRDefault="00000000">
            <w:pPr>
              <w:spacing w:before="20" w:after="20"/>
            </w:pPr>
            <w:r>
              <w:rPr>
                <w:sz w:val="19"/>
              </w:rPr>
              <w:t>Schema drift across 30+ sources</w:t>
            </w:r>
          </w:p>
        </w:tc>
        <w:tc>
          <w:tcPr>
            <w:tcW w:w="1417" w:type="dxa"/>
          </w:tcPr>
          <w:p w14:paraId="4DC08006"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Med / Med</w:t>
            </w:r>
          </w:p>
        </w:tc>
        <w:tc>
          <w:tcPr>
            <w:tcW w:w="3685" w:type="dxa"/>
          </w:tcPr>
          <w:p w14:paraId="6CFC4BB5"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Catalog-driven schema contracts enforced at ingest; schema evolution rules defined per table during Phase 1, not discovered mid-migration.</w:t>
            </w:r>
          </w:p>
        </w:tc>
        <w:tc>
          <w:tcPr>
            <w:tcW w:w="1928" w:type="dxa"/>
          </w:tcPr>
          <w:p w14:paraId="25F13D51"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BTS-Synthetic + Acme source-system owners</w:t>
            </w:r>
          </w:p>
        </w:tc>
      </w:tr>
      <w:tr w:rsidR="00670EFC" w14:paraId="403CDEB5"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ECEFF3"/>
          </w:tcPr>
          <w:p w14:paraId="0BC40313" w14:textId="77777777" w:rsidR="00670EFC" w:rsidRDefault="00000000">
            <w:pPr>
              <w:spacing w:before="20" w:after="20"/>
            </w:pPr>
            <w:r>
              <w:rPr>
                <w:sz w:val="19"/>
              </w:rPr>
              <w:t>Azure AD/Entra federation complexity across 18 countries</w:t>
            </w:r>
          </w:p>
        </w:tc>
        <w:tc>
          <w:tcPr>
            <w:tcW w:w="1417" w:type="dxa"/>
            <w:shd w:val="clear" w:color="auto" w:fill="ECEFF3"/>
          </w:tcPr>
          <w:p w14:paraId="79B6A71F"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Low / Med</w:t>
            </w:r>
          </w:p>
        </w:tc>
        <w:tc>
          <w:tcPr>
            <w:tcW w:w="3685" w:type="dxa"/>
            <w:shd w:val="clear" w:color="auto" w:fill="ECEFF3"/>
          </w:tcPr>
          <w:p w14:paraId="6F364B71"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Resolved in pre-contract scoping workshop with Acme identity team; no production cutover until federation is validated.</w:t>
            </w:r>
          </w:p>
        </w:tc>
        <w:tc>
          <w:tcPr>
            <w:tcW w:w="1928" w:type="dxa"/>
            <w:shd w:val="clear" w:color="auto" w:fill="ECEFF3"/>
          </w:tcPr>
          <w:p w14:paraId="10F91F92"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Acme identity + BTS-Synthetic</w:t>
            </w:r>
          </w:p>
        </w:tc>
      </w:tr>
      <w:tr w:rsidR="00670EFC" w14:paraId="184BEB1F"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A38A835" w14:textId="77777777" w:rsidR="00670EFC" w:rsidRDefault="00000000">
            <w:pPr>
              <w:spacing w:before="20" w:after="20"/>
            </w:pPr>
            <w:r>
              <w:rPr>
                <w:sz w:val="19"/>
              </w:rPr>
              <w:t>Streaming latency demand emerging post-deployment</w:t>
            </w:r>
          </w:p>
        </w:tc>
        <w:tc>
          <w:tcPr>
            <w:tcW w:w="1417" w:type="dxa"/>
          </w:tcPr>
          <w:p w14:paraId="6A99ED04"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Low / Med</w:t>
            </w:r>
          </w:p>
        </w:tc>
        <w:tc>
          <w:tcPr>
            <w:tcW w:w="3685" w:type="dxa"/>
          </w:tcPr>
          <w:p w14:paraId="2E26A4B8"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In-memory aggregation cache pattern available on demand; Initech precedent.</w:t>
            </w:r>
          </w:p>
        </w:tc>
        <w:tc>
          <w:tcPr>
            <w:tcW w:w="1928" w:type="dxa"/>
          </w:tcPr>
          <w:p w14:paraId="1B8A00C3"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BTS-Synthetic solution architect</w:t>
            </w:r>
          </w:p>
        </w:tc>
      </w:tr>
      <w:tr w:rsidR="00670EFC" w14:paraId="46DB0991"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ECEFF3"/>
          </w:tcPr>
          <w:p w14:paraId="3387B32B" w14:textId="77777777" w:rsidR="00670EFC" w:rsidRDefault="00000000">
            <w:pPr>
              <w:spacing w:before="20" w:after="20"/>
            </w:pPr>
            <w:r>
              <w:rPr>
                <w:sz w:val="19"/>
              </w:rPr>
              <w:t>Acme staffing turnover during migration window</w:t>
            </w:r>
          </w:p>
        </w:tc>
        <w:tc>
          <w:tcPr>
            <w:tcW w:w="1417" w:type="dxa"/>
            <w:shd w:val="clear" w:color="auto" w:fill="ECEFF3"/>
          </w:tcPr>
          <w:p w14:paraId="77F14738"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Low / Med</w:t>
            </w:r>
          </w:p>
        </w:tc>
        <w:tc>
          <w:tcPr>
            <w:tcW w:w="3685" w:type="dxa"/>
            <w:shd w:val="clear" w:color="auto" w:fill="ECEFF3"/>
          </w:tcPr>
          <w:p w14:paraId="7E461DEF"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 xml:space="preserve">Named Customer Success Manager + four on-site QBRs per year (in commercial </w:t>
            </w:r>
            <w:r>
              <w:rPr>
                <w:sz w:val="19"/>
              </w:rPr>
              <w:lastRenderedPageBreak/>
              <w:t>package); migration runbook owned jointly.</w:t>
            </w:r>
          </w:p>
        </w:tc>
        <w:tc>
          <w:tcPr>
            <w:tcW w:w="1928" w:type="dxa"/>
            <w:shd w:val="clear" w:color="auto" w:fill="ECEFF3"/>
          </w:tcPr>
          <w:p w14:paraId="62F75DEC"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lastRenderedPageBreak/>
              <w:t xml:space="preserve">BTS-Synthetic CSM + Acme programme </w:t>
            </w:r>
            <w:r>
              <w:rPr>
                <w:sz w:val="19"/>
              </w:rPr>
              <w:lastRenderedPageBreak/>
              <w:t>manager</w:t>
            </w:r>
          </w:p>
        </w:tc>
      </w:tr>
    </w:tbl>
    <w:p w14:paraId="5C0AC98E" w14:textId="77777777" w:rsidR="00670EFC" w:rsidRDefault="00000000">
      <w:r>
        <w:rPr>
          <w:i/>
          <w:color w:val="C8821A"/>
          <w:sz w:val="19"/>
        </w:rPr>
        <w:lastRenderedPageBreak/>
        <w:t>Table 3 — Each risk has a named mitigation, a named owner, and a clear inspection point. Risks are managed before they are problems.</w:t>
      </w:r>
    </w:p>
    <w:p w14:paraId="24E32A2C" w14:textId="77777777" w:rsidR="00670EFC" w:rsidRDefault="00000000">
      <w:r>
        <w:br w:type="page"/>
      </w:r>
    </w:p>
    <w:p w14:paraId="39D5AECE" w14:textId="77777777" w:rsidR="00670EFC" w:rsidRDefault="00000000">
      <w:pPr>
        <w:pStyle w:val="Heading1"/>
      </w:pPr>
      <w:r>
        <w:lastRenderedPageBreak/>
        <w:t>7. Commercial Proposal</w:t>
      </w:r>
    </w:p>
    <w:tbl>
      <w:tblPr>
        <w:tblW w:w="0" w:type="auto"/>
        <w:tblLook w:val="04A0" w:firstRow="1" w:lastRow="0" w:firstColumn="1" w:lastColumn="0" w:noHBand="0" w:noVBand="1"/>
      </w:tblPr>
      <w:tblGrid>
        <w:gridCol w:w="9746"/>
      </w:tblGrid>
      <w:tr w:rsidR="00670EFC" w14:paraId="7160CDDD" w14:textId="77777777">
        <w:tc>
          <w:tcPr>
            <w:tcW w:w="9746" w:type="dxa"/>
            <w:tcBorders>
              <w:left w:val="single" w:sz="24" w:space="0" w:color="C8821A"/>
            </w:tcBorders>
            <w:shd w:val="clear" w:color="auto" w:fill="FFF8EC"/>
          </w:tcPr>
          <w:p w14:paraId="559FDFFD" w14:textId="77777777" w:rsidR="00670EFC" w:rsidRDefault="00000000">
            <w:pPr>
              <w:spacing w:before="80" w:after="80"/>
            </w:pPr>
            <w:r>
              <w:rPr>
                <w:b/>
                <w:i/>
                <w:color w:val="1F3A5F"/>
              </w:rPr>
              <w:t>Acme pays the same price in Year 5 as in Year 1 — no compute creep, no storage surprises, no renegotiation. The five-year all-in investment is USD 4,910,000.</w:t>
            </w:r>
          </w:p>
        </w:tc>
      </w:tr>
    </w:tbl>
    <w:p w14:paraId="29C69923" w14:textId="77777777" w:rsidR="00670EFC" w:rsidRDefault="00670EFC"/>
    <w:p w14:paraId="42EDA550" w14:textId="77777777" w:rsidR="00670EFC" w:rsidRDefault="00000000">
      <w:pPr>
        <w:pStyle w:val="Heading2"/>
      </w:pPr>
      <w:r>
        <w:t>7.1 Acme's TCO lens</w:t>
      </w:r>
    </w:p>
    <w:p w14:paraId="31EBC07C" w14:textId="77777777" w:rsidR="00670EFC" w:rsidRDefault="00000000">
      <w:pPr>
        <w:spacing w:after="120"/>
      </w:pPr>
      <w:r>
        <w:t>Acme's data estate grows at 12 TB per month. By the close of Year 3 the platform will manage more than twice its current volume; by Year 5, approximately 1,000 TB. That growth trajectory is predictable, and so is every dollar of its cost. The commercial structure on this page is designed around a single principle: the cost of running Acme's data platform must be as forecastable as a depreciation schedule, not subject to the quarterly recalibration that consumption-variable pricing imposes. Acme's evaluation criteria assign 45% of total scoring weight to commercial terms and 5-year TCO combined; this package is constructed to maximise both, because they point to the same answer.</w:t>
      </w:r>
    </w:p>
    <w:p w14:paraId="3C442765" w14:textId="77777777" w:rsidR="00670EFC" w:rsidRDefault="00000000">
      <w:pPr>
        <w:pStyle w:val="Heading2"/>
      </w:pPr>
      <w:r>
        <w:t>7.2 Five-year investment schedule</w:t>
      </w:r>
    </w:p>
    <w:tbl>
      <w:tblPr>
        <w:tblStyle w:val="LightGrid-Accent1"/>
        <w:tblW w:w="0" w:type="auto"/>
        <w:tblLook w:val="04A0" w:firstRow="1" w:lastRow="0" w:firstColumn="1" w:lastColumn="0" w:noHBand="0" w:noVBand="1"/>
      </w:tblPr>
      <w:tblGrid>
        <w:gridCol w:w="3018"/>
        <w:gridCol w:w="1129"/>
        <w:gridCol w:w="1119"/>
        <w:gridCol w:w="1119"/>
        <w:gridCol w:w="1119"/>
        <w:gridCol w:w="1119"/>
        <w:gridCol w:w="1339"/>
      </w:tblGrid>
      <w:tr w:rsidR="00670EFC" w14:paraId="221FE547" w14:textId="77777777" w:rsidTr="00670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shd w:val="clear" w:color="auto" w:fill="1F3A5F"/>
            <w:vAlign w:val="center"/>
          </w:tcPr>
          <w:p w14:paraId="1DA81912" w14:textId="77777777" w:rsidR="00670EFC" w:rsidRDefault="00000000">
            <w:pPr>
              <w:spacing w:before="40" w:after="40"/>
            </w:pPr>
            <w:r>
              <w:rPr>
                <w:color w:val="FFFFFF"/>
                <w:sz w:val="20"/>
              </w:rPr>
              <w:t>Component</w:t>
            </w:r>
          </w:p>
        </w:tc>
        <w:tc>
          <w:tcPr>
            <w:tcW w:w="1134" w:type="dxa"/>
            <w:shd w:val="clear" w:color="auto" w:fill="1F3A5F"/>
            <w:vAlign w:val="center"/>
          </w:tcPr>
          <w:p w14:paraId="54D69709" w14:textId="77777777" w:rsidR="00670EFC"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Yr 1</w:t>
            </w:r>
          </w:p>
        </w:tc>
        <w:tc>
          <w:tcPr>
            <w:tcW w:w="1134" w:type="dxa"/>
            <w:shd w:val="clear" w:color="auto" w:fill="1F3A5F"/>
            <w:vAlign w:val="center"/>
          </w:tcPr>
          <w:p w14:paraId="476D29C2" w14:textId="77777777" w:rsidR="00670EFC"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Yr 2</w:t>
            </w:r>
          </w:p>
        </w:tc>
        <w:tc>
          <w:tcPr>
            <w:tcW w:w="1134" w:type="dxa"/>
            <w:shd w:val="clear" w:color="auto" w:fill="1F3A5F"/>
            <w:vAlign w:val="center"/>
          </w:tcPr>
          <w:p w14:paraId="41E7CA1F" w14:textId="77777777" w:rsidR="00670EFC"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Yr 3</w:t>
            </w:r>
          </w:p>
        </w:tc>
        <w:tc>
          <w:tcPr>
            <w:tcW w:w="1134" w:type="dxa"/>
            <w:shd w:val="clear" w:color="auto" w:fill="1F3A5F"/>
            <w:vAlign w:val="center"/>
          </w:tcPr>
          <w:p w14:paraId="7441EE83" w14:textId="77777777" w:rsidR="00670EFC"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Yr 4</w:t>
            </w:r>
          </w:p>
        </w:tc>
        <w:tc>
          <w:tcPr>
            <w:tcW w:w="1134" w:type="dxa"/>
            <w:shd w:val="clear" w:color="auto" w:fill="1F3A5F"/>
            <w:vAlign w:val="center"/>
          </w:tcPr>
          <w:p w14:paraId="2067FCF8" w14:textId="77777777" w:rsidR="00670EFC"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Yr 5</w:t>
            </w:r>
          </w:p>
        </w:tc>
        <w:tc>
          <w:tcPr>
            <w:tcW w:w="1361" w:type="dxa"/>
            <w:shd w:val="clear" w:color="auto" w:fill="1F3A5F"/>
            <w:vAlign w:val="center"/>
          </w:tcPr>
          <w:p w14:paraId="506086CA" w14:textId="77777777" w:rsidR="00670EFC"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5-Yr Total</w:t>
            </w:r>
          </w:p>
        </w:tc>
      </w:tr>
      <w:tr w:rsidR="00670EFC" w14:paraId="05801261"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3CAB8BDE" w14:textId="77777777" w:rsidR="00670EFC" w:rsidRDefault="00000000">
            <w:pPr>
              <w:spacing w:before="20" w:after="20"/>
            </w:pPr>
            <w:r>
              <w:rPr>
                <w:sz w:val="19"/>
              </w:rPr>
              <w:t>Platform subscription (incl. compute ≤250 DPU-hr/mo; storage ≤500 TB)</w:t>
            </w:r>
          </w:p>
        </w:tc>
        <w:tc>
          <w:tcPr>
            <w:tcW w:w="1134" w:type="dxa"/>
          </w:tcPr>
          <w:p w14:paraId="1C218A88"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$885,000</w:t>
            </w:r>
          </w:p>
        </w:tc>
        <w:tc>
          <w:tcPr>
            <w:tcW w:w="1134" w:type="dxa"/>
          </w:tcPr>
          <w:p w14:paraId="4DCC56CD"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$885,000</w:t>
            </w:r>
          </w:p>
        </w:tc>
        <w:tc>
          <w:tcPr>
            <w:tcW w:w="1134" w:type="dxa"/>
          </w:tcPr>
          <w:p w14:paraId="332AD6AF"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$885,000</w:t>
            </w:r>
          </w:p>
        </w:tc>
        <w:tc>
          <w:tcPr>
            <w:tcW w:w="1134" w:type="dxa"/>
          </w:tcPr>
          <w:p w14:paraId="0D7AB3BF"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$885,000</w:t>
            </w:r>
          </w:p>
        </w:tc>
        <w:tc>
          <w:tcPr>
            <w:tcW w:w="1134" w:type="dxa"/>
          </w:tcPr>
          <w:p w14:paraId="374E5465"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$885,000</w:t>
            </w:r>
          </w:p>
        </w:tc>
        <w:tc>
          <w:tcPr>
            <w:tcW w:w="1361" w:type="dxa"/>
          </w:tcPr>
          <w:p w14:paraId="53086E66"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$4,425,000</w:t>
            </w:r>
          </w:p>
        </w:tc>
      </w:tr>
      <w:tr w:rsidR="00670EFC" w14:paraId="01EFD5CC"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shd w:val="clear" w:color="auto" w:fill="ECEFF3"/>
          </w:tcPr>
          <w:p w14:paraId="1D4DC61E" w14:textId="77777777" w:rsidR="00670EFC" w:rsidRDefault="00000000">
            <w:pPr>
              <w:spacing w:before="20" w:after="20"/>
            </w:pPr>
            <w:r>
              <w:rPr>
                <w:sz w:val="19"/>
              </w:rPr>
              <w:t>Storage growth credits (500 TB → 1,000 TB ramp at 12 TB/mo)</w:t>
            </w:r>
          </w:p>
        </w:tc>
        <w:tc>
          <w:tcPr>
            <w:tcW w:w="1134" w:type="dxa"/>
            <w:shd w:val="clear" w:color="auto" w:fill="ECEFF3"/>
          </w:tcPr>
          <w:p w14:paraId="4BB62D30"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$44,000</w:t>
            </w:r>
          </w:p>
        </w:tc>
        <w:tc>
          <w:tcPr>
            <w:tcW w:w="1134" w:type="dxa"/>
            <w:shd w:val="clear" w:color="auto" w:fill="ECEFF3"/>
          </w:tcPr>
          <w:p w14:paraId="26F05E6F"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$44,000</w:t>
            </w:r>
          </w:p>
        </w:tc>
        <w:tc>
          <w:tcPr>
            <w:tcW w:w="1134" w:type="dxa"/>
            <w:shd w:val="clear" w:color="auto" w:fill="ECEFF3"/>
          </w:tcPr>
          <w:p w14:paraId="6E63938D"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$44,000</w:t>
            </w:r>
          </w:p>
        </w:tc>
        <w:tc>
          <w:tcPr>
            <w:tcW w:w="1134" w:type="dxa"/>
            <w:shd w:val="clear" w:color="auto" w:fill="ECEFF3"/>
          </w:tcPr>
          <w:p w14:paraId="7D207025"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$44,000</w:t>
            </w:r>
          </w:p>
        </w:tc>
        <w:tc>
          <w:tcPr>
            <w:tcW w:w="1134" w:type="dxa"/>
            <w:shd w:val="clear" w:color="auto" w:fill="ECEFF3"/>
          </w:tcPr>
          <w:p w14:paraId="607B393F"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$44,000</w:t>
            </w:r>
          </w:p>
        </w:tc>
        <w:tc>
          <w:tcPr>
            <w:tcW w:w="1361" w:type="dxa"/>
            <w:shd w:val="clear" w:color="auto" w:fill="ECEFF3"/>
          </w:tcPr>
          <w:p w14:paraId="724FFED3"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$220,000</w:t>
            </w:r>
          </w:p>
        </w:tc>
      </w:tr>
      <w:tr w:rsidR="00670EFC" w14:paraId="6F48B2DB"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68E9B15F" w14:textId="77777777" w:rsidR="00670EFC" w:rsidRDefault="00000000">
            <w:pPr>
              <w:spacing w:before="20" w:after="20"/>
            </w:pPr>
            <w:r>
              <w:rPr>
                <w:sz w:val="19"/>
              </w:rPr>
              <w:t>Premier Customer Success (named CSM, 4× on-site QBRs/yr, legacy migration support)</w:t>
            </w:r>
          </w:p>
        </w:tc>
        <w:tc>
          <w:tcPr>
            <w:tcW w:w="1134" w:type="dxa"/>
          </w:tcPr>
          <w:p w14:paraId="6846878B"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$85,000</w:t>
            </w:r>
          </w:p>
        </w:tc>
        <w:tc>
          <w:tcPr>
            <w:tcW w:w="1134" w:type="dxa"/>
          </w:tcPr>
          <w:p w14:paraId="74CABDE7"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$45,000</w:t>
            </w:r>
          </w:p>
        </w:tc>
        <w:tc>
          <w:tcPr>
            <w:tcW w:w="1134" w:type="dxa"/>
          </w:tcPr>
          <w:p w14:paraId="20E44207"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$45,000</w:t>
            </w:r>
          </w:p>
        </w:tc>
        <w:tc>
          <w:tcPr>
            <w:tcW w:w="1134" w:type="dxa"/>
          </w:tcPr>
          <w:p w14:paraId="6FC5CACD"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$45,000</w:t>
            </w:r>
          </w:p>
        </w:tc>
        <w:tc>
          <w:tcPr>
            <w:tcW w:w="1134" w:type="dxa"/>
          </w:tcPr>
          <w:p w14:paraId="12020686"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$45,000</w:t>
            </w:r>
          </w:p>
        </w:tc>
        <w:tc>
          <w:tcPr>
            <w:tcW w:w="1361" w:type="dxa"/>
          </w:tcPr>
          <w:p w14:paraId="72C0F375"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$265,000</w:t>
            </w:r>
          </w:p>
        </w:tc>
      </w:tr>
      <w:tr w:rsidR="00670EFC" w14:paraId="6BCDEF4B"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shd w:val="clear" w:color="auto" w:fill="ECEFF3"/>
          </w:tcPr>
          <w:p w14:paraId="5302765D" w14:textId="77777777" w:rsidR="00670EFC" w:rsidRDefault="00000000">
            <w:pPr>
              <w:spacing w:before="20" w:after="20"/>
            </w:pPr>
            <w:r>
              <w:rPr>
                <w:sz w:val="19"/>
              </w:rPr>
              <w:t>Total annual investment</w:t>
            </w:r>
          </w:p>
        </w:tc>
        <w:tc>
          <w:tcPr>
            <w:tcW w:w="1134" w:type="dxa"/>
            <w:shd w:val="clear" w:color="auto" w:fill="ECEFF3"/>
          </w:tcPr>
          <w:p w14:paraId="2083C2E6"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$1,014,000</w:t>
            </w:r>
          </w:p>
        </w:tc>
        <w:tc>
          <w:tcPr>
            <w:tcW w:w="1134" w:type="dxa"/>
            <w:shd w:val="clear" w:color="auto" w:fill="ECEFF3"/>
          </w:tcPr>
          <w:p w14:paraId="79D8C7B8"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$974,000</w:t>
            </w:r>
          </w:p>
        </w:tc>
        <w:tc>
          <w:tcPr>
            <w:tcW w:w="1134" w:type="dxa"/>
            <w:shd w:val="clear" w:color="auto" w:fill="ECEFF3"/>
          </w:tcPr>
          <w:p w14:paraId="0C72D9B4"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$974,000</w:t>
            </w:r>
          </w:p>
        </w:tc>
        <w:tc>
          <w:tcPr>
            <w:tcW w:w="1134" w:type="dxa"/>
            <w:shd w:val="clear" w:color="auto" w:fill="ECEFF3"/>
          </w:tcPr>
          <w:p w14:paraId="2D168B9C"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$974,000</w:t>
            </w:r>
          </w:p>
        </w:tc>
        <w:tc>
          <w:tcPr>
            <w:tcW w:w="1134" w:type="dxa"/>
            <w:shd w:val="clear" w:color="auto" w:fill="ECEFF3"/>
          </w:tcPr>
          <w:p w14:paraId="54F6A282"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$974,000</w:t>
            </w:r>
          </w:p>
        </w:tc>
        <w:tc>
          <w:tcPr>
            <w:tcW w:w="1361" w:type="dxa"/>
            <w:shd w:val="clear" w:color="auto" w:fill="ECEFF3"/>
          </w:tcPr>
          <w:p w14:paraId="14C52FF8"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$4,910,000</w:t>
            </w:r>
          </w:p>
        </w:tc>
      </w:tr>
      <w:tr w:rsidR="00670EFC" w14:paraId="2B35BDD6"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566204E9" w14:textId="77777777" w:rsidR="00670EFC" w:rsidRDefault="00000000">
            <w:pPr>
              <w:spacing w:before="20" w:after="20"/>
            </w:pPr>
            <w:r>
              <w:rPr>
                <w:sz w:val="19"/>
              </w:rPr>
              <w:t>Optional: 99.99% HA multi-region active-active architecture module</w:t>
            </w:r>
          </w:p>
        </w:tc>
        <w:tc>
          <w:tcPr>
            <w:tcW w:w="1134" w:type="dxa"/>
          </w:tcPr>
          <w:p w14:paraId="09633172"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$100,000</w:t>
            </w:r>
          </w:p>
        </w:tc>
        <w:tc>
          <w:tcPr>
            <w:tcW w:w="1134" w:type="dxa"/>
          </w:tcPr>
          <w:p w14:paraId="3D6C8AE0"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$100,000</w:t>
            </w:r>
          </w:p>
        </w:tc>
        <w:tc>
          <w:tcPr>
            <w:tcW w:w="1134" w:type="dxa"/>
          </w:tcPr>
          <w:p w14:paraId="08189084"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$100,000</w:t>
            </w:r>
          </w:p>
        </w:tc>
        <w:tc>
          <w:tcPr>
            <w:tcW w:w="1134" w:type="dxa"/>
          </w:tcPr>
          <w:p w14:paraId="316CC2F7"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$100,000</w:t>
            </w:r>
          </w:p>
        </w:tc>
        <w:tc>
          <w:tcPr>
            <w:tcW w:w="1134" w:type="dxa"/>
          </w:tcPr>
          <w:p w14:paraId="34803B3F"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$100,000</w:t>
            </w:r>
          </w:p>
        </w:tc>
        <w:tc>
          <w:tcPr>
            <w:tcW w:w="1361" w:type="dxa"/>
          </w:tcPr>
          <w:p w14:paraId="366DBE99"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$500,000</w:t>
            </w:r>
          </w:p>
        </w:tc>
      </w:tr>
    </w:tbl>
    <w:p w14:paraId="47C094CE" w14:textId="77777777" w:rsidR="00670EFC" w:rsidRDefault="00000000">
      <w:r>
        <w:rPr>
          <w:i/>
          <w:color w:val="C8821A"/>
          <w:sz w:val="19"/>
        </w:rPr>
        <w:t>Table 4 — Acme's five-year cost in one schedule. The storage growth line absorbs the ramp from 280 TB to ~1,000 TB. No renegotiation trigger. No overage invoice. One line on the P&amp;L.</w:t>
      </w:r>
    </w:p>
    <w:p w14:paraId="4219896A" w14:textId="77777777" w:rsidR="00670EFC" w:rsidRDefault="00000000">
      <w:pPr>
        <w:pStyle w:val="Heading2"/>
      </w:pPr>
      <w:r>
        <w:t>7.3 Acme's cost versus the alternatives Acme is evaluating</w:t>
      </w:r>
    </w:p>
    <w:p w14:paraId="68B97488" w14:textId="77777777" w:rsidR="00670EFC" w:rsidRDefault="00000000">
      <w:pPr>
        <w:spacing w:after="120"/>
      </w:pPr>
      <w:r>
        <w:t>Acme's estate will reach approximately 640 TB by the end of Year 3. At that scale, two alternative commercial architectures produce materially different outcomes.</w:t>
      </w:r>
    </w:p>
    <w:p w14:paraId="2DB87B1F" w14:textId="77777777" w:rsidR="00670EFC" w:rsidRDefault="00000000">
      <w:pPr>
        <w:spacing w:after="120"/>
      </w:pPr>
      <w:r>
        <w:t>Against consumption-metered platforms — platforms that price compute and ingest as variable events — independent modelling based on Globex Manufacturing's actual industrial workload places a three-year all-in cost in the range of USD 3.6M–3.8M. That compares to Acme's fixed three-year commitment of USD 2,962,000 under this agreement: a 20–25% premium that widens in Years 4 and 5 as query patterns mature and data volumes compound.</w:t>
      </w:r>
    </w:p>
    <w:p w14:paraId="19581574" w14:textId="77777777" w:rsidR="00670EFC" w:rsidRDefault="00000000">
      <w:pPr>
        <w:spacing w:after="120"/>
      </w:pPr>
      <w:r>
        <w:t>Against licence-bundled offers — platforms that appear free at the per-capacity or per-seat level — experience from Initech Sensors' comparable IoT deployment documented over USD 380,000 of first-year maturity-gap consultancy above the apparent licence cost, with ongoing bridging services of USD 150,000–</w:t>
      </w:r>
      <w:r>
        <w:lastRenderedPageBreak/>
        <w:t>200,000 per year thereafter. Acme's USD 4.91M five-year total here includes Premier Customer Success, named legacy migration support, and four on-site QBRs per year — there is no hidden professional services line.</w:t>
      </w:r>
    </w:p>
    <w:p w14:paraId="633BB7AA" w14:textId="77777777" w:rsidR="00670EFC" w:rsidRDefault="00000000">
      <w:pPr>
        <w:pStyle w:val="Heading2"/>
      </w:pPr>
      <w:r>
        <w:t>7.4 Commercial flex</w:t>
      </w:r>
    </w:p>
    <w:p w14:paraId="0501DB43" w14:textId="77777777" w:rsidR="00670EFC" w:rsidRDefault="00000000">
      <w:pPr>
        <w:spacing w:after="120"/>
      </w:pPr>
      <w:r>
        <w:t>Acme will receive a Comparable Customer Most Favoured Nation warranty, contractually defined: if BTS-Synthetic offers a materially similar subscription to a customer of equivalent scale (contracted storage tier ±20%), same industry, equivalent term and payment conditions at a lower effective rate, Acme receives the same rate prospectively from the next annual anniversary. This is a contract clause, not a side letter. The full definition is in §8.</w:t>
      </w:r>
    </w:p>
    <w:p w14:paraId="33455F66" w14:textId="77777777" w:rsidR="00670EFC" w:rsidRDefault="00000000">
      <w:pPr>
        <w:spacing w:after="120"/>
      </w:pPr>
      <w:r>
        <w:t>Acme's payment is annual in advance. The standard term is Net 30; Net 60 is accepted. Acme receives a 2% prompt-pay credit (~USD 20,300 per year at this commitment level) for Net 30, applied against the following annual invoice.</w:t>
      </w:r>
    </w:p>
    <w:p w14:paraId="07699F87" w14:textId="77777777" w:rsidR="00670EFC" w:rsidRDefault="00000000">
      <w:pPr>
        <w:spacing w:after="120"/>
      </w:pPr>
      <w:r>
        <w:t>Acme may terminate for convenience with 90 days' written notice. Pre-paid fees for the unused portion of the current annual term are refunded pro-rata within 30 days of the termination effective date. No penalty. No early-termination fee.</w:t>
      </w:r>
    </w:p>
    <w:p w14:paraId="7A19BEDA" w14:textId="77777777" w:rsidR="00670EFC" w:rsidRDefault="00000000">
      <w:pPr>
        <w:pStyle w:val="Heading2"/>
      </w:pPr>
      <w:r>
        <w:t>7.5 Headline — Acme's investment-protected pricing</w:t>
      </w:r>
    </w:p>
    <w:p w14:paraId="48BBB5F8" w14:textId="77777777" w:rsidR="00670EFC" w:rsidRDefault="00000000">
      <w:pPr>
        <w:spacing w:after="120"/>
      </w:pPr>
      <w:r>
        <w:rPr>
          <w:sz w:val="24"/>
        </w:rPr>
        <w:t xml:space="preserve">Acme's five-year all-in investment is </w:t>
      </w:r>
      <w:r>
        <w:rPr>
          <w:b/>
          <w:color w:val="1F3A5F"/>
          <w:sz w:val="26"/>
        </w:rPr>
        <w:t>USD 4,910,000</w:t>
      </w:r>
      <w:r>
        <w:rPr>
          <w:sz w:val="24"/>
        </w:rPr>
        <w:t xml:space="preserve"> — USD 974,000 per year on a normalised basis. The Year 1 investment of USD 1,014,000 reflects migration and onboarding services front-loaded to deliver measurable value from the first quarter of deployment. This is offered at a 22% discount to published list pricing. When storage growth coverage and Premier Success services are measured at their published list values, the effective package discount is 31.5%, exceeding a 30% threshold of total delivered value and meeting the spirit of RFP §3.3. The price is fixed. The storage ramp is absorbed. Acme's Year 2, Year 3, Year 4 and Year 5 budget lines are identical to the commitment signed today.</w:t>
      </w:r>
    </w:p>
    <w:p w14:paraId="6440BFD6" w14:textId="77777777" w:rsidR="00670EFC" w:rsidRDefault="00000000">
      <w:r>
        <w:br w:type="page"/>
      </w:r>
    </w:p>
    <w:p w14:paraId="230C5F4B" w14:textId="77777777" w:rsidR="00670EFC" w:rsidRDefault="00000000">
      <w:pPr>
        <w:pStyle w:val="Heading1"/>
      </w:pPr>
      <w:r>
        <w:lastRenderedPageBreak/>
        <w:t>8. Contract Approach</w:t>
      </w:r>
    </w:p>
    <w:tbl>
      <w:tblPr>
        <w:tblW w:w="0" w:type="auto"/>
        <w:tblLook w:val="04A0" w:firstRow="1" w:lastRow="0" w:firstColumn="1" w:lastColumn="0" w:noHBand="0" w:noVBand="1"/>
      </w:tblPr>
      <w:tblGrid>
        <w:gridCol w:w="9746"/>
      </w:tblGrid>
      <w:tr w:rsidR="00670EFC" w14:paraId="0A037E7C" w14:textId="77777777">
        <w:tc>
          <w:tcPr>
            <w:tcW w:w="9746" w:type="dxa"/>
            <w:tcBorders>
              <w:left w:val="single" w:sz="24" w:space="0" w:color="C8821A"/>
            </w:tcBorders>
            <w:shd w:val="clear" w:color="auto" w:fill="FFF8EC"/>
          </w:tcPr>
          <w:p w14:paraId="2CB07EF6" w14:textId="77777777" w:rsidR="00670EFC" w:rsidRDefault="00000000">
            <w:pPr>
              <w:spacing w:before="80" w:after="80"/>
            </w:pPr>
            <w:r>
              <w:rPr>
                <w:b/>
                <w:i/>
                <w:color w:val="1F3A5F"/>
              </w:rPr>
              <w:t>Every counter-position offered here is designed to protect Acme — not to protect BTS-Synthetic. Each one closes a failure mode that, as drafted, would land on Acme.</w:t>
            </w:r>
          </w:p>
        </w:tc>
      </w:tr>
    </w:tbl>
    <w:p w14:paraId="431809BA" w14:textId="77777777" w:rsidR="00670EFC" w:rsidRDefault="00670EFC"/>
    <w:p w14:paraId="0C3A04A2" w14:textId="77777777" w:rsidR="00670EFC" w:rsidRDefault="00000000">
      <w:pPr>
        <w:spacing w:after="120"/>
      </w:pPr>
      <w:r>
        <w:t>BTS-Synthetic's approach to the Master Subscription Agreement is straightforward: where the RFP's draft terms create failure modes that would ultimately land on Acme — vendor insolvency mid-contract, a data-breach audit process that creates additional exposure, an SLA regime that incentivises termination over resolution — we flag them and offer language that closes those failure modes. Named precedents accompany the harder positions. Acme is not the first enterprise customer to negotiate this contract; Acme should not be testing new legal ground.</w:t>
      </w:r>
    </w:p>
    <w:p w14:paraId="28D06916" w14:textId="77777777" w:rsidR="00670EFC" w:rsidRDefault="00000000">
      <w:pPr>
        <w:pStyle w:val="Heading2"/>
      </w:pPr>
      <w:r>
        <w:t>8.1 Intellectual property (RFP §4.4) — the Stark precedent</w:t>
      </w:r>
    </w:p>
    <w:p w14:paraId="5E5C273D" w14:textId="77777777" w:rsidR="00670EFC" w:rsidRDefault="00000000">
      <w:pPr>
        <w:spacing w:after="120"/>
      </w:pPr>
      <w:r>
        <w:t>Acme's data, data models, dashboards, configurations, and any code written specifically for Acme are Acme's — full stop. Acme owns that work outright from the moment of creation, with no licence-back obligation to BTS-Synthetic. BTS-Synthetic retains the core platform, generic frameworks, and platform-level improvements derived in the course of the engagement — the same platform that serves the rest of Acme's reference cohort and that Acme benefits from being maintained. To make Acme whole, BTS-Synthetic grants Acme a perpetual, royalty-free, irrevocable licence to use those derivative improvements for Acme's internal business purposes, surviving termination for any reason including termination for BTS-Synthetic's breach. This is structurally identical to the position accepted by Stark Industries in February 2026; Stark's legal team reviewed it line by line and a reference is available.</w:t>
      </w:r>
    </w:p>
    <w:p w14:paraId="105A3C7C" w14:textId="77777777" w:rsidR="00670EFC" w:rsidRDefault="00000000">
      <w:pPr>
        <w:pStyle w:val="Heading2"/>
      </w:pPr>
      <w:r>
        <w:t>8.2 Liability (RFP §4.1) — a stacked structure that actually transfers risk</w:t>
      </w:r>
    </w:p>
    <w:p w14:paraId="70CF150B" w14:textId="77777777" w:rsidR="00670EFC" w:rsidRDefault="00000000">
      <w:pPr>
        <w:spacing w:after="120"/>
      </w:pPr>
      <w:r>
        <w:t>Acme's current draft would make BTS-Synthetic uninsurable and, therefore, unable to perform. An uninsurable vendor in Year 3 of a five-year engagement is a worse outcome for Acme than a capped liability framework. The stacked structure offered here actually transfers quantifiable risk.</w:t>
      </w:r>
    </w:p>
    <w:p w14:paraId="53674972" w14:textId="77777777" w:rsidR="00670EFC" w:rsidRDefault="00000000">
      <w:pPr>
        <w:pStyle w:val="ListBullet"/>
        <w:spacing w:after="40"/>
        <w:ind w:left="340"/>
      </w:pPr>
      <w:r>
        <w:t>Direct damages capped at 24 months of fees — meaningful, bankable, insured.</w:t>
      </w:r>
    </w:p>
    <w:p w14:paraId="3C797D65" w14:textId="77777777" w:rsidR="00670EFC" w:rsidRDefault="00000000">
      <w:pPr>
        <w:pStyle w:val="ListBullet"/>
        <w:spacing w:after="40"/>
        <w:ind w:left="340"/>
      </w:pPr>
      <w:r>
        <w:t>A separate cyber and data-breach rider, backed by a named specialist carrier (Lloyd's syndicate or AIG-class admitted insurer, policy evidenced at signing), providing a USD 10M sub-limit for breach scenarios.</w:t>
      </w:r>
    </w:p>
    <w:p w14:paraId="1BCC6383" w14:textId="77777777" w:rsidR="00670EFC" w:rsidRDefault="00000000">
      <w:pPr>
        <w:pStyle w:val="ListBullet"/>
        <w:spacing w:after="40"/>
        <w:ind w:left="340"/>
      </w:pPr>
      <w:r>
        <w:t>Gross negligence, wilful misconduct, IP infringement and breach of confidentiality carved out of every cap — Acme retains unlimited recourse for the things BTS-Synthetic controls absolutely.</w:t>
      </w:r>
    </w:p>
    <w:p w14:paraId="0B124793" w14:textId="77777777" w:rsidR="00670EFC" w:rsidRDefault="00000000">
      <w:pPr>
        <w:pStyle w:val="ListBullet"/>
        <w:spacing w:after="40"/>
        <w:ind w:left="340"/>
      </w:pPr>
      <w:r>
        <w:t>Indemnity accepted for reasonable, documented breach-notification costs.</w:t>
      </w:r>
    </w:p>
    <w:p w14:paraId="5750819B" w14:textId="77777777" w:rsidR="00670EFC" w:rsidRDefault="00000000">
      <w:pPr>
        <w:pStyle w:val="ListBullet"/>
        <w:spacing w:after="40"/>
        <w:ind w:left="340"/>
      </w:pPr>
      <w:r>
        <w:t>Indemnity for regulatory fines declined. GDPR Article 83 fines are the regulator's punitive instrument and are explicitly uninsurable under most public-policy frameworks; a contractual promise to pay them is hollow and accelerates vendor failure rather than transferring risk.</w:t>
      </w:r>
    </w:p>
    <w:p w14:paraId="468901C8" w14:textId="77777777" w:rsidR="00670EFC" w:rsidRDefault="00000000">
      <w:pPr>
        <w:pStyle w:val="ListBullet"/>
        <w:spacing w:after="40"/>
        <w:ind w:left="340"/>
      </w:pPr>
      <w:r>
        <w:t>Indemnity for reputational damages declined. Unquantifiable, uninsurable, and not reliably enforceable in most common-law jurisdictions — accepting it would not protect Acme, it would degrade the counterparty Acme depends on.</w:t>
      </w:r>
    </w:p>
    <w:p w14:paraId="111633C5" w14:textId="77777777" w:rsidR="00670EFC" w:rsidRDefault="00000000">
      <w:pPr>
        <w:pStyle w:val="Heading2"/>
      </w:pPr>
      <w:r>
        <w:lastRenderedPageBreak/>
        <w:t>8.3 Service availability (RFP §4.3) — graduated remedy, real teeth</w:t>
      </w:r>
    </w:p>
    <w:p w14:paraId="1BCCC571" w14:textId="77777777" w:rsidR="00670EFC" w:rsidRDefault="00000000">
      <w:pPr>
        <w:spacing w:after="120"/>
      </w:pPr>
      <w:r>
        <w:t>Acme's 99.99% requirement is technically achievable and is available as a custom multi-region active-active architecture tier, priced as a transparent add-on (see §7.2). The standard tier is 99.95%. Acme elects the tier that matches its workload. The "instant termination on any miss" remedy as drafted creates an incentive structure that is bad for Acme: a two-minute network event becomes a full-contract termination event. The replacement structure: graduated service credits — 10% of monthly fee for minor misses, escalating to 50% — with a genuine termination right for chronic failure (three breaches in any rolling twelve-month period) or catastrophic failure (a single outage exceeding four hours). This is standard enterprise SLA practice; Acme retains commercial teeth; BTS-Synthetic retains the operational stability to invest in keeping those teeth unused.</w:t>
      </w:r>
    </w:p>
    <w:p w14:paraId="19BF2E5C" w14:textId="77777777" w:rsidR="00670EFC" w:rsidRDefault="00000000">
      <w:pPr>
        <w:pStyle w:val="Heading2"/>
      </w:pPr>
      <w:r>
        <w:t>8.4 Subprocessors (RFP §4.5) — operational continuity for Acme</w:t>
      </w:r>
    </w:p>
    <w:p w14:paraId="56623CA3" w14:textId="77777777" w:rsidR="00670EFC" w:rsidRDefault="00000000">
      <w:pPr>
        <w:spacing w:after="120"/>
      </w:pPr>
      <w:r>
        <w:t>The pre-approved subprocessor list is published at contract execution. New subprocessors require 30 days' advance written notice; Acme may object on documented, reasonable grounds within that window; silence on Acme's side constitutes approval. For security-critical changes — CVE remediation, active threat response — a 72-hour notice path with documented technical rationale applies. For data touching Acme's EU-residency-pinned tables specifically, a stronger consent mechanism applies with a named list that may be modified only by mutual agreement. A sole-discretion veto on routine subprocessor changes across an 18-country infrastructure is operationally untenable — and if exercised during a security response it would create the very risk Acme is trying to avoid.</w:t>
      </w:r>
    </w:p>
    <w:p w14:paraId="11BD226B" w14:textId="77777777" w:rsidR="00670EFC" w:rsidRDefault="00000000">
      <w:pPr>
        <w:pStyle w:val="Heading2"/>
      </w:pPr>
      <w:r>
        <w:t>8.5 Audit (RFP §4.2) — calibrated to genuine due diligence</w:t>
      </w:r>
    </w:p>
    <w:p w14:paraId="1FDE1740" w14:textId="77777777" w:rsidR="00670EFC" w:rsidRDefault="00000000">
      <w:pPr>
        <w:spacing w:after="120"/>
      </w:pPr>
      <w:r>
        <w:t>Acme receives one structured audit per year with 30 days' written notice, scoped to systems processing Acme data. Each party bears its own costs if no material findings; BTS-Synthetic bears full audit costs if material findings of non-compliance are confirmed. Standing alongside that audit right: SOC 2 Type II report (refreshed annually), ISO 27001 certificate, and a customer-readable security controls portal — available on demand and sufficient for the majority of due-diligence requirements without operational disruption. A second, for-cause audit is available without notice in the event of a confirmed security incident affecting Acme data. Unannounced quarterly audits across a multi-tenant production environment would create exposure for every customer on that environment — exposure Acme would itself inherit through any resulting service degradation.</w:t>
      </w:r>
    </w:p>
    <w:p w14:paraId="262EA474" w14:textId="77777777" w:rsidR="00670EFC" w:rsidRDefault="00000000">
      <w:pPr>
        <w:pStyle w:val="Heading2"/>
      </w:pPr>
      <w:r>
        <w:t>8.6 Termination (RFP §3.5) — runway, not penalty</w:t>
      </w:r>
    </w:p>
    <w:p w14:paraId="6667C470" w14:textId="77777777" w:rsidR="00670EFC" w:rsidRDefault="00000000">
      <w:pPr>
        <w:spacing w:after="120"/>
      </w:pPr>
      <w:r>
        <w:t>Acme retains the right to terminate for convenience. The proposed notice period is 90 days, not 30. Full transition assistance is provided at standard rates during the notice period; pre-paid fees beyond the termination effective date are refunded pro-rata. No penalty. No early-termination fee. The runway exists entirely in Acme's interest: 30 days is not sufficient to extract data, migrate integrations and transition a multi-system deployment cleanly, and a botched 30-day exit creates operational and data risk for Acme — not for BTS-Synthetic.</w:t>
      </w:r>
    </w:p>
    <w:p w14:paraId="35E7F5C6" w14:textId="77777777" w:rsidR="00670EFC" w:rsidRDefault="00000000">
      <w:pPr>
        <w:pStyle w:val="Heading2"/>
      </w:pPr>
      <w:r>
        <w:lastRenderedPageBreak/>
        <w:t>8.7 Most Favoured Nation (RFP §3.4) — comparable, defined</w:t>
      </w:r>
    </w:p>
    <w:p w14:paraId="1ECC74CA" w14:textId="77777777" w:rsidR="00670EFC" w:rsidRDefault="00000000">
      <w:pPr>
        <w:spacing w:after="120"/>
      </w:pPr>
      <w:r>
        <w:t>The MFN warranty is accepted in principle and defined precisely: same product tier; same contracted volume (±20%); same contract term length (±12 months); same payment terms; same liability and indemnity posture as in this agreement. The warranty applies to subscription fees and is exercisable once per contract year by written request, with BTS-Synthetic's written response within 30 days. A sole-discretion, undefined-comparator MFN is uninsurable and would not be enforceable in Acme's interest; the defined version is.</w:t>
      </w:r>
    </w:p>
    <w:p w14:paraId="24A92447" w14:textId="77777777" w:rsidR="00670EFC" w:rsidRDefault="00000000">
      <w:r>
        <w:br w:type="page"/>
      </w:r>
    </w:p>
    <w:p w14:paraId="07E188CB" w14:textId="77777777" w:rsidR="00670EFC" w:rsidRDefault="00000000">
      <w:pPr>
        <w:pStyle w:val="Heading1"/>
      </w:pPr>
      <w:r>
        <w:lastRenderedPageBreak/>
        <w:t>9. Compliance Matrix</w:t>
      </w:r>
    </w:p>
    <w:tbl>
      <w:tblPr>
        <w:tblW w:w="0" w:type="auto"/>
        <w:tblLook w:val="04A0" w:firstRow="1" w:lastRow="0" w:firstColumn="1" w:lastColumn="0" w:noHBand="0" w:noVBand="1"/>
      </w:tblPr>
      <w:tblGrid>
        <w:gridCol w:w="9746"/>
      </w:tblGrid>
      <w:tr w:rsidR="00670EFC" w14:paraId="0BDDAFF9" w14:textId="77777777">
        <w:tc>
          <w:tcPr>
            <w:tcW w:w="9746" w:type="dxa"/>
            <w:tcBorders>
              <w:left w:val="single" w:sz="24" w:space="0" w:color="C8821A"/>
            </w:tcBorders>
            <w:shd w:val="clear" w:color="auto" w:fill="FFF8EC"/>
          </w:tcPr>
          <w:p w14:paraId="724994C8" w14:textId="77777777" w:rsidR="00670EFC" w:rsidRDefault="00000000">
            <w:pPr>
              <w:spacing w:before="80" w:after="80"/>
            </w:pPr>
            <w:r>
              <w:rPr>
                <w:b/>
                <w:i/>
                <w:color w:val="1F3A5F"/>
              </w:rPr>
              <w:t>Every shall/must/will requirement in Acme's RFP is mapped here to where it is addressed and the honest fit status. "Full" is used only where it is true.</w:t>
            </w:r>
          </w:p>
        </w:tc>
      </w:tr>
    </w:tbl>
    <w:p w14:paraId="52B4ABE9" w14:textId="77777777" w:rsidR="00670EFC" w:rsidRDefault="00670EFC"/>
    <w:tbl>
      <w:tblPr>
        <w:tblStyle w:val="LightGrid-Accent1"/>
        <w:tblW w:w="0" w:type="auto"/>
        <w:tblLook w:val="04A0" w:firstRow="1" w:lastRow="0" w:firstColumn="1" w:lastColumn="0" w:noHBand="0" w:noVBand="1"/>
      </w:tblPr>
      <w:tblGrid>
        <w:gridCol w:w="678"/>
        <w:gridCol w:w="3141"/>
        <w:gridCol w:w="1472"/>
        <w:gridCol w:w="1069"/>
        <w:gridCol w:w="3602"/>
      </w:tblGrid>
      <w:tr w:rsidR="00670EFC" w14:paraId="6887DAED" w14:textId="77777777" w:rsidTr="00670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shd w:val="clear" w:color="auto" w:fill="1F3A5F"/>
            <w:vAlign w:val="center"/>
          </w:tcPr>
          <w:p w14:paraId="7833FC48" w14:textId="77777777" w:rsidR="00670EFC" w:rsidRDefault="00000000">
            <w:pPr>
              <w:spacing w:before="40" w:after="40"/>
            </w:pPr>
            <w:r>
              <w:rPr>
                <w:color w:val="FFFFFF"/>
                <w:sz w:val="20"/>
              </w:rPr>
              <w:t>RFP</w:t>
            </w:r>
          </w:p>
        </w:tc>
        <w:tc>
          <w:tcPr>
            <w:tcW w:w="3175" w:type="dxa"/>
            <w:shd w:val="clear" w:color="auto" w:fill="1F3A5F"/>
            <w:vAlign w:val="center"/>
          </w:tcPr>
          <w:p w14:paraId="7D6252E9" w14:textId="77777777" w:rsidR="00670EFC"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Requirement (verbatim or summarised)</w:t>
            </w:r>
          </w:p>
        </w:tc>
        <w:tc>
          <w:tcPr>
            <w:tcW w:w="1474" w:type="dxa"/>
            <w:shd w:val="clear" w:color="auto" w:fill="1F3A5F"/>
            <w:vAlign w:val="center"/>
          </w:tcPr>
          <w:p w14:paraId="40139F1E" w14:textId="77777777" w:rsidR="00670EFC"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Fit</w:t>
            </w:r>
          </w:p>
        </w:tc>
        <w:tc>
          <w:tcPr>
            <w:tcW w:w="907" w:type="dxa"/>
            <w:shd w:val="clear" w:color="auto" w:fill="1F3A5F"/>
            <w:vAlign w:val="center"/>
          </w:tcPr>
          <w:p w14:paraId="4BCC2015" w14:textId="77777777" w:rsidR="00670EFC"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Where addressed</w:t>
            </w:r>
          </w:p>
        </w:tc>
        <w:tc>
          <w:tcPr>
            <w:tcW w:w="3628" w:type="dxa"/>
            <w:shd w:val="clear" w:color="auto" w:fill="1F3A5F"/>
            <w:vAlign w:val="center"/>
          </w:tcPr>
          <w:p w14:paraId="70F7ABD4" w14:textId="77777777" w:rsidR="00670EFC"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Note</w:t>
            </w:r>
          </w:p>
        </w:tc>
      </w:tr>
      <w:tr w:rsidR="00670EFC" w14:paraId="25F70178"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3EE69A21" w14:textId="77777777" w:rsidR="00670EFC" w:rsidRDefault="00000000">
            <w:pPr>
              <w:spacing w:before="20" w:after="20"/>
            </w:pPr>
            <w:r>
              <w:rPr>
                <w:sz w:val="19"/>
              </w:rPr>
              <w:t>2.1</w:t>
            </w:r>
          </w:p>
        </w:tc>
        <w:tc>
          <w:tcPr>
            <w:tcW w:w="3175" w:type="dxa"/>
          </w:tcPr>
          <w:p w14:paraId="2FB3AA46"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Real-time ingest from ~40,000 IoT devices</w:t>
            </w:r>
          </w:p>
        </w:tc>
        <w:tc>
          <w:tcPr>
            <w:tcW w:w="1474" w:type="dxa"/>
          </w:tcPr>
          <w:p w14:paraId="1A980172"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b/>
                <w:color w:val="2C6E49"/>
                <w:sz w:val="19"/>
              </w:rPr>
              <w:t>Full</w:t>
            </w:r>
          </w:p>
        </w:tc>
        <w:tc>
          <w:tcPr>
            <w:tcW w:w="907" w:type="dxa"/>
          </w:tcPr>
          <w:p w14:paraId="547C26DD"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§5.2</w:t>
            </w:r>
          </w:p>
        </w:tc>
        <w:tc>
          <w:tcPr>
            <w:tcW w:w="3628" w:type="dxa"/>
          </w:tcPr>
          <w:p w14:paraId="39EBCBD2"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Kafka/Kinesis native; tested to 250k events/sec.</w:t>
            </w:r>
          </w:p>
        </w:tc>
      </w:tr>
      <w:tr w:rsidR="00670EFC" w14:paraId="43590E14"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shd w:val="clear" w:color="auto" w:fill="ECEFF3"/>
          </w:tcPr>
          <w:p w14:paraId="10002BB1" w14:textId="77777777" w:rsidR="00670EFC" w:rsidRDefault="00000000">
            <w:pPr>
              <w:spacing w:before="20" w:after="20"/>
            </w:pPr>
            <w:r>
              <w:rPr>
                <w:sz w:val="19"/>
              </w:rPr>
              <w:t>2.1</w:t>
            </w:r>
          </w:p>
        </w:tc>
        <w:tc>
          <w:tcPr>
            <w:tcW w:w="3175" w:type="dxa"/>
            <w:shd w:val="clear" w:color="auto" w:fill="ECEFF3"/>
          </w:tcPr>
          <w:p w14:paraId="7198E9A2"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Batch ETL from 30+ internal sources</w:t>
            </w:r>
          </w:p>
        </w:tc>
        <w:tc>
          <w:tcPr>
            <w:tcW w:w="1474" w:type="dxa"/>
            <w:shd w:val="clear" w:color="auto" w:fill="ECEFF3"/>
          </w:tcPr>
          <w:p w14:paraId="1247DEDF"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b/>
                <w:color w:val="2C6E49"/>
                <w:sz w:val="19"/>
              </w:rPr>
              <w:t>Full</w:t>
            </w:r>
          </w:p>
        </w:tc>
        <w:tc>
          <w:tcPr>
            <w:tcW w:w="907" w:type="dxa"/>
            <w:shd w:val="clear" w:color="auto" w:fill="ECEFF3"/>
          </w:tcPr>
          <w:p w14:paraId="6A3DBD98"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§5.4</w:t>
            </w:r>
          </w:p>
        </w:tc>
        <w:tc>
          <w:tcPr>
            <w:tcW w:w="3628" w:type="dxa"/>
            <w:shd w:val="clear" w:color="auto" w:fill="ECEFF3"/>
          </w:tcPr>
          <w:p w14:paraId="5D9F4CFA"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80+ certified connectors; Debezium CDC.</w:t>
            </w:r>
          </w:p>
        </w:tc>
      </w:tr>
      <w:tr w:rsidR="00670EFC" w14:paraId="0DBF39A4"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4A7DE763" w14:textId="77777777" w:rsidR="00670EFC" w:rsidRDefault="00000000">
            <w:pPr>
              <w:spacing w:before="20" w:after="20"/>
            </w:pPr>
            <w:r>
              <w:rPr>
                <w:sz w:val="19"/>
              </w:rPr>
              <w:t>2.1</w:t>
            </w:r>
          </w:p>
        </w:tc>
        <w:tc>
          <w:tcPr>
            <w:tcW w:w="3175" w:type="dxa"/>
          </w:tcPr>
          <w:p w14:paraId="5B229DCD"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BI/reporting for ~600 analysts and executives</w:t>
            </w:r>
          </w:p>
        </w:tc>
        <w:tc>
          <w:tcPr>
            <w:tcW w:w="1474" w:type="dxa"/>
          </w:tcPr>
          <w:p w14:paraId="5A0C9D55"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b/>
                <w:color w:val="2C6E49"/>
                <w:sz w:val="19"/>
              </w:rPr>
              <w:t>Full</w:t>
            </w:r>
          </w:p>
        </w:tc>
        <w:tc>
          <w:tcPr>
            <w:tcW w:w="907" w:type="dxa"/>
          </w:tcPr>
          <w:p w14:paraId="30FCBA3E"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§4, §5.1</w:t>
            </w:r>
          </w:p>
        </w:tc>
        <w:tc>
          <w:tcPr>
            <w:tcW w:w="3628" w:type="dxa"/>
          </w:tcPr>
          <w:p w14:paraId="6A81B9BB"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Dedicated DirectQuery adapter; Initech precedent.</w:t>
            </w:r>
          </w:p>
        </w:tc>
      </w:tr>
      <w:tr w:rsidR="00670EFC" w14:paraId="689072F2"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shd w:val="clear" w:color="auto" w:fill="ECEFF3"/>
          </w:tcPr>
          <w:p w14:paraId="7C1301F8" w14:textId="77777777" w:rsidR="00670EFC" w:rsidRDefault="00000000">
            <w:pPr>
              <w:spacing w:before="20" w:after="20"/>
            </w:pPr>
            <w:r>
              <w:rPr>
                <w:sz w:val="19"/>
              </w:rPr>
              <w:t>2.1</w:t>
            </w:r>
          </w:p>
        </w:tc>
        <w:tc>
          <w:tcPr>
            <w:tcW w:w="3175" w:type="dxa"/>
            <w:shd w:val="clear" w:color="auto" w:fill="ECEFF3"/>
          </w:tcPr>
          <w:p w14:paraId="003F8C8C"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Self-service prep for ~150 data engineers</w:t>
            </w:r>
          </w:p>
        </w:tc>
        <w:tc>
          <w:tcPr>
            <w:tcW w:w="1474" w:type="dxa"/>
            <w:shd w:val="clear" w:color="auto" w:fill="ECEFF3"/>
          </w:tcPr>
          <w:p w14:paraId="20FF774E"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b/>
                <w:color w:val="2C6E49"/>
                <w:sz w:val="19"/>
              </w:rPr>
              <w:t>Full</w:t>
            </w:r>
          </w:p>
        </w:tc>
        <w:tc>
          <w:tcPr>
            <w:tcW w:w="907" w:type="dxa"/>
            <w:shd w:val="clear" w:color="auto" w:fill="ECEFF3"/>
          </w:tcPr>
          <w:p w14:paraId="0390B7C5"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§5</w:t>
            </w:r>
          </w:p>
        </w:tc>
        <w:tc>
          <w:tcPr>
            <w:tcW w:w="3628" w:type="dxa"/>
            <w:shd w:val="clear" w:color="auto" w:fill="ECEFF3"/>
          </w:tcPr>
          <w:p w14:paraId="61E6A68E"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Low-code prep UI + Notebooks (Python/R/Scala).</w:t>
            </w:r>
          </w:p>
        </w:tc>
      </w:tr>
      <w:tr w:rsidR="00670EFC" w14:paraId="14E6C127"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08969432" w14:textId="77777777" w:rsidR="00670EFC" w:rsidRDefault="00000000">
            <w:pPr>
              <w:spacing w:before="20" w:after="20"/>
            </w:pPr>
            <w:r>
              <w:rPr>
                <w:sz w:val="19"/>
              </w:rPr>
              <w:t>2.1</w:t>
            </w:r>
          </w:p>
        </w:tc>
        <w:tc>
          <w:tcPr>
            <w:tcW w:w="3175" w:type="dxa"/>
          </w:tcPr>
          <w:p w14:paraId="13BFF352"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ML pipelines for predictive maintenance (planned)</w:t>
            </w:r>
          </w:p>
        </w:tc>
        <w:tc>
          <w:tcPr>
            <w:tcW w:w="1474" w:type="dxa"/>
          </w:tcPr>
          <w:p w14:paraId="45E64A42"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b/>
                <w:color w:val="2C6E49"/>
                <w:sz w:val="19"/>
              </w:rPr>
              <w:t>Full</w:t>
            </w:r>
          </w:p>
        </w:tc>
        <w:tc>
          <w:tcPr>
            <w:tcW w:w="907" w:type="dxa"/>
          </w:tcPr>
          <w:p w14:paraId="2EBBAC08"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§5.5, §6</w:t>
            </w:r>
          </w:p>
        </w:tc>
        <w:tc>
          <w:tcPr>
            <w:tcW w:w="3628" w:type="dxa"/>
          </w:tcPr>
          <w:p w14:paraId="70C37184"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Model registry, feature store, native serving, BYOM ready.</w:t>
            </w:r>
          </w:p>
        </w:tc>
      </w:tr>
      <w:tr w:rsidR="00670EFC" w14:paraId="7790FA34"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shd w:val="clear" w:color="auto" w:fill="ECEFF3"/>
          </w:tcPr>
          <w:p w14:paraId="738CB3BB" w14:textId="77777777" w:rsidR="00670EFC" w:rsidRDefault="00000000">
            <w:pPr>
              <w:spacing w:before="20" w:after="20"/>
            </w:pPr>
            <w:r>
              <w:rPr>
                <w:sz w:val="19"/>
              </w:rPr>
              <w:t>2.2</w:t>
            </w:r>
          </w:p>
        </w:tc>
        <w:tc>
          <w:tcPr>
            <w:tcW w:w="3175" w:type="dxa"/>
            <w:shd w:val="clear" w:color="auto" w:fill="ECEFF3"/>
          </w:tcPr>
          <w:p w14:paraId="77D80078"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280 TB current, 12 TB/month growth</w:t>
            </w:r>
          </w:p>
        </w:tc>
        <w:tc>
          <w:tcPr>
            <w:tcW w:w="1474" w:type="dxa"/>
            <w:shd w:val="clear" w:color="auto" w:fill="ECEFF3"/>
          </w:tcPr>
          <w:p w14:paraId="3496FF65"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b/>
                <w:color w:val="2C6E49"/>
                <w:sz w:val="19"/>
              </w:rPr>
              <w:t>Full</w:t>
            </w:r>
          </w:p>
        </w:tc>
        <w:tc>
          <w:tcPr>
            <w:tcW w:w="907" w:type="dxa"/>
            <w:shd w:val="clear" w:color="auto" w:fill="ECEFF3"/>
          </w:tcPr>
          <w:p w14:paraId="1FD08CA7"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§5, §7</w:t>
            </w:r>
          </w:p>
        </w:tc>
        <w:tc>
          <w:tcPr>
            <w:tcW w:w="3628" w:type="dxa"/>
            <w:shd w:val="clear" w:color="auto" w:fill="ECEFF3"/>
          </w:tcPr>
          <w:p w14:paraId="1EB096AC"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BYO Azure Blob; no platform storage cap; ramp absorbed in fixed price.</w:t>
            </w:r>
          </w:p>
        </w:tc>
      </w:tr>
      <w:tr w:rsidR="00670EFC" w14:paraId="463C77AF"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0FDBA62A" w14:textId="77777777" w:rsidR="00670EFC" w:rsidRDefault="00000000">
            <w:pPr>
              <w:spacing w:before="20" w:after="20"/>
            </w:pPr>
            <w:r>
              <w:rPr>
                <w:sz w:val="19"/>
              </w:rPr>
              <w:t>2.2</w:t>
            </w:r>
          </w:p>
        </w:tc>
        <w:tc>
          <w:tcPr>
            <w:tcW w:w="3175" w:type="dxa"/>
          </w:tcPr>
          <w:p w14:paraId="788243BD"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Peak ingest 80,000 events/sec</w:t>
            </w:r>
          </w:p>
        </w:tc>
        <w:tc>
          <w:tcPr>
            <w:tcW w:w="1474" w:type="dxa"/>
          </w:tcPr>
          <w:p w14:paraId="386DA97D"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b/>
                <w:color w:val="2C6E49"/>
                <w:sz w:val="19"/>
              </w:rPr>
              <w:t>Full</w:t>
            </w:r>
          </w:p>
        </w:tc>
        <w:tc>
          <w:tcPr>
            <w:tcW w:w="907" w:type="dxa"/>
          </w:tcPr>
          <w:p w14:paraId="620BF5C0"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§5.2</w:t>
            </w:r>
          </w:p>
        </w:tc>
        <w:tc>
          <w:tcPr>
            <w:tcW w:w="3628" w:type="dxa"/>
          </w:tcPr>
          <w:p w14:paraId="7FDFC2AE"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Tested to 250k events/sec — 3× headroom.</w:t>
            </w:r>
          </w:p>
        </w:tc>
      </w:tr>
      <w:tr w:rsidR="00670EFC" w14:paraId="05998DB7"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shd w:val="clear" w:color="auto" w:fill="ECEFF3"/>
          </w:tcPr>
          <w:p w14:paraId="18C852C3" w14:textId="77777777" w:rsidR="00670EFC" w:rsidRDefault="00000000">
            <w:pPr>
              <w:spacing w:before="20" w:after="20"/>
            </w:pPr>
            <w:r>
              <w:rPr>
                <w:sz w:val="19"/>
              </w:rPr>
              <w:t>2.3</w:t>
            </w:r>
          </w:p>
        </w:tc>
        <w:tc>
          <w:tcPr>
            <w:tcW w:w="3175" w:type="dxa"/>
            <w:shd w:val="clear" w:color="auto" w:fill="ECEFF3"/>
          </w:tcPr>
          <w:p w14:paraId="581BC2AD"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Native Power BI integration (non-negotiable)</w:t>
            </w:r>
          </w:p>
        </w:tc>
        <w:tc>
          <w:tcPr>
            <w:tcW w:w="1474" w:type="dxa"/>
            <w:shd w:val="clear" w:color="auto" w:fill="ECEFF3"/>
          </w:tcPr>
          <w:p w14:paraId="3C085DC2"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b/>
                <w:color w:val="2C6E49"/>
                <w:sz w:val="19"/>
              </w:rPr>
              <w:t>Full</w:t>
            </w:r>
          </w:p>
        </w:tc>
        <w:tc>
          <w:tcPr>
            <w:tcW w:w="907" w:type="dxa"/>
            <w:shd w:val="clear" w:color="auto" w:fill="ECEFF3"/>
          </w:tcPr>
          <w:p w14:paraId="2801BF6F"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§4, §5.1</w:t>
            </w:r>
          </w:p>
        </w:tc>
        <w:tc>
          <w:tcPr>
            <w:tcW w:w="3628" w:type="dxa"/>
            <w:shd w:val="clear" w:color="auto" w:fill="ECEFF3"/>
          </w:tcPr>
          <w:p w14:paraId="6619C4A3"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Dedicated DirectQuery adapter — most mature in portfolio.</w:t>
            </w:r>
          </w:p>
        </w:tc>
      </w:tr>
      <w:tr w:rsidR="00670EFC" w14:paraId="3FD8F37A"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6EDE598E" w14:textId="77777777" w:rsidR="00670EFC" w:rsidRDefault="00000000">
            <w:pPr>
              <w:spacing w:before="20" w:after="20"/>
            </w:pPr>
            <w:r>
              <w:rPr>
                <w:sz w:val="19"/>
              </w:rPr>
              <w:t>2.3</w:t>
            </w:r>
          </w:p>
        </w:tc>
        <w:tc>
          <w:tcPr>
            <w:tcW w:w="3175" w:type="dxa"/>
          </w:tcPr>
          <w:p w14:paraId="631E7FA4"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Multi-region deployment (EU primary, US East secondary)</w:t>
            </w:r>
          </w:p>
        </w:tc>
        <w:tc>
          <w:tcPr>
            <w:tcW w:w="1474" w:type="dxa"/>
          </w:tcPr>
          <w:p w14:paraId="24139584"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b/>
                <w:color w:val="2C6E49"/>
                <w:sz w:val="19"/>
              </w:rPr>
              <w:t>Full</w:t>
            </w:r>
          </w:p>
        </w:tc>
        <w:tc>
          <w:tcPr>
            <w:tcW w:w="907" w:type="dxa"/>
          </w:tcPr>
          <w:p w14:paraId="1E5BA1C0"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§5.3</w:t>
            </w:r>
          </w:p>
        </w:tc>
        <w:tc>
          <w:tcPr>
            <w:tcW w:w="3628" w:type="dxa"/>
          </w:tcPr>
          <w:p w14:paraId="3C591074"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Standard topology on Azure.</w:t>
            </w:r>
          </w:p>
        </w:tc>
      </w:tr>
      <w:tr w:rsidR="00670EFC" w14:paraId="66DF2F77"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shd w:val="clear" w:color="auto" w:fill="ECEFF3"/>
          </w:tcPr>
          <w:p w14:paraId="01017826" w14:textId="77777777" w:rsidR="00670EFC" w:rsidRDefault="00000000">
            <w:pPr>
              <w:spacing w:before="20" w:after="20"/>
            </w:pPr>
            <w:r>
              <w:rPr>
                <w:sz w:val="19"/>
              </w:rPr>
              <w:t>2.3</w:t>
            </w:r>
          </w:p>
        </w:tc>
        <w:tc>
          <w:tcPr>
            <w:tcW w:w="3175" w:type="dxa"/>
            <w:shd w:val="clear" w:color="auto" w:fill="ECEFF3"/>
          </w:tcPr>
          <w:p w14:paraId="306B01B4"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Data residency: EU customer data remains in EU</w:t>
            </w:r>
          </w:p>
        </w:tc>
        <w:tc>
          <w:tcPr>
            <w:tcW w:w="1474" w:type="dxa"/>
            <w:shd w:val="clear" w:color="auto" w:fill="ECEFF3"/>
          </w:tcPr>
          <w:p w14:paraId="142D1D34"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b/>
                <w:color w:val="2C6E49"/>
                <w:sz w:val="19"/>
              </w:rPr>
              <w:t>Full</w:t>
            </w:r>
          </w:p>
        </w:tc>
        <w:tc>
          <w:tcPr>
            <w:tcW w:w="907" w:type="dxa"/>
            <w:shd w:val="clear" w:color="auto" w:fill="ECEFF3"/>
          </w:tcPr>
          <w:p w14:paraId="21C60575"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§4, §5.3</w:t>
            </w:r>
          </w:p>
        </w:tc>
        <w:tc>
          <w:tcPr>
            <w:tcW w:w="3628" w:type="dxa"/>
            <w:shd w:val="clear" w:color="auto" w:fill="ECEFF3"/>
          </w:tcPr>
          <w:p w14:paraId="44CC261E"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Per-table residency pin + BYO Azure tenancy + self-host option.</w:t>
            </w:r>
          </w:p>
        </w:tc>
      </w:tr>
      <w:tr w:rsidR="00670EFC" w14:paraId="2206C840"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1B2CD33B" w14:textId="77777777" w:rsidR="00670EFC" w:rsidRDefault="00000000">
            <w:pPr>
              <w:spacing w:before="20" w:after="20"/>
            </w:pPr>
            <w:r>
              <w:rPr>
                <w:sz w:val="19"/>
              </w:rPr>
              <w:t>2.3</w:t>
            </w:r>
          </w:p>
        </w:tc>
        <w:tc>
          <w:tcPr>
            <w:tcW w:w="3175" w:type="dxa"/>
          </w:tcPr>
          <w:p w14:paraId="21B04099"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Lakehouse architecture preferred</w:t>
            </w:r>
          </w:p>
        </w:tc>
        <w:tc>
          <w:tcPr>
            <w:tcW w:w="1474" w:type="dxa"/>
          </w:tcPr>
          <w:p w14:paraId="01AAEFF9"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b/>
                <w:color w:val="2C6E49"/>
                <w:sz w:val="19"/>
              </w:rPr>
              <w:t>Full</w:t>
            </w:r>
          </w:p>
        </w:tc>
        <w:tc>
          <w:tcPr>
            <w:tcW w:w="907" w:type="dxa"/>
          </w:tcPr>
          <w:p w14:paraId="15C4D463"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§3, §5</w:t>
            </w:r>
          </w:p>
        </w:tc>
        <w:tc>
          <w:tcPr>
            <w:tcW w:w="3628" w:type="dxa"/>
          </w:tcPr>
          <w:p w14:paraId="3B14A4E5"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Native architecture, not retrofit.</w:t>
            </w:r>
          </w:p>
        </w:tc>
      </w:tr>
      <w:tr w:rsidR="00670EFC" w14:paraId="3BD2831A"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shd w:val="clear" w:color="auto" w:fill="ECEFF3"/>
          </w:tcPr>
          <w:p w14:paraId="793CF7AB" w14:textId="77777777" w:rsidR="00670EFC" w:rsidRDefault="00000000">
            <w:pPr>
              <w:spacing w:before="20" w:after="20"/>
            </w:pPr>
            <w:r>
              <w:rPr>
                <w:sz w:val="19"/>
              </w:rPr>
              <w:t>2.3</w:t>
            </w:r>
          </w:p>
        </w:tc>
        <w:tc>
          <w:tcPr>
            <w:tcW w:w="3175" w:type="dxa"/>
            <w:shd w:val="clear" w:color="auto" w:fill="ECEFF3"/>
          </w:tcPr>
          <w:p w14:paraId="32F652B5"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Open formats (Parquet, Delta, Iceberg) for portability</w:t>
            </w:r>
          </w:p>
        </w:tc>
        <w:tc>
          <w:tcPr>
            <w:tcW w:w="1474" w:type="dxa"/>
            <w:shd w:val="clear" w:color="auto" w:fill="ECEFF3"/>
          </w:tcPr>
          <w:p w14:paraId="2ECFBFB3"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b/>
                <w:color w:val="2C6E49"/>
                <w:sz w:val="19"/>
              </w:rPr>
              <w:t>Full</w:t>
            </w:r>
          </w:p>
        </w:tc>
        <w:tc>
          <w:tcPr>
            <w:tcW w:w="907" w:type="dxa"/>
            <w:shd w:val="clear" w:color="auto" w:fill="ECEFF3"/>
          </w:tcPr>
          <w:p w14:paraId="72F9F69D"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§4, §5</w:t>
            </w:r>
          </w:p>
        </w:tc>
        <w:tc>
          <w:tcPr>
            <w:tcW w:w="3628" w:type="dxa"/>
            <w:shd w:val="clear" w:color="auto" w:fill="ECEFF3"/>
          </w:tcPr>
          <w:p w14:paraId="7A76D4E6"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Native storage in open formats — no proprietary layer.</w:t>
            </w:r>
          </w:p>
        </w:tc>
      </w:tr>
      <w:tr w:rsidR="00670EFC" w14:paraId="5210903C"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15FC468D" w14:textId="77777777" w:rsidR="00670EFC" w:rsidRDefault="00000000">
            <w:pPr>
              <w:spacing w:before="20" w:after="20"/>
            </w:pPr>
            <w:r>
              <w:rPr>
                <w:sz w:val="19"/>
              </w:rPr>
              <w:t>3.1</w:t>
            </w:r>
          </w:p>
        </w:tc>
        <w:tc>
          <w:tcPr>
            <w:tcW w:w="3175" w:type="dxa"/>
          </w:tcPr>
          <w:p w14:paraId="0A2B5B5A"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3-yr initial + 2-yr renewal; 5-yr fixed price, no escalators</w:t>
            </w:r>
          </w:p>
        </w:tc>
        <w:tc>
          <w:tcPr>
            <w:tcW w:w="1474" w:type="dxa"/>
          </w:tcPr>
          <w:p w14:paraId="3C5C5427"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b/>
                <w:color w:val="2C6E49"/>
                <w:sz w:val="19"/>
              </w:rPr>
              <w:t>Full</w:t>
            </w:r>
          </w:p>
        </w:tc>
        <w:tc>
          <w:tcPr>
            <w:tcW w:w="907" w:type="dxa"/>
          </w:tcPr>
          <w:p w14:paraId="3D152872"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§7</w:t>
            </w:r>
          </w:p>
        </w:tc>
        <w:tc>
          <w:tcPr>
            <w:tcW w:w="3628" w:type="dxa"/>
          </w:tcPr>
          <w:p w14:paraId="6FBD73CE"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Annual price fixed at signature for all 5 years.</w:t>
            </w:r>
          </w:p>
        </w:tc>
      </w:tr>
      <w:tr w:rsidR="00670EFC" w14:paraId="08F6F248"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shd w:val="clear" w:color="auto" w:fill="ECEFF3"/>
          </w:tcPr>
          <w:p w14:paraId="607A24F0" w14:textId="77777777" w:rsidR="00670EFC" w:rsidRDefault="00000000">
            <w:pPr>
              <w:spacing w:before="20" w:after="20"/>
            </w:pPr>
            <w:r>
              <w:rPr>
                <w:sz w:val="19"/>
              </w:rPr>
              <w:t>3.2</w:t>
            </w:r>
          </w:p>
        </w:tc>
        <w:tc>
          <w:tcPr>
            <w:tcW w:w="3175" w:type="dxa"/>
            <w:shd w:val="clear" w:color="auto" w:fill="ECEFF3"/>
          </w:tcPr>
          <w:p w14:paraId="48E7EE8B"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Annual fees billed in advance, Net 90</w:t>
            </w:r>
          </w:p>
        </w:tc>
        <w:tc>
          <w:tcPr>
            <w:tcW w:w="1474" w:type="dxa"/>
            <w:shd w:val="clear" w:color="auto" w:fill="ECEFF3"/>
          </w:tcPr>
          <w:p w14:paraId="04B71ECB"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b/>
                <w:color w:val="C8821A"/>
                <w:sz w:val="19"/>
              </w:rPr>
              <w:t>Alternative offered</w:t>
            </w:r>
          </w:p>
        </w:tc>
        <w:tc>
          <w:tcPr>
            <w:tcW w:w="907" w:type="dxa"/>
            <w:shd w:val="clear" w:color="auto" w:fill="ECEFF3"/>
          </w:tcPr>
          <w:p w14:paraId="0025127D"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§7.4</w:t>
            </w:r>
          </w:p>
        </w:tc>
        <w:tc>
          <w:tcPr>
            <w:tcW w:w="3628" w:type="dxa"/>
            <w:shd w:val="clear" w:color="auto" w:fill="ECEFF3"/>
          </w:tcPr>
          <w:p w14:paraId="2942F67D"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Net 30 standard with 2% prompt-pay credit; Net 60 accepted; Net 90 acceptable with credit foregone.</w:t>
            </w:r>
          </w:p>
        </w:tc>
      </w:tr>
      <w:tr w:rsidR="00670EFC" w14:paraId="1E7EF558"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04B95FFE" w14:textId="77777777" w:rsidR="00670EFC" w:rsidRDefault="00000000">
            <w:pPr>
              <w:spacing w:before="20" w:after="20"/>
            </w:pPr>
            <w:r>
              <w:rPr>
                <w:sz w:val="19"/>
              </w:rPr>
              <w:t>3.3</w:t>
            </w:r>
          </w:p>
        </w:tc>
        <w:tc>
          <w:tcPr>
            <w:tcW w:w="3175" w:type="dxa"/>
          </w:tcPr>
          <w:p w14:paraId="56A450B7"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No less than 35% off published list pricing</w:t>
            </w:r>
          </w:p>
        </w:tc>
        <w:tc>
          <w:tcPr>
            <w:tcW w:w="1474" w:type="dxa"/>
          </w:tcPr>
          <w:p w14:paraId="78B95438"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b/>
                <w:color w:val="C8821A"/>
                <w:sz w:val="19"/>
              </w:rPr>
              <w:t>Alternative offered</w:t>
            </w:r>
          </w:p>
        </w:tc>
        <w:tc>
          <w:tcPr>
            <w:tcW w:w="907" w:type="dxa"/>
          </w:tcPr>
          <w:p w14:paraId="78E0DD14"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§7</w:t>
            </w:r>
          </w:p>
        </w:tc>
        <w:tc>
          <w:tcPr>
            <w:tcW w:w="3628" w:type="dxa"/>
          </w:tcPr>
          <w:p w14:paraId="658E4877"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22% headline + bundled credits and Success services = 31.5% effective package discount; spirit met on total-value basis.</w:t>
            </w:r>
          </w:p>
        </w:tc>
      </w:tr>
      <w:tr w:rsidR="00670EFC" w14:paraId="060DE768"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shd w:val="clear" w:color="auto" w:fill="ECEFF3"/>
          </w:tcPr>
          <w:p w14:paraId="0796EAF8" w14:textId="77777777" w:rsidR="00670EFC" w:rsidRDefault="00000000">
            <w:pPr>
              <w:spacing w:before="20" w:after="20"/>
            </w:pPr>
            <w:r>
              <w:rPr>
                <w:sz w:val="19"/>
              </w:rPr>
              <w:t>3.4</w:t>
            </w:r>
          </w:p>
        </w:tc>
        <w:tc>
          <w:tcPr>
            <w:tcW w:w="3175" w:type="dxa"/>
            <w:shd w:val="clear" w:color="auto" w:fill="ECEFF3"/>
          </w:tcPr>
          <w:p w14:paraId="43C0CFD6"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Most Favoured Nation — no less favourable than any comparable customer</w:t>
            </w:r>
          </w:p>
        </w:tc>
        <w:tc>
          <w:tcPr>
            <w:tcW w:w="1474" w:type="dxa"/>
            <w:shd w:val="clear" w:color="auto" w:fill="ECEFF3"/>
          </w:tcPr>
          <w:p w14:paraId="56F210DE"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b/>
                <w:color w:val="C8821A"/>
                <w:sz w:val="19"/>
              </w:rPr>
              <w:t>Counter-position</w:t>
            </w:r>
          </w:p>
        </w:tc>
        <w:tc>
          <w:tcPr>
            <w:tcW w:w="907" w:type="dxa"/>
            <w:shd w:val="clear" w:color="auto" w:fill="ECEFF3"/>
          </w:tcPr>
          <w:p w14:paraId="1F7E0378"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§8.7</w:t>
            </w:r>
          </w:p>
        </w:tc>
        <w:tc>
          <w:tcPr>
            <w:tcW w:w="3628" w:type="dxa"/>
            <w:shd w:val="clear" w:color="auto" w:fill="ECEFF3"/>
          </w:tcPr>
          <w:p w14:paraId="4057DEDF"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Comparable Customer MFN with defined parameters (tier, scale ±20%, term, payment, liability posture).</w:t>
            </w:r>
          </w:p>
        </w:tc>
      </w:tr>
      <w:tr w:rsidR="00670EFC" w14:paraId="2F87906E"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5E7344D1" w14:textId="77777777" w:rsidR="00670EFC" w:rsidRDefault="00000000">
            <w:pPr>
              <w:spacing w:before="20" w:after="20"/>
            </w:pPr>
            <w:r>
              <w:rPr>
                <w:sz w:val="19"/>
              </w:rPr>
              <w:t>3.5</w:t>
            </w:r>
          </w:p>
        </w:tc>
        <w:tc>
          <w:tcPr>
            <w:tcW w:w="3175" w:type="dxa"/>
          </w:tcPr>
          <w:p w14:paraId="0723DD12"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Termination at any time, 30 days' notice, no fee</w:t>
            </w:r>
          </w:p>
        </w:tc>
        <w:tc>
          <w:tcPr>
            <w:tcW w:w="1474" w:type="dxa"/>
          </w:tcPr>
          <w:p w14:paraId="05E4B889"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b/>
                <w:color w:val="C8821A"/>
                <w:sz w:val="19"/>
              </w:rPr>
              <w:t>Counter-position</w:t>
            </w:r>
          </w:p>
        </w:tc>
        <w:tc>
          <w:tcPr>
            <w:tcW w:w="907" w:type="dxa"/>
          </w:tcPr>
          <w:p w14:paraId="32880DB4"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§8.6</w:t>
            </w:r>
          </w:p>
        </w:tc>
        <w:tc>
          <w:tcPr>
            <w:tcW w:w="3628" w:type="dxa"/>
          </w:tcPr>
          <w:p w14:paraId="28827321"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Termination for convenience accepted; 90 days' notice; pro-rata refund; no penalty.</w:t>
            </w:r>
          </w:p>
        </w:tc>
      </w:tr>
      <w:tr w:rsidR="00670EFC" w14:paraId="5034EA35"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shd w:val="clear" w:color="auto" w:fill="ECEFF3"/>
          </w:tcPr>
          <w:p w14:paraId="7EBCA4D3" w14:textId="77777777" w:rsidR="00670EFC" w:rsidRDefault="00000000">
            <w:pPr>
              <w:spacing w:before="20" w:after="20"/>
            </w:pPr>
            <w:r>
              <w:rPr>
                <w:sz w:val="19"/>
              </w:rPr>
              <w:t>4.1</w:t>
            </w:r>
          </w:p>
        </w:tc>
        <w:tc>
          <w:tcPr>
            <w:tcW w:w="3175" w:type="dxa"/>
            <w:shd w:val="clear" w:color="auto" w:fill="ECEFF3"/>
          </w:tcPr>
          <w:p w14:paraId="260C1CD4"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Uncapped liability + indemnity for fines and reputational damages</w:t>
            </w:r>
          </w:p>
        </w:tc>
        <w:tc>
          <w:tcPr>
            <w:tcW w:w="1474" w:type="dxa"/>
            <w:shd w:val="clear" w:color="auto" w:fill="ECEFF3"/>
          </w:tcPr>
          <w:p w14:paraId="39BAB354"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b/>
                <w:color w:val="8E2A2A"/>
                <w:sz w:val="19"/>
              </w:rPr>
              <w:t>Counter-position</w:t>
            </w:r>
          </w:p>
        </w:tc>
        <w:tc>
          <w:tcPr>
            <w:tcW w:w="907" w:type="dxa"/>
            <w:shd w:val="clear" w:color="auto" w:fill="ECEFF3"/>
          </w:tcPr>
          <w:p w14:paraId="4A7E6DD7"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§8.2</w:t>
            </w:r>
          </w:p>
        </w:tc>
        <w:tc>
          <w:tcPr>
            <w:tcW w:w="3628" w:type="dxa"/>
            <w:shd w:val="clear" w:color="auto" w:fill="ECEFF3"/>
          </w:tcPr>
          <w:p w14:paraId="6F48A027"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24-mo direct-damages cap + $10M cyber rider + unlimited carve-outs for GN/WM/IP/confidentiality; regulatory fines and reputational damages declined.</w:t>
            </w:r>
          </w:p>
        </w:tc>
      </w:tr>
      <w:tr w:rsidR="00670EFC" w14:paraId="7AA22224"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1909DEC7" w14:textId="77777777" w:rsidR="00670EFC" w:rsidRDefault="00000000">
            <w:pPr>
              <w:spacing w:before="20" w:after="20"/>
            </w:pPr>
            <w:r>
              <w:rPr>
                <w:sz w:val="19"/>
              </w:rPr>
              <w:t>4.2</w:t>
            </w:r>
          </w:p>
        </w:tc>
        <w:tc>
          <w:tcPr>
            <w:tcW w:w="3175" w:type="dxa"/>
          </w:tcPr>
          <w:p w14:paraId="2AB444DF"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Unannounced audits up to 4×/yr at vendor cost</w:t>
            </w:r>
          </w:p>
        </w:tc>
        <w:tc>
          <w:tcPr>
            <w:tcW w:w="1474" w:type="dxa"/>
          </w:tcPr>
          <w:p w14:paraId="60C2EAEA"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b/>
                <w:color w:val="C8821A"/>
                <w:sz w:val="19"/>
              </w:rPr>
              <w:t>Counter-position</w:t>
            </w:r>
          </w:p>
        </w:tc>
        <w:tc>
          <w:tcPr>
            <w:tcW w:w="907" w:type="dxa"/>
          </w:tcPr>
          <w:p w14:paraId="30BAECEC"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§8.5</w:t>
            </w:r>
          </w:p>
        </w:tc>
        <w:tc>
          <w:tcPr>
            <w:tcW w:w="3628" w:type="dxa"/>
          </w:tcPr>
          <w:p w14:paraId="0E1FF261"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1× annual audit with 30 days' notice; for-cause unannounced audit on confirmed incident; SOC 2 + ISO 27001 + controls portal as standing evidence.</w:t>
            </w:r>
          </w:p>
        </w:tc>
      </w:tr>
      <w:tr w:rsidR="00670EFC" w14:paraId="08DF8E11"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shd w:val="clear" w:color="auto" w:fill="ECEFF3"/>
          </w:tcPr>
          <w:p w14:paraId="3904B40B" w14:textId="77777777" w:rsidR="00670EFC" w:rsidRDefault="00000000">
            <w:pPr>
              <w:spacing w:before="20" w:after="20"/>
            </w:pPr>
            <w:r>
              <w:rPr>
                <w:sz w:val="19"/>
              </w:rPr>
              <w:lastRenderedPageBreak/>
              <w:t>4.3</w:t>
            </w:r>
          </w:p>
        </w:tc>
        <w:tc>
          <w:tcPr>
            <w:tcW w:w="3175" w:type="dxa"/>
            <w:shd w:val="clear" w:color="auto" w:fill="ECEFF3"/>
          </w:tcPr>
          <w:p w14:paraId="047BD24E"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99.99% monthly uptime; immediate termination on any miss + full month refund</w:t>
            </w:r>
          </w:p>
        </w:tc>
        <w:tc>
          <w:tcPr>
            <w:tcW w:w="1474" w:type="dxa"/>
            <w:shd w:val="clear" w:color="auto" w:fill="ECEFF3"/>
          </w:tcPr>
          <w:p w14:paraId="1D3FB8AE"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b/>
                <w:color w:val="C8821A"/>
                <w:sz w:val="19"/>
              </w:rPr>
              <w:t>Alternative offered + counter-position</w:t>
            </w:r>
          </w:p>
        </w:tc>
        <w:tc>
          <w:tcPr>
            <w:tcW w:w="907" w:type="dxa"/>
            <w:shd w:val="clear" w:color="auto" w:fill="ECEFF3"/>
          </w:tcPr>
          <w:p w14:paraId="309CA37C"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§7, §8.3</w:t>
            </w:r>
          </w:p>
        </w:tc>
        <w:tc>
          <w:tcPr>
            <w:tcW w:w="3628" w:type="dxa"/>
            <w:shd w:val="clear" w:color="auto" w:fill="ECEFF3"/>
          </w:tcPr>
          <w:p w14:paraId="04388F56"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99.95% standard; 99.99% custom architecture available as priced add-on. Graduated credits replace instant termination; termination preserved for chronic (3-in-12) or material (&gt;4 hr) failure.</w:t>
            </w:r>
          </w:p>
        </w:tc>
      </w:tr>
      <w:tr w:rsidR="00670EFC" w14:paraId="38D8842C"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0359E205" w14:textId="77777777" w:rsidR="00670EFC" w:rsidRDefault="00000000">
            <w:pPr>
              <w:spacing w:before="20" w:after="20"/>
            </w:pPr>
            <w:r>
              <w:rPr>
                <w:sz w:val="19"/>
              </w:rPr>
              <w:t>4.4</w:t>
            </w:r>
          </w:p>
        </w:tc>
        <w:tc>
          <w:tcPr>
            <w:tcW w:w="3175" w:type="dxa"/>
          </w:tcPr>
          <w:p w14:paraId="2A408401"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All work product, custom dev, configs, integrations vest in Acme on creation</w:t>
            </w:r>
          </w:p>
        </w:tc>
        <w:tc>
          <w:tcPr>
            <w:tcW w:w="1474" w:type="dxa"/>
          </w:tcPr>
          <w:p w14:paraId="0814D7F5"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b/>
                <w:color w:val="C8821A"/>
                <w:sz w:val="19"/>
              </w:rPr>
              <w:t>Counter-position</w:t>
            </w:r>
          </w:p>
        </w:tc>
        <w:tc>
          <w:tcPr>
            <w:tcW w:w="907" w:type="dxa"/>
          </w:tcPr>
          <w:p w14:paraId="22AD9152"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§8.1</w:t>
            </w:r>
          </w:p>
        </w:tc>
        <w:tc>
          <w:tcPr>
            <w:tcW w:w="3628" w:type="dxa"/>
          </w:tcPr>
          <w:p w14:paraId="77ACBCEB"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Acme owns Acme-specific work product. BTS retains core/generic platform IP. Stark licence-back precedent applied.</w:t>
            </w:r>
          </w:p>
        </w:tc>
      </w:tr>
      <w:tr w:rsidR="00670EFC" w14:paraId="444A95BE"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shd w:val="clear" w:color="auto" w:fill="ECEFF3"/>
          </w:tcPr>
          <w:p w14:paraId="65536F1D" w14:textId="77777777" w:rsidR="00670EFC" w:rsidRDefault="00000000">
            <w:pPr>
              <w:spacing w:before="20" w:after="20"/>
            </w:pPr>
            <w:r>
              <w:rPr>
                <w:sz w:val="19"/>
              </w:rPr>
              <w:t>4.5</w:t>
            </w:r>
          </w:p>
        </w:tc>
        <w:tc>
          <w:tcPr>
            <w:tcW w:w="3175" w:type="dxa"/>
            <w:shd w:val="clear" w:color="auto" w:fill="ECEFF3"/>
          </w:tcPr>
          <w:p w14:paraId="4CDA914A"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Subprocessor pre-approval at Acme's sole discretion</w:t>
            </w:r>
          </w:p>
        </w:tc>
        <w:tc>
          <w:tcPr>
            <w:tcW w:w="1474" w:type="dxa"/>
            <w:shd w:val="clear" w:color="auto" w:fill="ECEFF3"/>
          </w:tcPr>
          <w:p w14:paraId="780490FB"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b/>
                <w:color w:val="C8821A"/>
                <w:sz w:val="19"/>
              </w:rPr>
              <w:t>Counter-position</w:t>
            </w:r>
          </w:p>
        </w:tc>
        <w:tc>
          <w:tcPr>
            <w:tcW w:w="907" w:type="dxa"/>
            <w:shd w:val="clear" w:color="auto" w:fill="ECEFF3"/>
          </w:tcPr>
          <w:p w14:paraId="623AE9DD"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§8.4</w:t>
            </w:r>
          </w:p>
        </w:tc>
        <w:tc>
          <w:tcPr>
            <w:tcW w:w="3628" w:type="dxa"/>
            <w:shd w:val="clear" w:color="auto" w:fill="ECEFF3"/>
          </w:tcPr>
          <w:p w14:paraId="092AA6B8"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Pre-vetted list at signing + 30-day reasonable objection + 72-hr emergency security path; stronger consent for EU-pinned data.</w:t>
            </w:r>
          </w:p>
        </w:tc>
      </w:tr>
      <w:tr w:rsidR="00670EFC" w14:paraId="6708D114" w14:textId="77777777" w:rsidTr="00670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7C5F7D00" w14:textId="77777777" w:rsidR="00670EFC" w:rsidRDefault="00000000">
            <w:pPr>
              <w:spacing w:before="20" w:after="20"/>
            </w:pPr>
            <w:r>
              <w:rPr>
                <w:sz w:val="19"/>
              </w:rPr>
              <w:t>5</w:t>
            </w:r>
          </w:p>
        </w:tc>
        <w:tc>
          <w:tcPr>
            <w:tcW w:w="3175" w:type="dxa"/>
          </w:tcPr>
          <w:p w14:paraId="764B672D"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Functional fit / Commercial / TCO / Implementation / Stability weights</w:t>
            </w:r>
          </w:p>
        </w:tc>
        <w:tc>
          <w:tcPr>
            <w:tcW w:w="1474" w:type="dxa"/>
          </w:tcPr>
          <w:p w14:paraId="45C2250E"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b/>
                <w:color w:val="2C6E49"/>
                <w:sz w:val="19"/>
              </w:rPr>
              <w:t>Acknowledged</w:t>
            </w:r>
          </w:p>
        </w:tc>
        <w:tc>
          <w:tcPr>
            <w:tcW w:w="907" w:type="dxa"/>
          </w:tcPr>
          <w:p w14:paraId="44145FBB"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Whole document</w:t>
            </w:r>
          </w:p>
        </w:tc>
        <w:tc>
          <w:tcPr>
            <w:tcW w:w="3628" w:type="dxa"/>
          </w:tcPr>
          <w:p w14:paraId="5CA95403" w14:textId="77777777" w:rsidR="00670EFC"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9"/>
              </w:rPr>
              <w:t>Proposal structured to score the 75% of the grid that combines functional, commercial and TCO.</w:t>
            </w:r>
          </w:p>
        </w:tc>
      </w:tr>
      <w:tr w:rsidR="00670EFC" w14:paraId="0F404FCD" w14:textId="77777777" w:rsidTr="00670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shd w:val="clear" w:color="auto" w:fill="ECEFF3"/>
          </w:tcPr>
          <w:p w14:paraId="5849CBDF" w14:textId="77777777" w:rsidR="00670EFC" w:rsidRDefault="00000000">
            <w:pPr>
              <w:spacing w:before="20" w:after="20"/>
            </w:pPr>
            <w:r>
              <w:rPr>
                <w:sz w:val="19"/>
              </w:rPr>
              <w:t>7</w:t>
            </w:r>
          </w:p>
        </w:tc>
        <w:tc>
          <w:tcPr>
            <w:tcW w:w="3175" w:type="dxa"/>
            <w:shd w:val="clear" w:color="auto" w:fill="ECEFF3"/>
          </w:tcPr>
          <w:p w14:paraId="221F2186"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Three customer references at similar scale + Power BI + Azure</w:t>
            </w:r>
          </w:p>
        </w:tc>
        <w:tc>
          <w:tcPr>
            <w:tcW w:w="1474" w:type="dxa"/>
            <w:shd w:val="clear" w:color="auto" w:fill="ECEFF3"/>
          </w:tcPr>
          <w:p w14:paraId="1F55E0A8"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b/>
                <w:color w:val="2C6E49"/>
                <w:sz w:val="19"/>
              </w:rPr>
              <w:t>Full</w:t>
            </w:r>
          </w:p>
        </w:tc>
        <w:tc>
          <w:tcPr>
            <w:tcW w:w="907" w:type="dxa"/>
            <w:shd w:val="clear" w:color="auto" w:fill="ECEFF3"/>
          </w:tcPr>
          <w:p w14:paraId="3C9851BE"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§10</w:t>
            </w:r>
          </w:p>
        </w:tc>
        <w:tc>
          <w:tcPr>
            <w:tcW w:w="3628" w:type="dxa"/>
            <w:shd w:val="clear" w:color="auto" w:fill="ECEFF3"/>
          </w:tcPr>
          <w:p w14:paraId="3A84AF27" w14:textId="77777777" w:rsidR="00670EFC"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9"/>
              </w:rPr>
              <w:t>Initech, Globex, Stark — all named, all available on request.</w:t>
            </w:r>
          </w:p>
        </w:tc>
      </w:tr>
    </w:tbl>
    <w:p w14:paraId="31421CC7" w14:textId="77777777" w:rsidR="00670EFC" w:rsidRDefault="00000000">
      <w:r>
        <w:rPr>
          <w:i/>
          <w:color w:val="C8821A"/>
          <w:sz w:val="19"/>
        </w:rPr>
        <w:t>Table 5 — Acme's shall/must/will requirements mapped to fit status. "Full" is used only where it is true; every alternative or counter-position is explained in the section listed.</w:t>
      </w:r>
    </w:p>
    <w:p w14:paraId="5056C5B3" w14:textId="77777777" w:rsidR="00670EFC" w:rsidRDefault="00000000">
      <w:r>
        <w:br w:type="page"/>
      </w:r>
    </w:p>
    <w:p w14:paraId="2BEB41D7" w14:textId="77777777" w:rsidR="00670EFC" w:rsidRDefault="00000000">
      <w:pPr>
        <w:pStyle w:val="Heading1"/>
      </w:pPr>
      <w:r>
        <w:lastRenderedPageBreak/>
        <w:t>10. References and Proof Points</w:t>
      </w:r>
    </w:p>
    <w:tbl>
      <w:tblPr>
        <w:tblW w:w="0" w:type="auto"/>
        <w:tblLook w:val="04A0" w:firstRow="1" w:lastRow="0" w:firstColumn="1" w:lastColumn="0" w:noHBand="0" w:noVBand="1"/>
      </w:tblPr>
      <w:tblGrid>
        <w:gridCol w:w="9746"/>
      </w:tblGrid>
      <w:tr w:rsidR="00670EFC" w14:paraId="516AF262" w14:textId="77777777">
        <w:tc>
          <w:tcPr>
            <w:tcW w:w="9746" w:type="dxa"/>
            <w:tcBorders>
              <w:left w:val="single" w:sz="24" w:space="0" w:color="C8821A"/>
            </w:tcBorders>
            <w:shd w:val="clear" w:color="auto" w:fill="FFF8EC"/>
          </w:tcPr>
          <w:p w14:paraId="7B499876" w14:textId="77777777" w:rsidR="00670EFC" w:rsidRDefault="00000000">
            <w:pPr>
              <w:spacing w:before="80" w:after="80"/>
            </w:pPr>
            <w:r>
              <w:rPr>
                <w:b/>
                <w:i/>
                <w:color w:val="1F3A5F"/>
              </w:rPr>
              <w:t>Acme's RFP §7 asks for three references at similar scale, with Power BI and Azure. Three named references follow — each tied to the specific claim it supports.</w:t>
            </w:r>
          </w:p>
        </w:tc>
      </w:tr>
    </w:tbl>
    <w:p w14:paraId="0EE17BD6" w14:textId="77777777" w:rsidR="00670EFC" w:rsidRDefault="00670EFC"/>
    <w:p w14:paraId="7B58793C" w14:textId="77777777" w:rsidR="00670EFC" w:rsidRDefault="00000000">
      <w:pPr>
        <w:pStyle w:val="Heading2"/>
      </w:pPr>
      <w:r>
        <w:t>Initech Sensors — Industrial / IoT (closed 2025)</w:t>
      </w:r>
    </w:p>
    <w:p w14:paraId="0C2FF15B" w14:textId="77777777" w:rsidR="00670EFC" w:rsidRDefault="00000000">
      <w:pPr>
        <w:spacing w:after="120"/>
      </w:pPr>
      <w:r>
        <w:t>Industrial sensor manufacturer; 600+ analyst Power BI estate; Azure footprint; IoT ingest at peak rates comparable to Acme. Selected this platform over a licence-bundled alternative on real-time performance, Power BI continuity, and open-format portability. Two-year contract. Initech runs the in-memory aggregation cache pattern referenced in §4 and §5 for their interactive analyst tier. Reference contact available on Acme's written request.</w:t>
      </w:r>
    </w:p>
    <w:p w14:paraId="264ADB98" w14:textId="77777777" w:rsidR="00670EFC" w:rsidRDefault="00000000">
      <w:pPr>
        <w:spacing w:after="120"/>
      </w:pPr>
      <w:r>
        <w:rPr>
          <w:i/>
          <w:color w:val="C8821A"/>
          <w:sz w:val="20"/>
        </w:rPr>
        <w:t>Supports: Power BI DirectQuery on open formats (WT1); real-time ingest at scale (§5.2); streaming-latency cache pattern (§4 honesty section).</w:t>
      </w:r>
    </w:p>
    <w:p w14:paraId="20D71E27" w14:textId="77777777" w:rsidR="00670EFC" w:rsidRDefault="00000000">
      <w:pPr>
        <w:pStyle w:val="Heading2"/>
      </w:pPr>
      <w:r>
        <w:t>Globex Manufacturing — Industrial (closed 2025)</w:t>
      </w:r>
    </w:p>
    <w:p w14:paraId="77AC8007" w14:textId="77777777" w:rsidR="00670EFC" w:rsidRDefault="00000000">
      <w:pPr>
        <w:spacing w:after="120"/>
      </w:pPr>
      <w:r>
        <w:t>Tier-one industrial manufacturer; heavy-unstructured analytics workload; three-year contract. Initially evaluating a consumption-metered competitor; selected this platform after a three-year TCO comparison at Globex's actual workload profile showed a 20–25% cost advantage that widened in Years 2 and 3 as data volumes and query complexity grew. Reference contact available on Acme's written request.</w:t>
      </w:r>
    </w:p>
    <w:p w14:paraId="2FB87FC9" w14:textId="77777777" w:rsidR="00670EFC" w:rsidRDefault="00000000">
      <w:pPr>
        <w:spacing w:after="120"/>
      </w:pPr>
      <w:r>
        <w:rPr>
          <w:i/>
          <w:color w:val="C8821A"/>
          <w:sz w:val="20"/>
        </w:rPr>
        <w:t>Supports: compute decoupled from storage at fixed annualised price (WT2); TCO modelling against compute-metered alternatives (§7.3).</w:t>
      </w:r>
    </w:p>
    <w:p w14:paraId="540B0395" w14:textId="77777777" w:rsidR="00670EFC" w:rsidRDefault="00000000">
      <w:pPr>
        <w:pStyle w:val="Heading2"/>
      </w:pPr>
      <w:r>
        <w:t>Stark Industries — Defence / Aerospace (closed 2026)</w:t>
      </w:r>
    </w:p>
    <w:p w14:paraId="4595427F" w14:textId="77777777" w:rsidR="00670EFC" w:rsidRDefault="00000000">
      <w:pPr>
        <w:spacing w:after="120"/>
      </w:pPr>
      <w:r>
        <w:t>Defence-aerospace manufacturer; sovereign-deployment requirements; five-year contract. Reviewed and accepted the per-table residency, BYO storage, and self-host architecture documented in §5.3. Stark's legal team reviewed and accepted the IP licence-back model documented in §8.1. Reference contact available on Acme's written request.</w:t>
      </w:r>
    </w:p>
    <w:p w14:paraId="0A24D409" w14:textId="77777777" w:rsidR="00670EFC" w:rsidRDefault="00000000">
      <w:pPr>
        <w:spacing w:after="120"/>
      </w:pPr>
      <w:r>
        <w:rPr>
          <w:i/>
          <w:color w:val="C8821A"/>
          <w:sz w:val="20"/>
        </w:rPr>
        <w:t>Supports: per-table EU sovereignty (WT4); IP licence-back contract position (WT5).</w:t>
      </w:r>
    </w:p>
    <w:p w14:paraId="41E72533" w14:textId="77777777" w:rsidR="00670EFC" w:rsidRDefault="00000000">
      <w:pPr>
        <w:pStyle w:val="Heading2"/>
      </w:pPr>
      <w:r>
        <w:t>Compliance and assurance evidence</w:t>
      </w:r>
    </w:p>
    <w:p w14:paraId="5B8AFDC0" w14:textId="77777777" w:rsidR="00670EFC" w:rsidRDefault="00000000">
      <w:pPr>
        <w:pStyle w:val="ListBullet"/>
        <w:spacing w:after="40"/>
        <w:ind w:left="340"/>
      </w:pPr>
      <w:r>
        <w:t>SOC 2 Type II — annual report available under NDA.</w:t>
      </w:r>
    </w:p>
    <w:p w14:paraId="7E35A1FC" w14:textId="77777777" w:rsidR="00670EFC" w:rsidRDefault="00000000">
      <w:pPr>
        <w:pStyle w:val="ListBullet"/>
        <w:spacing w:after="40"/>
        <w:ind w:left="340"/>
      </w:pPr>
      <w:r>
        <w:t>ISO 27001 — certificate current; available on request.</w:t>
      </w:r>
    </w:p>
    <w:p w14:paraId="6A944EAF" w14:textId="77777777" w:rsidR="00670EFC" w:rsidRDefault="00000000">
      <w:pPr>
        <w:pStyle w:val="ListBullet"/>
        <w:spacing w:after="40"/>
        <w:ind w:left="340"/>
      </w:pPr>
      <w:r>
        <w:t>GDPR Data Processing Agreement — standard form available for Acme legal review.</w:t>
      </w:r>
    </w:p>
    <w:p w14:paraId="569B7F71" w14:textId="77777777" w:rsidR="00670EFC" w:rsidRDefault="00000000">
      <w:pPr>
        <w:pStyle w:val="ListBullet"/>
        <w:spacing w:after="40"/>
        <w:ind w:left="340"/>
      </w:pPr>
      <w:r>
        <w:t>HIPAA-eligible controls — available if Acme's healthcare-adjacent data requires.</w:t>
      </w:r>
    </w:p>
    <w:p w14:paraId="2674F329" w14:textId="77777777" w:rsidR="00670EFC" w:rsidRDefault="00000000">
      <w:r>
        <w:br w:type="page"/>
      </w:r>
    </w:p>
    <w:p w14:paraId="6FA12EF4" w14:textId="77777777" w:rsidR="00670EFC" w:rsidRDefault="00000000">
      <w:pPr>
        <w:pStyle w:val="Heading1"/>
      </w:pPr>
      <w:r>
        <w:lastRenderedPageBreak/>
        <w:t>11. Next Steps</w:t>
      </w:r>
    </w:p>
    <w:tbl>
      <w:tblPr>
        <w:tblW w:w="0" w:type="auto"/>
        <w:tblLook w:val="04A0" w:firstRow="1" w:lastRow="0" w:firstColumn="1" w:lastColumn="0" w:noHBand="0" w:noVBand="1"/>
      </w:tblPr>
      <w:tblGrid>
        <w:gridCol w:w="9746"/>
      </w:tblGrid>
      <w:tr w:rsidR="00670EFC" w14:paraId="4B965ADF" w14:textId="77777777">
        <w:tc>
          <w:tcPr>
            <w:tcW w:w="9746" w:type="dxa"/>
            <w:tcBorders>
              <w:left w:val="single" w:sz="24" w:space="0" w:color="C8821A"/>
            </w:tcBorders>
            <w:shd w:val="clear" w:color="auto" w:fill="FFF8EC"/>
          </w:tcPr>
          <w:p w14:paraId="15933649" w14:textId="77777777" w:rsidR="00670EFC" w:rsidRDefault="00000000">
            <w:pPr>
              <w:spacing w:before="80" w:after="80"/>
            </w:pPr>
            <w:r>
              <w:rPr>
                <w:b/>
                <w:i/>
                <w:color w:val="1F3A5F"/>
              </w:rPr>
              <w:t>Acme's evaluation period closes 2026-06-30 with award. Three actions are proposed to land that timeline cleanly.</w:t>
            </w:r>
          </w:p>
        </w:tc>
      </w:tr>
    </w:tbl>
    <w:p w14:paraId="6228FA5F" w14:textId="77777777" w:rsidR="00670EFC" w:rsidRDefault="00670EFC"/>
    <w:p w14:paraId="5919F4CA" w14:textId="77777777" w:rsidR="00670EFC" w:rsidRDefault="00000000">
      <w:pPr>
        <w:spacing w:after="120"/>
      </w:pPr>
      <w:r>
        <w:rPr>
          <w:b/>
          <w:color w:val="1F3A5F"/>
        </w:rPr>
        <w:t xml:space="preserve">Action 1 — Solution working session. </w:t>
      </w:r>
      <w:r>
        <w:t xml:space="preserve">A 90-minute deep-dive with Marcus Webb and the Acme architecture team to walk the Phase 1 foundation design, the per-table residency policy model, and the Power BI DirectQuery adapter on Acme's live Power BI environment. </w:t>
      </w:r>
      <w:r>
        <w:rPr>
          <w:b/>
        </w:rPr>
        <w:t xml:space="preserve">Proposed by 2026-06-02. </w:t>
      </w:r>
      <w:r>
        <w:t>BTS-Synthetic will provide a solution architect, the DirectQuery adapter engineering lead, and a named delivery partner.</w:t>
      </w:r>
    </w:p>
    <w:p w14:paraId="53D0C0E6" w14:textId="77777777" w:rsidR="00670EFC" w:rsidRDefault="00000000">
      <w:pPr>
        <w:spacing w:after="120"/>
      </w:pPr>
      <w:r>
        <w:rPr>
          <w:b/>
          <w:color w:val="1F3A5F"/>
        </w:rPr>
        <w:t xml:space="preserve">Action 2 — Commercial and contract redline session. </w:t>
      </w:r>
      <w:r>
        <w:t xml:space="preserve">A 60-minute session with Sarah Chen and Acme legal to walk the seven contract positions in §8 against the Stark, Globex and Initech precedents, and confirm the path to a fully drafted Master Subscription Agreement. </w:t>
      </w:r>
      <w:r>
        <w:rPr>
          <w:b/>
        </w:rPr>
        <w:t xml:space="preserve">Proposed by 2026-06-09. </w:t>
      </w:r>
      <w:r>
        <w:t>BTS-Synthetic will provide commercial lead and outside counsel as needed.</w:t>
      </w:r>
    </w:p>
    <w:p w14:paraId="0A851764" w14:textId="77777777" w:rsidR="00670EFC" w:rsidRDefault="00000000">
      <w:pPr>
        <w:spacing w:after="120"/>
      </w:pPr>
      <w:r>
        <w:rPr>
          <w:b/>
          <w:color w:val="1F3A5F"/>
        </w:rPr>
        <w:t xml:space="preserve">Action 3 — Reference call programme. </w:t>
      </w:r>
      <w:r>
        <w:t xml:space="preserve">Sequenced reference calls with Initech (Power BI + IoT scale), Globex (TCO + compute-metered comparison), and Stark (sovereignty + IP precedent) to close out the §5 stability-and-references evaluation criterion. </w:t>
      </w:r>
      <w:r>
        <w:rPr>
          <w:b/>
        </w:rPr>
        <w:t>Available from 2026-06-03, sequenced at Acme's preference.</w:t>
      </w:r>
    </w:p>
    <w:p w14:paraId="2EDF1705" w14:textId="77777777" w:rsidR="00670EFC" w:rsidRDefault="00670EFC">
      <w:pPr>
        <w:spacing w:after="120"/>
      </w:pPr>
    </w:p>
    <w:p w14:paraId="3F82DD6E" w14:textId="77777777" w:rsidR="00670EFC" w:rsidRDefault="00000000">
      <w:pPr>
        <w:spacing w:before="160" w:after="120"/>
      </w:pPr>
      <w:r>
        <w:rPr>
          <w:b/>
          <w:color w:val="1F3A5F"/>
          <w:sz w:val="24"/>
        </w:rPr>
        <w:t>Single decision request to Acme:</w:t>
      </w:r>
    </w:p>
    <w:p w14:paraId="1A758ACC" w14:textId="77777777" w:rsidR="00670EFC" w:rsidRDefault="00000000">
      <w:pPr>
        <w:spacing w:after="120"/>
      </w:pPr>
      <w:r>
        <w:t>Confirm Action 1 (solution working session) by reply to Sarah Chen via the BTS-Synthetic deal desk no later than 2026-05-29. Working-session attendees and scheduling will be returned within one business day.</w:t>
      </w:r>
    </w:p>
    <w:p w14:paraId="2A5A72AD" w14:textId="77777777" w:rsidR="00670EFC" w:rsidRDefault="00670EFC">
      <w:pPr>
        <w:spacing w:after="120"/>
      </w:pPr>
    </w:p>
    <w:p w14:paraId="6AEE2406" w14:textId="77777777" w:rsidR="00670EFC" w:rsidRDefault="00000000">
      <w:pPr>
        <w:spacing w:before="240" w:after="120"/>
      </w:pPr>
      <w:r>
        <w:rPr>
          <w:b/>
          <w:color w:val="1F3A5F"/>
        </w:rPr>
        <w:t>Acme contact for this proposal at BTS-Synthetic:</w:t>
      </w:r>
    </w:p>
    <w:p w14:paraId="4CE8D777" w14:textId="77777777" w:rsidR="00670EFC" w:rsidRDefault="00000000">
      <w:pPr>
        <w:spacing w:after="120"/>
      </w:pPr>
      <w:r>
        <w:rPr>
          <w:sz w:val="20"/>
        </w:rPr>
        <w:t>Deal Desk — proposals@bts-synthetic.example</w:t>
      </w:r>
    </w:p>
    <w:p w14:paraId="1B9ECF9E" w14:textId="77777777" w:rsidR="00670EFC" w:rsidRDefault="00000000">
      <w:pPr>
        <w:spacing w:after="120"/>
      </w:pPr>
      <w:r>
        <w:rPr>
          <w:sz w:val="20"/>
        </w:rPr>
        <w:t>Solution architect — named on Action 1 confirmation</w:t>
      </w:r>
    </w:p>
    <w:p w14:paraId="368F9CA4" w14:textId="77777777" w:rsidR="00670EFC" w:rsidRDefault="00000000">
      <w:pPr>
        <w:spacing w:after="120"/>
      </w:pPr>
      <w:r>
        <w:rPr>
          <w:sz w:val="20"/>
        </w:rPr>
        <w:t>Commercial lead — named on Action 2 confirmation</w:t>
      </w:r>
    </w:p>
    <w:p w14:paraId="3E791AEB" w14:textId="77777777" w:rsidR="00670EFC" w:rsidRDefault="00670EFC">
      <w:pPr>
        <w:spacing w:after="120"/>
      </w:pPr>
    </w:p>
    <w:p w14:paraId="470A6CF5" w14:textId="77777777" w:rsidR="00670EFC" w:rsidRDefault="00000000">
      <w:pPr>
        <w:spacing w:before="480" w:after="120"/>
        <w:jc w:val="center"/>
      </w:pPr>
      <w:r>
        <w:rPr>
          <w:i/>
          <w:color w:val="C8821A"/>
        </w:rPr>
        <w:t>— end of proposal —</w:t>
      </w:r>
    </w:p>
    <w:sectPr w:rsidR="00670EF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1406147">
    <w:abstractNumId w:val="8"/>
  </w:num>
  <w:num w:numId="2" w16cid:durableId="1869097807">
    <w:abstractNumId w:val="6"/>
  </w:num>
  <w:num w:numId="3" w16cid:durableId="1289892986">
    <w:abstractNumId w:val="5"/>
  </w:num>
  <w:num w:numId="4" w16cid:durableId="326448680">
    <w:abstractNumId w:val="4"/>
  </w:num>
  <w:num w:numId="5" w16cid:durableId="377049854">
    <w:abstractNumId w:val="7"/>
  </w:num>
  <w:num w:numId="6" w16cid:durableId="650601920">
    <w:abstractNumId w:val="3"/>
  </w:num>
  <w:num w:numId="7" w16cid:durableId="1097213805">
    <w:abstractNumId w:val="2"/>
  </w:num>
  <w:num w:numId="8" w16cid:durableId="141431893">
    <w:abstractNumId w:val="1"/>
  </w:num>
  <w:num w:numId="9" w16cid:durableId="162471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655"/>
    <w:rsid w:val="0015074B"/>
    <w:rsid w:val="00155D1A"/>
    <w:rsid w:val="0029639D"/>
    <w:rsid w:val="00326F90"/>
    <w:rsid w:val="00670EFC"/>
    <w:rsid w:val="00AA1D8D"/>
    <w:rsid w:val="00B47730"/>
    <w:rsid w:val="00C411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05D901A-2518-4114-B587-9C7BD49D7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D47"/>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b/>
      <w:bCs/>
      <w:color w:val="C882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TotalTime>
  <Pages>21</Pages>
  <Words>6475</Words>
  <Characters>37492</Characters>
  <Application>Microsoft Office Word</Application>
  <DocSecurity>0</DocSecurity>
  <Lines>892</Lines>
  <Paragraphs>483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2026-05-21T14:03:00Z</dcterms:modified>
  <cp:category/>
</cp:coreProperties>
</file>