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2E75B6"/>
          <w:spacing w:val="20"/>
          <w:sz w:val="18"/>
          <w:szCs w:val="18"/>
        </w:rPr>
        <w:t xml:space="preserve">PRODUCT REQUIREMENTS DOCUMENT</w:t>
      </w:r>
    </w:p>
    <w:p>
      <w:pPr>
        <w:spacing w:after="0" w:before="60"/>
      </w:pPr>
      <w:r>
        <w:rPr>
          <w:b/>
          <w:bCs/>
          <w:color w:val="1F3864"/>
          <w:sz w:val="40"/>
          <w:szCs w:val="40"/>
        </w:rPr>
        <w:t xml:space="preserve">Vendor Payment Intelligence</w:t>
      </w:r>
    </w:p>
    <w:p>
      <w:pPr>
        <w:spacing w:after="40" w:before="40"/>
      </w:pPr>
      <w:r>
        <w:rPr>
          <w:color w:val="404040"/>
          <w:sz w:val="21"/>
          <w:szCs w:val="21"/>
        </w:rPr>
        <w:t xml:space="preserve">ML-driven supplier conversion, offer optimization, interchange qualification &amp; buyer rebate</w:t>
      </w:r>
    </w:p>
    <w:p>
      <w:pPr>
        <w:pBdr>
          <w:bottom w:val="single" w:color="2E75B6" w:sz="6" w:space="2"/>
        </w:pBdr>
        <w:spacing w:after="120"/>
      </w:pPr>
      <w:r>
        <w:rPr>
          <w:i/>
          <w:iCs/>
          <w:color w:val="C55A11"/>
          <w:sz w:val="18"/>
          <w:szCs w:val="18"/>
        </w:rPr>
        <w:t xml:space="preserve">v0.4  ·  July 6, 2026  ·  Working draft (synthetic-data prototype)  ·  Precursor to the Corpay Agentic AP Automation platform</w:t>
      </w:r>
    </w:p>
    <w:p>
      <w:pPr>
        <w:pStyle w:val="Heading1"/>
      </w:pPr>
      <w:r>
        <w:t xml:space="preserve">1. Product Thesis</w:t>
      </w:r>
    </w:p>
    <w:p>
      <w:pPr>
        <w:spacing w:after="100"/>
      </w:pPr>
      <w:r>
        <w:t xml:space="preserve">Corpay can increase virtual-card contribution by making a set of linked decisions better: which ACH/check suppliers to approach, which transparent commercial offer to present, which valid network program each accepted transaction should qualify for, and (buyer side) which rebate wins and retains each customer. The system is a decision layer; payment execution, authorization, ledger posting, and money movement remain in existing regulated systems.</w:t>
      </w:r>
    </w:p>
    <w:p>
      <w:pPr>
        <w:spacing w:after="100"/>
        <w:rPr>
          <w:b/>
          <w:bCs/>
          <w:color w:val="1F3864"/>
          <w:sz w:val="20"/>
          <w:szCs w:val="20"/>
        </w:rPr>
      </w:pPr>
      <w:r>
        <w:rPr>
          <w:b/>
          <w:bCs/>
          <w:color w:val="1F3864"/>
          <w:sz w:val="20"/>
          <w:szCs w:val="20"/>
        </w:rPr>
        <w:t xml:space="preserve">Core principle: optimize accepted spend and long-term contribution, not the highest fee on a single transaction.</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2340"/>
        <w:gridCol w:w="3900"/>
        <w:gridCol w:w="3120"/>
      </w:tblGrid>
      <w:tr>
        <w:trPr>
          <w:tblHeader/>
        </w:trPr>
        <w:tc>
          <w:tcPr>
            <w:tcW w:type="dxa" w:w="2340"/>
            <w:shd w:fill="1F3864" w:val="clear"/>
            <w:tcMar>
              <w:top w:type="dxa" w:w="40"/>
              <w:left w:type="dxa" w:w="100"/>
              <w:bottom w:type="dxa" w:w="40"/>
              <w:right w:type="dxa" w:w="100"/>
            </w:tcMar>
          </w:tcPr>
          <w:p>
            <w:r>
              <w:rPr>
                <w:b/>
                <w:bCs/>
                <w:color w:val="FFFFFF"/>
                <w:sz w:val="18"/>
                <w:szCs w:val="18"/>
              </w:rPr>
              <w:t xml:space="preserve">Decision product</w:t>
            </w:r>
          </w:p>
        </w:tc>
        <w:tc>
          <w:tcPr>
            <w:tcW w:type="dxa" w:w="3900"/>
            <w:shd w:fill="1F3864" w:val="clear"/>
            <w:tcMar>
              <w:top w:type="dxa" w:w="40"/>
              <w:left w:type="dxa" w:w="100"/>
              <w:bottom w:type="dxa" w:w="40"/>
              <w:right w:type="dxa" w:w="100"/>
            </w:tcMar>
          </w:tcPr>
          <w:p>
            <w:r>
              <w:rPr>
                <w:b/>
                <w:bCs/>
                <w:color w:val="FFFFFF"/>
                <w:sz w:val="18"/>
                <w:szCs w:val="18"/>
              </w:rPr>
              <w:t xml:space="preserve">Primary question</w:t>
            </w:r>
          </w:p>
        </w:tc>
        <w:tc>
          <w:tcPr>
            <w:tcW w:type="dxa" w:w="3120"/>
            <w:shd w:fill="1F3864" w:val="clear"/>
            <w:tcMar>
              <w:top w:type="dxa" w:w="40"/>
              <w:left w:type="dxa" w:w="100"/>
              <w:bottom w:type="dxa" w:w="40"/>
              <w:right w:type="dxa" w:w="100"/>
            </w:tcMar>
          </w:tcPr>
          <w:p>
            <w:r>
              <w:rPr>
                <w:b/>
                <w:bCs/>
                <w:color w:val="FFFFFF"/>
                <w:sz w:val="18"/>
                <w:szCs w:val="18"/>
              </w:rPr>
              <w:t xml:space="preserve">Production output</w:t>
            </w:r>
          </w:p>
        </w:tc>
      </w:tr>
      <w:tr>
        <w:trPr>
          <w:tblHeader w:val="false"/>
        </w:trPr>
        <w:tc>
          <w:tcPr>
            <w:tcW w:type="dxa" w:w="2340"/>
            <w:shd w:fill="FFFFFF" w:val="clear"/>
            <w:tcMar>
              <w:top w:type="dxa" w:w="40"/>
              <w:left w:type="dxa" w:w="100"/>
              <w:bottom w:type="dxa" w:w="40"/>
              <w:right w:type="dxa" w:w="100"/>
            </w:tcMar>
          </w:tcPr>
          <w:p>
            <w:r>
              <w:rPr>
                <w:b w:val="false"/>
                <w:bCs w:val="false"/>
                <w:color w:val="000000"/>
                <w:sz w:val="18"/>
                <w:szCs w:val="18"/>
              </w:rPr>
              <w:t xml:space="preserve">B · Supplier conversion propensity</w:t>
            </w:r>
          </w:p>
        </w:tc>
        <w:tc>
          <w:tcPr>
            <w:tcW w:type="dxa" w:w="3900"/>
            <w:shd w:fill="FFFFFF" w:val="clear"/>
            <w:tcMar>
              <w:top w:type="dxa" w:w="40"/>
              <w:left w:type="dxa" w:w="100"/>
              <w:bottom w:type="dxa" w:w="40"/>
              <w:right w:type="dxa" w:w="100"/>
            </w:tcMar>
          </w:tcPr>
          <w:p>
            <w:r>
              <w:rPr>
                <w:b w:val="false"/>
                <w:bCs w:val="false"/>
                <w:color w:val="000000"/>
                <w:sz w:val="18"/>
                <w:szCs w:val="18"/>
              </w:rPr>
              <w:t xml:space="preserve">Which suppliers are likely to accept virtual card at economically viable terms?</w:t>
            </w:r>
          </w:p>
        </w:tc>
        <w:tc>
          <w:tcPr>
            <w:tcW w:type="dxa" w:w="3120"/>
            <w:shd w:fill="FFFFFF" w:val="clear"/>
            <w:tcMar>
              <w:top w:type="dxa" w:w="40"/>
              <w:left w:type="dxa" w:w="100"/>
              <w:bottom w:type="dxa" w:w="40"/>
              <w:right w:type="dxa" w:w="100"/>
            </w:tcMar>
          </w:tcPr>
          <w:p>
            <w:r>
              <w:rPr>
                <w:b w:val="false"/>
                <w:bCs w:val="false"/>
                <w:color w:val="000000"/>
                <w:sz w:val="18"/>
                <w:szCs w:val="18"/>
              </w:rPr>
              <w:t xml:space="preserve">Ranked outreach queue with expected accepted spend</w:t>
            </w:r>
          </w:p>
        </w:tc>
      </w:tr>
      <w:tr>
        <w:trPr>
          <w:tblHeader w:val="false"/>
        </w:trPr>
        <w:tc>
          <w:tcPr>
            <w:tcW w:type="dxa" w:w="2340"/>
            <w:shd w:fill="F2F2F2" w:val="clear"/>
            <w:tcMar>
              <w:top w:type="dxa" w:w="40"/>
              <w:left w:type="dxa" w:w="100"/>
              <w:bottom w:type="dxa" w:w="40"/>
              <w:right w:type="dxa" w:w="100"/>
            </w:tcMar>
          </w:tcPr>
          <w:p>
            <w:r>
              <w:rPr>
                <w:b w:val="false"/>
                <w:bCs w:val="false"/>
                <w:color w:val="000000"/>
                <w:sz w:val="18"/>
                <w:szCs w:val="18"/>
              </w:rPr>
              <w:t xml:space="preserve">C · Offer optimization</w:t>
            </w:r>
          </w:p>
        </w:tc>
        <w:tc>
          <w:tcPr>
            <w:tcW w:type="dxa" w:w="3900"/>
            <w:shd w:fill="F2F2F2" w:val="clear"/>
            <w:tcMar>
              <w:top w:type="dxa" w:w="40"/>
              <w:left w:type="dxa" w:w="100"/>
              <w:bottom w:type="dxa" w:w="40"/>
              <w:right w:type="dxa" w:w="100"/>
            </w:tcMar>
          </w:tcPr>
          <w:p>
            <w:r>
              <w:rPr>
                <w:b w:val="false"/>
                <w:bCs w:val="false"/>
                <w:color w:val="000000"/>
                <w:sz w:val="18"/>
                <w:szCs w:val="18"/>
              </w:rPr>
              <w:t xml:space="preserve">Which offer maximizes expected long-term contribution for this supplier?</w:t>
            </w:r>
          </w:p>
        </w:tc>
        <w:tc>
          <w:tcPr>
            <w:tcW w:type="dxa" w:w="3120"/>
            <w:shd w:fill="F2F2F2" w:val="clear"/>
            <w:tcMar>
              <w:top w:type="dxa" w:w="40"/>
              <w:left w:type="dxa" w:w="100"/>
              <w:bottom w:type="dxa" w:w="40"/>
              <w:right w:type="dxa" w:w="100"/>
            </w:tcMar>
          </w:tcPr>
          <w:p>
            <w:r>
              <w:rPr>
                <w:b w:val="false"/>
                <w:bCs w:val="false"/>
                <w:color w:val="000000"/>
                <w:sz w:val="18"/>
                <w:szCs w:val="18"/>
              </w:rPr>
              <w:t xml:space="preserve">Rate/subsidy, fee cap, settlement speed, rebate share, rail fallback</w:t>
            </w:r>
          </w:p>
        </w:tc>
      </w:tr>
      <w:tr>
        <w:trPr>
          <w:tblHeader w:val="false"/>
        </w:trPr>
        <w:tc>
          <w:tcPr>
            <w:tcW w:type="dxa" w:w="2340"/>
            <w:shd w:fill="FFFFFF" w:val="clear"/>
            <w:tcMar>
              <w:top w:type="dxa" w:w="40"/>
              <w:left w:type="dxa" w:w="100"/>
              <w:bottom w:type="dxa" w:w="40"/>
              <w:right w:type="dxa" w:w="100"/>
            </w:tcMar>
          </w:tcPr>
          <w:p>
            <w:r>
              <w:rPr>
                <w:b w:val="false"/>
                <w:bCs w:val="false"/>
                <w:color w:val="000000"/>
                <w:sz w:val="18"/>
                <w:szCs w:val="18"/>
              </w:rPr>
              <w:t xml:space="preserve">A · Qualification optimization</w:t>
            </w:r>
          </w:p>
        </w:tc>
        <w:tc>
          <w:tcPr>
            <w:tcW w:type="dxa" w:w="3900"/>
            <w:shd w:fill="FFFFFF" w:val="clear"/>
            <w:tcMar>
              <w:top w:type="dxa" w:w="40"/>
              <w:left w:type="dxa" w:w="100"/>
              <w:bottom w:type="dxa" w:w="40"/>
              <w:right w:type="dxa" w:w="100"/>
            </w:tcMar>
          </w:tcPr>
          <w:p>
            <w:r>
              <w:rPr>
                <w:b w:val="false"/>
                <w:bCs w:val="false"/>
                <w:color w:val="000000"/>
                <w:sz w:val="18"/>
                <w:szCs w:val="18"/>
              </w:rPr>
              <w:t xml:space="preserve">Which legitimate published interchange program can the transaction qualify for?</w:t>
            </w:r>
          </w:p>
        </w:tc>
        <w:tc>
          <w:tcPr>
            <w:tcW w:type="dxa" w:w="3120"/>
            <w:shd w:fill="FFFFFF" w:val="clear"/>
            <w:tcMar>
              <w:top w:type="dxa" w:w="40"/>
              <w:left w:type="dxa" w:w="100"/>
              <w:bottom w:type="dxa" w:w="40"/>
              <w:right w:type="dxa" w:w="100"/>
            </w:tcMar>
          </w:tcPr>
          <w:p>
            <w:r>
              <w:rPr>
                <w:b w:val="false"/>
                <w:bCs w:val="false"/>
                <w:color w:val="000000"/>
                <w:sz w:val="18"/>
                <w:szCs w:val="18"/>
              </w:rPr>
              <w:t xml:space="preserve">Required data fields, program eligibility, expected net economics</w:t>
            </w:r>
          </w:p>
        </w:tc>
      </w:tr>
      <w:tr>
        <w:trPr>
          <w:tblHeader w:val="false"/>
        </w:trPr>
        <w:tc>
          <w:tcPr>
            <w:tcW w:type="dxa" w:w="2340"/>
            <w:shd w:fill="F2F2F2" w:val="clear"/>
            <w:tcMar>
              <w:top w:type="dxa" w:w="40"/>
              <w:left w:type="dxa" w:w="100"/>
              <w:bottom w:type="dxa" w:w="40"/>
              <w:right w:type="dxa" w:w="100"/>
            </w:tcMar>
          </w:tcPr>
          <w:p>
            <w:r>
              <w:rPr>
                <w:b w:val="false"/>
                <w:bCs w:val="false"/>
                <w:color w:val="000000"/>
                <w:sz w:val="18"/>
                <w:szCs w:val="18"/>
              </w:rPr>
              <w:t xml:space="preserve">D · Buyer rebate optimization</w:t>
            </w:r>
          </w:p>
        </w:tc>
        <w:tc>
          <w:tcPr>
            <w:tcW w:type="dxa" w:w="3900"/>
            <w:shd w:fill="F2F2F2" w:val="clear"/>
            <w:tcMar>
              <w:top w:type="dxa" w:w="40"/>
              <w:left w:type="dxa" w:w="100"/>
              <w:bottom w:type="dxa" w:w="40"/>
              <w:right w:type="dxa" w:w="100"/>
            </w:tcMar>
          </w:tcPr>
          <w:p>
            <w:r>
              <w:rPr>
                <w:b w:val="false"/>
                <w:bCs w:val="false"/>
                <w:color w:val="000000"/>
                <w:sz w:val="18"/>
                <w:szCs w:val="18"/>
              </w:rPr>
              <w:t xml:space="preserve">Which rebate wins and retains this customer at the best lifetime profit?</w:t>
            </w:r>
          </w:p>
        </w:tc>
        <w:tc>
          <w:tcPr>
            <w:tcW w:type="dxa" w:w="3120"/>
            <w:shd w:fill="F2F2F2" w:val="clear"/>
            <w:tcMar>
              <w:top w:type="dxa" w:w="40"/>
              <w:left w:type="dxa" w:w="100"/>
              <w:bottom w:type="dxa" w:w="40"/>
              <w:right w:type="dxa" w:w="100"/>
            </w:tcMar>
          </w:tcPr>
          <w:p>
            <w:r>
              <w:rPr>
                <w:b w:val="false"/>
                <w:bCs w:val="false"/>
                <w:color w:val="000000"/>
                <w:sz w:val="18"/>
                <w:szCs w:val="18"/>
              </w:rPr>
              <w:t xml:space="preserve">Recommended rebate band (subject to approval)</w:t>
            </w:r>
          </w:p>
        </w:tc>
      </w:tr>
    </w:tbl>
    <w:p>
      <w:pPr>
        <w:pStyle w:val="Heading1"/>
      </w:pPr>
      <w:r>
        <w:t xml:space="preserve">2. Problem &amp; Objective</w:t>
      </w:r>
    </w:p>
    <w:p>
      <w:pPr>
        <w:spacing w:after="100"/>
      </w:pPr>
      <w:r>
        <w:t xml:space="preserve">Virtual card is economically attractive, but adoption is constrained by supplier acceptance cost, invoice size, merchant pricing, operational burden, and relationship dynamics. Static campaigns waste effort on low-propensity suppliers; static offers overpay easy conversions and lose price-sensitive ones; and after conversion, incomplete qualification logic can leave legitimate interchange economics unrealized. A defensible engine prices each supplier — and each buyer — on economics such as:</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120"/>
        <w:gridCol w:w="6240"/>
      </w:tblGrid>
      <w:tr>
        <w:trPr>
          <w:tblHeader/>
        </w:trPr>
        <w:tc>
          <w:tcPr>
            <w:tcW w:type="dxa" w:w="3120"/>
            <w:shd w:fill="1F3864" w:val="clear"/>
            <w:tcMar>
              <w:top w:type="dxa" w:w="40"/>
              <w:left w:type="dxa" w:w="100"/>
              <w:bottom w:type="dxa" w:w="40"/>
              <w:right w:type="dxa" w:w="100"/>
            </w:tcMar>
          </w:tcPr>
          <w:p>
            <w:r>
              <w:rPr>
                <w:b/>
                <w:bCs/>
                <w:color w:val="FFFFFF"/>
                <w:sz w:val="18"/>
                <w:szCs w:val="18"/>
              </w:rPr>
              <w:t xml:space="preserve">Variable</w:t>
            </w:r>
          </w:p>
        </w:tc>
        <w:tc>
          <w:tcPr>
            <w:tcW w:type="dxa" w:w="6240"/>
            <w:shd w:fill="1F3864" w:val="clear"/>
            <w:tcMar>
              <w:top w:type="dxa" w:w="40"/>
              <w:left w:type="dxa" w:w="100"/>
              <w:bottom w:type="dxa" w:w="40"/>
              <w:right w:type="dxa" w:w="100"/>
            </w:tcMar>
          </w:tcPr>
          <w:p>
            <w:r>
              <w:rPr>
                <w:b/>
                <w:bCs/>
                <w:color w:val="FFFFFF"/>
                <w:sz w:val="18"/>
                <w:szCs w:val="18"/>
              </w:rPr>
              <w:t xml:space="preserve">Why it matters</w:t>
            </w:r>
          </w:p>
        </w:tc>
      </w:tr>
      <w:tr>
        <w:trPr>
          <w:tblHeader w:val="false"/>
        </w:trPr>
        <w:tc>
          <w:tcPr>
            <w:tcW w:type="dxa" w:w="3120"/>
            <w:shd w:fill="FFFFFF" w:val="clear"/>
            <w:tcMar>
              <w:top w:type="dxa" w:w="40"/>
              <w:left w:type="dxa" w:w="100"/>
              <w:bottom w:type="dxa" w:w="40"/>
              <w:right w:type="dxa" w:w="100"/>
            </w:tcMar>
          </w:tcPr>
          <w:p>
            <w:r>
              <w:rPr>
                <w:b w:val="false"/>
                <w:bCs w:val="false"/>
                <w:color w:val="000000"/>
                <w:sz w:val="18"/>
                <w:szCs w:val="18"/>
              </w:rPr>
              <w:t xml:space="preserve">Annual payment / card volume</w:t>
            </w:r>
          </w:p>
        </w:tc>
        <w:tc>
          <w:tcPr>
            <w:tcW w:type="dxa" w:w="6240"/>
            <w:shd w:fill="FFFFFF" w:val="clear"/>
            <w:tcMar>
              <w:top w:type="dxa" w:w="40"/>
              <w:left w:type="dxa" w:w="100"/>
              <w:bottom w:type="dxa" w:w="40"/>
              <w:right w:type="dxa" w:w="100"/>
            </w:tcMar>
          </w:tcPr>
          <w:p>
            <w:r>
              <w:rPr>
                <w:b w:val="false"/>
                <w:bCs w:val="false"/>
                <w:color w:val="000000"/>
                <w:sz w:val="18"/>
                <w:szCs w:val="18"/>
              </w:rPr>
              <w:t xml:space="preserve">Higher volume can justify a lower rate (supplier) or higher rebate (buyer)</w:t>
            </w:r>
          </w:p>
        </w:tc>
      </w:tr>
      <w:tr>
        <w:trPr>
          <w:tblHeader w:val="false"/>
        </w:trPr>
        <w:tc>
          <w:tcPr>
            <w:tcW w:type="dxa" w:w="3120"/>
            <w:shd w:fill="F2F2F2" w:val="clear"/>
            <w:tcMar>
              <w:top w:type="dxa" w:w="40"/>
              <w:left w:type="dxa" w:w="100"/>
              <w:bottom w:type="dxa" w:w="40"/>
              <w:right w:type="dxa" w:w="100"/>
            </w:tcMar>
          </w:tcPr>
          <w:p>
            <w:r>
              <w:rPr>
                <w:b w:val="false"/>
                <w:bCs w:val="false"/>
                <w:color w:val="000000"/>
                <w:sz w:val="18"/>
                <w:szCs w:val="18"/>
              </w:rPr>
              <w:t xml:space="preserve">Average invoice size</w:t>
            </w:r>
          </w:p>
        </w:tc>
        <w:tc>
          <w:tcPr>
            <w:tcW w:type="dxa" w:w="6240"/>
            <w:shd w:fill="F2F2F2" w:val="clear"/>
            <w:tcMar>
              <w:top w:type="dxa" w:w="40"/>
              <w:left w:type="dxa" w:w="100"/>
              <w:bottom w:type="dxa" w:w="40"/>
              <w:right w:type="dxa" w:w="100"/>
            </w:tcMar>
          </w:tcPr>
          <w:p>
            <w:r>
              <w:rPr>
                <w:b w:val="false"/>
                <w:bCs w:val="false"/>
                <w:color w:val="000000"/>
                <w:sz w:val="18"/>
                <w:szCs w:val="18"/>
              </w:rPr>
              <w:t xml:space="preserve">Large invoices make percentage fees painful (absolute-dollar pain)</w:t>
            </w:r>
          </w:p>
        </w:tc>
      </w:tr>
      <w:tr>
        <w:trPr>
          <w:tblHeader w:val="false"/>
        </w:trPr>
        <w:tc>
          <w:tcPr>
            <w:tcW w:type="dxa" w:w="3120"/>
            <w:shd w:fill="FFFFFF" w:val="clear"/>
            <w:tcMar>
              <w:top w:type="dxa" w:w="40"/>
              <w:left w:type="dxa" w:w="100"/>
              <w:bottom w:type="dxa" w:w="40"/>
              <w:right w:type="dxa" w:w="100"/>
            </w:tcMar>
          </w:tcPr>
          <w:p>
            <w:r>
              <w:rPr>
                <w:b w:val="false"/>
                <w:bCs w:val="false"/>
                <w:color w:val="000000"/>
                <w:sz w:val="18"/>
                <w:szCs w:val="18"/>
              </w:rPr>
              <w:t xml:space="preserve">Supplier margin profile</w:t>
            </w:r>
          </w:p>
        </w:tc>
        <w:tc>
          <w:tcPr>
            <w:tcW w:type="dxa" w:w="6240"/>
            <w:shd w:fill="FFFFFF" w:val="clear"/>
            <w:tcMar>
              <w:top w:type="dxa" w:w="40"/>
              <w:left w:type="dxa" w:w="100"/>
              <w:bottom w:type="dxa" w:w="40"/>
              <w:right w:type="dxa" w:w="100"/>
            </w:tcMar>
          </w:tcPr>
          <w:p>
            <w:r>
              <w:rPr>
                <w:b w:val="false"/>
                <w:bCs w:val="false"/>
                <w:color w:val="000000"/>
                <w:sz w:val="18"/>
                <w:szCs w:val="18"/>
              </w:rPr>
              <w:t xml:space="preserve">Thin-margin suppliers resist card fees hardest</w:t>
            </w:r>
          </w:p>
        </w:tc>
      </w:tr>
      <w:tr>
        <w:trPr>
          <w:tblHeader w:val="false"/>
        </w:trPr>
        <w:tc>
          <w:tcPr>
            <w:tcW w:type="dxa" w:w="3120"/>
            <w:shd w:fill="F2F2F2" w:val="clear"/>
            <w:tcMar>
              <w:top w:type="dxa" w:w="40"/>
              <w:left w:type="dxa" w:w="100"/>
              <w:bottom w:type="dxa" w:w="40"/>
              <w:right w:type="dxa" w:w="100"/>
            </w:tcMar>
          </w:tcPr>
          <w:p>
            <w:r>
              <w:rPr>
                <w:b w:val="false"/>
                <w:bCs w:val="false"/>
                <w:color w:val="000000"/>
                <w:sz w:val="18"/>
                <w:szCs w:val="18"/>
              </w:rPr>
              <w:t xml:space="preserve">Payment-speed preference</w:t>
            </w:r>
          </w:p>
        </w:tc>
        <w:tc>
          <w:tcPr>
            <w:tcW w:type="dxa" w:w="6240"/>
            <w:shd w:fill="F2F2F2" w:val="clear"/>
            <w:tcMar>
              <w:top w:type="dxa" w:w="40"/>
              <w:left w:type="dxa" w:w="100"/>
              <w:bottom w:type="dxa" w:w="40"/>
              <w:right w:type="dxa" w:w="100"/>
            </w:tcMar>
          </w:tcPr>
          <w:p>
            <w:r>
              <w:rPr>
                <w:b w:val="false"/>
                <w:bCs w:val="false"/>
                <w:color w:val="000000"/>
                <w:sz w:val="18"/>
                <w:szCs w:val="18"/>
              </w:rPr>
              <w:t xml:space="preserve">Suppliers needing faster cash accept a higher fee</w:t>
            </w:r>
          </w:p>
        </w:tc>
      </w:tr>
      <w:tr>
        <w:trPr>
          <w:tblHeader w:val="false"/>
        </w:trPr>
        <w:tc>
          <w:tcPr>
            <w:tcW w:type="dxa" w:w="3120"/>
            <w:shd w:fill="FFFFFF" w:val="clear"/>
            <w:tcMar>
              <w:top w:type="dxa" w:w="40"/>
              <w:left w:type="dxa" w:w="100"/>
              <w:bottom w:type="dxa" w:w="40"/>
              <w:right w:type="dxa" w:w="100"/>
            </w:tcMar>
          </w:tcPr>
          <w:p>
            <w:r>
              <w:rPr>
                <w:b w:val="false"/>
                <w:bCs w:val="false"/>
                <w:color w:val="000000"/>
                <w:sz w:val="18"/>
                <w:szCs w:val="18"/>
              </w:rPr>
              <w:t xml:space="preserve">Card-acceptance history / rate</w:t>
            </w:r>
          </w:p>
        </w:tc>
        <w:tc>
          <w:tcPr>
            <w:tcW w:type="dxa" w:w="6240"/>
            <w:shd w:fill="FFFFFF" w:val="clear"/>
            <w:tcMar>
              <w:top w:type="dxa" w:w="40"/>
              <w:left w:type="dxa" w:w="100"/>
              <w:bottom w:type="dxa" w:w="40"/>
              <w:right w:type="dxa" w:w="100"/>
            </w:tcMar>
          </w:tcPr>
          <w:p>
            <w:r>
              <w:rPr>
                <w:b w:val="false"/>
                <w:bCs w:val="false"/>
                <w:color w:val="000000"/>
                <w:sz w:val="18"/>
                <w:szCs w:val="18"/>
              </w:rPr>
              <w:t xml:space="preserve">Predicts likelihood of accepting virtual cards</w:t>
            </w:r>
          </w:p>
        </w:tc>
      </w:tr>
      <w:tr>
        <w:trPr>
          <w:tblHeader w:val="false"/>
        </w:trPr>
        <w:tc>
          <w:tcPr>
            <w:tcW w:type="dxa" w:w="3120"/>
            <w:shd w:fill="F2F2F2" w:val="clear"/>
            <w:tcMar>
              <w:top w:type="dxa" w:w="40"/>
              <w:left w:type="dxa" w:w="100"/>
              <w:bottom w:type="dxa" w:w="40"/>
              <w:right w:type="dxa" w:w="100"/>
            </w:tcMar>
          </w:tcPr>
          <w:p>
            <w:r>
              <w:rPr>
                <w:b w:val="false"/>
                <w:bCs w:val="false"/>
                <w:color w:val="000000"/>
                <w:sz w:val="18"/>
                <w:szCs w:val="18"/>
              </w:rPr>
              <w:t xml:space="preserve">Reconciliation complexity</w:t>
            </w:r>
          </w:p>
        </w:tc>
        <w:tc>
          <w:tcPr>
            <w:tcW w:type="dxa" w:w="6240"/>
            <w:shd w:fill="F2F2F2" w:val="clear"/>
            <w:tcMar>
              <w:top w:type="dxa" w:w="40"/>
              <w:left w:type="dxa" w:w="100"/>
              <w:bottom w:type="dxa" w:w="40"/>
              <w:right w:type="dxa" w:w="100"/>
            </w:tcMar>
          </w:tcPr>
          <w:p>
            <w:r>
              <w:rPr>
                <w:b w:val="false"/>
                <w:bCs w:val="false"/>
                <w:color w:val="000000"/>
                <w:sz w:val="18"/>
                <w:szCs w:val="18"/>
              </w:rPr>
              <w:t xml:space="preserve">Rich remittance metadata delivers more value</w:t>
            </w:r>
          </w:p>
        </w:tc>
      </w:tr>
      <w:tr>
        <w:trPr>
          <w:tblHeader w:val="false"/>
        </w:trPr>
        <w:tc>
          <w:tcPr>
            <w:tcW w:type="dxa" w:w="3120"/>
            <w:shd w:fill="FFFFFF" w:val="clear"/>
            <w:tcMar>
              <w:top w:type="dxa" w:w="40"/>
              <w:left w:type="dxa" w:w="100"/>
              <w:bottom w:type="dxa" w:w="40"/>
              <w:right w:type="dxa" w:w="100"/>
            </w:tcMar>
          </w:tcPr>
          <w:p>
            <w:r>
              <w:rPr>
                <w:b w:val="false"/>
                <w:bCs w:val="false"/>
                <w:color w:val="000000"/>
                <w:sz w:val="18"/>
                <w:szCs w:val="18"/>
              </w:rPr>
              <w:t xml:space="preserve">Industry / geography / currency</w:t>
            </w:r>
          </w:p>
        </w:tc>
        <w:tc>
          <w:tcPr>
            <w:tcW w:type="dxa" w:w="6240"/>
            <w:shd w:fill="FFFFFF" w:val="clear"/>
            <w:tcMar>
              <w:top w:type="dxa" w:w="40"/>
              <w:left w:type="dxa" w:w="100"/>
              <w:bottom w:type="dxa" w:w="40"/>
              <w:right w:type="dxa" w:w="100"/>
            </w:tcMar>
          </w:tcPr>
          <w:p>
            <w:r>
              <w:rPr>
                <w:b w:val="false"/>
                <w:bCs w:val="false"/>
                <w:color w:val="000000"/>
                <w:sz w:val="18"/>
                <w:szCs w:val="18"/>
              </w:rPr>
              <w:t xml:space="preserve">Card economics, FX and settlement costs differ</w:t>
            </w:r>
          </w:p>
        </w:tc>
      </w:tr>
      <w:tr>
        <w:trPr>
          <w:tblHeader w:val="false"/>
        </w:trPr>
        <w:tc>
          <w:tcPr>
            <w:tcW w:type="dxa" w:w="3120"/>
            <w:shd w:fill="F2F2F2" w:val="clear"/>
            <w:tcMar>
              <w:top w:type="dxa" w:w="40"/>
              <w:left w:type="dxa" w:w="100"/>
              <w:bottom w:type="dxa" w:w="40"/>
              <w:right w:type="dxa" w:w="100"/>
            </w:tcMar>
          </w:tcPr>
          <w:p>
            <w:r>
              <w:rPr>
                <w:b w:val="false"/>
                <w:bCs w:val="false"/>
                <w:color w:val="000000"/>
                <w:sz w:val="18"/>
                <w:szCs w:val="18"/>
              </w:rPr>
              <w:t xml:space="preserve">Servicing / implementation cost</w:t>
            </w:r>
          </w:p>
        </w:tc>
        <w:tc>
          <w:tcPr>
            <w:tcW w:type="dxa" w:w="6240"/>
            <w:shd w:fill="F2F2F2" w:val="clear"/>
            <w:tcMar>
              <w:top w:type="dxa" w:w="40"/>
              <w:left w:type="dxa" w:w="100"/>
              <w:bottom w:type="dxa" w:w="40"/>
              <w:right w:type="dxa" w:w="100"/>
            </w:tcMar>
          </w:tcPr>
          <w:p>
            <w:r>
              <w:rPr>
                <w:b w:val="false"/>
                <w:bCs w:val="false"/>
                <w:color w:val="000000"/>
                <w:sz w:val="18"/>
                <w:szCs w:val="18"/>
              </w:rPr>
              <w:t xml:space="preserve">High-touch accounts change the contribution math</w:t>
            </w:r>
          </w:p>
        </w:tc>
      </w:tr>
    </w:tbl>
    <w:p>
      <w:pPr>
        <w:spacing w:after="100"/>
        <w:rPr>
          <w:color w:val="606060"/>
          <w:sz w:val="19"/>
          <w:szCs w:val="19"/>
        </w:rPr>
      </w:pPr>
      <w:r>
        <w:rPr>
          <w:color w:val="606060"/>
          <w:sz w:val="19"/>
          <w:szCs w:val="19"/>
        </w:rPr>
        <w:t xml:space="preserve">Objective (explicit): maximize long-term contribution while keeping acceptance sustainable — NOT charge the highest possible fee to suppliers least able to leave, nor over-pay rebates to win accounts that never earn it back. Rates illustrative; networks set interchange, Corpay optimizes the negotiable, disclosed package.</w:t>
      </w:r>
    </w:p>
    <w:p>
      <w:pPr>
        <w:pStyle w:val="Heading1"/>
      </w:pPr>
      <w:r>
        <w:t xml:space="preserve">3. Decision Products &amp; Design</w:t>
      </w:r>
    </w:p>
    <w:p>
      <w:pPr>
        <w:pStyle w:val="Heading2"/>
      </w:pPr>
      <w:r>
        <w:t xml:space="preserve">Model B — supplier conversion propensity</w:t>
      </w:r>
    </w:p>
    <w:p>
      <w:pPr>
        <w:spacing w:after="100"/>
        <w:rPr>
          <w:sz w:val="19"/>
          <w:szCs w:val="19"/>
        </w:rPr>
      </w:pPr>
      <w:r>
        <w:rPr>
          <w:sz w:val="19"/>
          <w:szCs w:val="19"/>
        </w:rPr>
        <w:t xml:space="preserve">Predict enrollment probability, first-payment acceptance, and expected accepted spend over 12 months. Ranking is by economic value, not raw probability: priority = expected accepted spend × net take − enrollment cost − servicing cost − expected attrition loss.</w:t>
      </w:r>
    </w:p>
    <w:p>
      <w:pPr>
        <w:pStyle w:val="Heading2"/>
      </w:pPr>
      <w:r>
        <w:t xml:space="preserve">Model C — offer optimization</w:t>
      </w:r>
    </w:p>
    <w:p>
      <w:pPr>
        <w:spacing w:after="100"/>
        <w:rPr>
          <w:sz w:val="19"/>
          <w:szCs w:val="19"/>
        </w:rPr>
      </w:pPr>
      <w:r>
        <w:rPr>
          <w:sz w:val="19"/>
          <w:szCs w:val="19"/>
        </w:rPr>
        <w:t xml:space="preserve">Select from approved, transparent packages — effective rate/subsidy, fee structure (percentage, fixed, capped, volume tiers), settlement speed, ACH rail fallback, and full-remittance service level. The engine estimates acceptance and lifetime contribution per eligible offer and picks the highest-value action within policy. Metadata is offered in full as reconciliation value; it is never withheld as a lever.</w:t>
      </w:r>
    </w:p>
    <w:p>
      <w:pPr>
        <w:pStyle w:val="Heading2"/>
      </w:pPr>
      <w:r>
        <w:t xml:space="preserve">Model A — interchange qualification optimization  (metadata)</w:t>
      </w:r>
    </w:p>
    <w:p>
      <w:pPr>
        <w:spacing w:after="100"/>
        <w:rPr>
          <w:sz w:val="19"/>
          <w:szCs w:val="19"/>
        </w:rPr>
      </w:pPr>
      <w:r>
        <w:rPr>
          <w:sz w:val="19"/>
          <w:szCs w:val="19"/>
        </w:rPr>
        <w:t xml:space="preserve">For accepted virtual-card payments, determine the best valid published program and the exact fields required to qualify. This is NOT supplier-specific fee invention — eligibility is constrained by network rules, card product, MCC, geography, transaction type, settlement timing, acquirer submission, and data completeness.</w:t>
      </w:r>
    </w:p>
    <w:p>
      <w:pPr>
        <w:pStyle w:val="ListParagraph"/>
        <w:numPr>
          <w:ilvl w:val="0"/>
          <w:numId w:val="2"/>
        </w:numPr>
        <w:spacing w:after="40"/>
      </w:pPr>
      <w:r>
        <w:t xml:space="preserve">Always transmit the complete remittance data required for supplier reconciliation and contractual obligations.</w:t>
      </w:r>
    </w:p>
    <w:p>
      <w:pPr>
        <w:pStyle w:val="ListParagraph"/>
        <w:numPr>
          <w:ilvl w:val="0"/>
          <w:numId w:val="2"/>
        </w:numPr>
        <w:spacing w:after="40"/>
      </w:pPr>
      <w:r>
        <w:t xml:space="preserve">Optimize only across legitimate eligible programs; never misclassify or suppress required fields.</w:t>
      </w:r>
    </w:p>
    <w:p>
      <w:pPr>
        <w:pStyle w:val="ListParagraph"/>
        <w:numPr>
          <w:ilvl w:val="0"/>
          <w:numId w:val="2"/>
        </w:numPr>
        <w:spacing w:after="40"/>
      </w:pPr>
      <w:r>
        <w:t xml:space="preserve">Baseline remittance data is never degraded to create lock-in.</w:t>
      </w:r>
    </w:p>
    <w:p>
      <w:pPr>
        <w:pStyle w:val="Heading2"/>
      </w:pPr>
      <w:r>
        <w:t xml:space="preserve">Objective function (Model C) &amp; label discipline</w:t>
      </w:r>
    </w:p>
    <w:p>
      <w:pPr>
        <w:spacing w:after="100"/>
        <w:rPr>
          <w:sz w:val="19"/>
          <w:szCs w:val="19"/>
        </w:rPr>
      </w:pPr>
      <w:r>
        <w:rPr>
          <w:sz w:val="19"/>
          <w:szCs w:val="19"/>
        </w:rPr>
        <w:t xml:space="preserve">annual_card = card_gross(offer) − servicing_cost; retention = 0.60 + 0.35·P(accept); E[LTV] = P(accept)·annual_card·Σ retentionᵗ + (1−P(accept))·ACH_annual·H. Only offers with P(accept) ≥ 0.40 are eligible, else ACH fallback. The retention multiplier makes high-volume, thin-margin suppliers worth more at sustainable low rates. Acceptance labels are simulated offer outcomes (accept ~ Bernoulli(P)) driven by latent elasticity the model never sees, so the optimizer can trade rate against acceptance.</w:t>
      </w:r>
    </w:p>
    <w:p>
      <w:pPr>
        <w:pStyle w:val="Heading1"/>
      </w:pPr>
      <w:r>
        <w:t xml:space="preserve">4. Extension — Buyer Rebate Optimization (Model D)</w:t>
      </w:r>
    </w:p>
    <w:p>
      <w:pPr>
        <w:spacing w:after="100"/>
        <w:rPr>
          <w:sz w:val="19"/>
          <w:szCs w:val="19"/>
        </w:rPr>
      </w:pPr>
      <w:r>
        <w:rPr>
          <w:sz w:val="19"/>
          <w:szCs w:val="19"/>
        </w:rPr>
        <w:t xml:space="preserve">The same offer-optimization architecture applies to the BUYER side, where it is arguably more directly actionable: Corpay controls the customer rebate contract more directly than it controls supplier interchange, and already publicly describes rebates as tailored to a company's spend and purchase patterns. The decision variable becomes the buyer rebate; the economics already treat buyer rebate as a cost, so Model C is reused with limited changes.</w:t>
      </w:r>
    </w:p>
    <w:p>
      <w:pPr>
        <w:spacing w:after="100"/>
        <w:rPr>
          <w:sz w:val="19"/>
          <w:szCs w:val="19"/>
        </w:rPr>
      </w:pPr>
      <w:r>
        <w:rPr>
          <w:sz w:val="19"/>
          <w:szCs w:val="19"/>
        </w:rPr>
        <w:t xml:space="preserve">Decision: from approved rebate bands, choose the MINIMUM rebate required to win and retain each customer — maximizing P(sign at rebate) × expected lifetime contribution at that rebate — not simply giving high-value customers higher rebates.</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4680"/>
        <w:gridCol w:w="4680"/>
      </w:tblGrid>
      <w:tr>
        <w:trPr>
          <w:tblHeader/>
        </w:trPr>
        <w:tc>
          <w:tcPr>
            <w:tcW w:type="dxa" w:w="4680"/>
            <w:shd w:fill="1F3864" w:val="clear"/>
            <w:tcMar>
              <w:top w:type="dxa" w:w="40"/>
              <w:left w:type="dxa" w:w="100"/>
              <w:bottom w:type="dxa" w:w="40"/>
              <w:right w:type="dxa" w:w="100"/>
            </w:tcMar>
          </w:tcPr>
          <w:p>
            <w:r>
              <w:rPr>
                <w:b/>
                <w:bCs/>
                <w:color w:val="FFFFFF"/>
                <w:sz w:val="18"/>
                <w:szCs w:val="18"/>
              </w:rPr>
              <w:t xml:space="preserve">Buyer profile factors</w:t>
            </w:r>
          </w:p>
        </w:tc>
        <w:tc>
          <w:tcPr>
            <w:tcW w:type="dxa" w:w="4680"/>
            <w:shd w:fill="1F3864" w:val="clear"/>
            <w:tcMar>
              <w:top w:type="dxa" w:w="40"/>
              <w:left w:type="dxa" w:w="100"/>
              <w:bottom w:type="dxa" w:w="40"/>
              <w:right w:type="dxa" w:w="100"/>
            </w:tcMar>
          </w:tcPr>
          <w:p>
            <w:r>
              <w:rPr>
                <w:b/>
                <w:bCs/>
                <w:color w:val="FFFFFF"/>
                <w:sz w:val="18"/>
                <w:szCs w:val="18"/>
              </w:rPr>
              <w:t xml:space="preserve"/>
            </w:r>
          </w:p>
        </w:tc>
      </w:tr>
      <w:tr>
        <w:trPr>
          <w:tblHeader w:val="false"/>
        </w:trPr>
        <w:tc>
          <w:tcPr>
            <w:tcW w:type="dxa" w:w="4680"/>
            <w:shd w:fill="FFFFFF" w:val="clear"/>
            <w:tcMar>
              <w:top w:type="dxa" w:w="40"/>
              <w:left w:type="dxa" w:w="100"/>
              <w:bottom w:type="dxa" w:w="40"/>
              <w:right w:type="dxa" w:w="100"/>
            </w:tcMar>
          </w:tcPr>
          <w:p>
            <w:r>
              <w:rPr>
                <w:b w:val="false"/>
                <w:bCs w:val="false"/>
                <w:color w:val="000000"/>
                <w:sz w:val="18"/>
                <w:szCs w:val="18"/>
              </w:rPr>
              <w:t xml:space="preserve">Expected annual card spend</w:t>
            </w:r>
          </w:p>
        </w:tc>
        <w:tc>
          <w:tcPr>
            <w:tcW w:type="dxa" w:w="4680"/>
            <w:shd w:fill="FFFFFF" w:val="clear"/>
            <w:tcMar>
              <w:top w:type="dxa" w:w="40"/>
              <w:left w:type="dxa" w:w="100"/>
              <w:bottom w:type="dxa" w:w="40"/>
              <w:right w:type="dxa" w:w="100"/>
            </w:tcMar>
          </w:tcPr>
          <w:p>
            <w:r>
              <w:rPr>
                <w:b w:val="false"/>
                <w:bCs w:val="false"/>
                <w:color w:val="000000"/>
                <w:sz w:val="18"/>
                <w:szCs w:val="18"/>
              </w:rPr>
              <w:t xml:space="preserve">Share of spend migrating from ACH/check</w:t>
            </w:r>
          </w:p>
        </w:tc>
      </w:tr>
      <w:tr>
        <w:trPr>
          <w:tblHeader w:val="false"/>
        </w:trPr>
        <w:tc>
          <w:tcPr>
            <w:tcW w:type="dxa" w:w="4680"/>
            <w:shd w:fill="F2F2F2" w:val="clear"/>
            <w:tcMar>
              <w:top w:type="dxa" w:w="40"/>
              <w:left w:type="dxa" w:w="100"/>
              <w:bottom w:type="dxa" w:w="40"/>
              <w:right w:type="dxa" w:w="100"/>
            </w:tcMar>
          </w:tcPr>
          <w:p>
            <w:r>
              <w:rPr>
                <w:b w:val="false"/>
                <w:bCs w:val="false"/>
                <w:color w:val="000000"/>
                <w:sz w:val="18"/>
                <w:szCs w:val="18"/>
              </w:rPr>
              <w:t xml:space="preserve">Vendor acceptance rate</w:t>
            </w:r>
          </w:p>
        </w:tc>
        <w:tc>
          <w:tcPr>
            <w:tcW w:type="dxa" w:w="4680"/>
            <w:shd w:fill="F2F2F2" w:val="clear"/>
            <w:tcMar>
              <w:top w:type="dxa" w:w="40"/>
              <w:left w:type="dxa" w:w="100"/>
              <w:bottom w:type="dxa" w:w="40"/>
              <w:right w:type="dxa" w:w="100"/>
            </w:tcMar>
          </w:tcPr>
          <w:p>
            <w:r>
              <w:rPr>
                <w:b w:val="false"/>
                <w:bCs w:val="false"/>
                <w:color w:val="000000"/>
                <w:sz w:val="18"/>
                <w:szCs w:val="18"/>
              </w:rPr>
              <w:t xml:space="preserve">Mix of high / low interchange transactions</w:t>
            </w:r>
          </w:p>
        </w:tc>
      </w:tr>
      <w:tr>
        <w:trPr>
          <w:tblHeader w:val="false"/>
        </w:trPr>
        <w:tc>
          <w:tcPr>
            <w:tcW w:type="dxa" w:w="4680"/>
            <w:shd w:fill="FFFFFF" w:val="clear"/>
            <w:tcMar>
              <w:top w:type="dxa" w:w="40"/>
              <w:left w:type="dxa" w:w="100"/>
              <w:bottom w:type="dxa" w:w="40"/>
              <w:right w:type="dxa" w:w="100"/>
            </w:tcMar>
          </w:tcPr>
          <w:p>
            <w:r>
              <w:rPr>
                <w:b w:val="false"/>
                <w:bCs w:val="false"/>
                <w:color w:val="000000"/>
                <w:sz w:val="18"/>
                <w:szCs w:val="18"/>
              </w:rPr>
              <w:t xml:space="preserve">Payment timing &amp; credit risk</w:t>
            </w:r>
          </w:p>
        </w:tc>
        <w:tc>
          <w:tcPr>
            <w:tcW w:type="dxa" w:w="4680"/>
            <w:shd w:fill="FFFFFF" w:val="clear"/>
            <w:tcMar>
              <w:top w:type="dxa" w:w="40"/>
              <w:left w:type="dxa" w:w="100"/>
              <w:bottom w:type="dxa" w:w="40"/>
              <w:right w:type="dxa" w:w="100"/>
            </w:tcMar>
          </w:tcPr>
          <w:p>
            <w:r>
              <w:rPr>
                <w:b w:val="false"/>
                <w:bCs w:val="false"/>
                <w:color w:val="000000"/>
                <w:sz w:val="18"/>
                <w:szCs w:val="18"/>
              </w:rPr>
              <w:t xml:space="preserve">Implementation &amp; servicing cost</w:t>
            </w:r>
          </w:p>
        </w:tc>
      </w:tr>
      <w:tr>
        <w:trPr>
          <w:tblHeader w:val="false"/>
        </w:trPr>
        <w:tc>
          <w:tcPr>
            <w:tcW w:type="dxa" w:w="4680"/>
            <w:shd w:fill="F2F2F2" w:val="clear"/>
            <w:tcMar>
              <w:top w:type="dxa" w:w="40"/>
              <w:left w:type="dxa" w:w="100"/>
              <w:bottom w:type="dxa" w:w="40"/>
              <w:right w:type="dxa" w:w="100"/>
            </w:tcMar>
          </w:tcPr>
          <w:p>
            <w:r>
              <w:rPr>
                <w:b w:val="false"/>
                <w:bCs w:val="false"/>
                <w:color w:val="000000"/>
                <w:sz w:val="18"/>
                <w:szCs w:val="18"/>
              </w:rPr>
              <w:t xml:space="preserve">Contract length &amp; churn likelihood</w:t>
            </w:r>
          </w:p>
        </w:tc>
        <w:tc>
          <w:tcPr>
            <w:tcW w:type="dxa" w:w="4680"/>
            <w:shd w:fill="F2F2F2" w:val="clear"/>
            <w:tcMar>
              <w:top w:type="dxa" w:w="40"/>
              <w:left w:type="dxa" w:w="100"/>
              <w:bottom w:type="dxa" w:w="40"/>
              <w:right w:type="dxa" w:w="100"/>
            </w:tcMar>
          </w:tcPr>
          <w:p>
            <w:r>
              <w:rPr>
                <w:b w:val="false"/>
                <w:bCs w:val="false"/>
                <w:color w:val="000000"/>
                <w:sz w:val="18"/>
                <w:szCs w:val="18"/>
              </w:rPr>
              <w:t xml:space="preserve">Strategic value of the customer</w:t>
            </w:r>
          </w:p>
        </w:tc>
      </w:tr>
    </w:tbl>
    <w:p>
      <w:pPr>
        <w:spacing w:after="100"/>
        <w:rPr>
          <w:i/>
          <w:iCs/>
          <w:sz w:val="19"/>
          <w:szCs w:val="19"/>
        </w:rPr>
      </w:pPr>
      <w:r>
        <w:rPr>
          <w:i/>
          <w:iCs/>
          <w:sz w:val="19"/>
          <w:szCs w:val="19"/>
        </w:rPr>
        <w:t xml:space="preserve">Objective: Expected contribution = card spend × Corpay net interchange take − customer rebate − implementation cost − servicing cost − credit cost − expected attrition loss.</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4680"/>
        <w:gridCol w:w="4680"/>
      </w:tblGrid>
      <w:tr>
        <w:trPr>
          <w:tblHeader/>
        </w:trPr>
        <w:tc>
          <w:tcPr>
            <w:tcW w:type="dxa" w:w="4680"/>
            <w:shd w:fill="1F3864" w:val="clear"/>
            <w:tcMar>
              <w:top w:type="dxa" w:w="40"/>
              <w:left w:type="dxa" w:w="100"/>
              <w:bottom w:type="dxa" w:w="40"/>
              <w:right w:type="dxa" w:w="100"/>
            </w:tcMar>
          </w:tcPr>
          <w:p>
            <w:r>
              <w:rPr>
                <w:b/>
                <w:bCs/>
                <w:color w:val="FFFFFF"/>
                <w:sz w:val="18"/>
                <w:szCs w:val="18"/>
              </w:rPr>
              <w:t xml:space="preserve">Customer profile</w:t>
            </w:r>
          </w:p>
        </w:tc>
        <w:tc>
          <w:tcPr>
            <w:tcW w:type="dxa" w:w="4680"/>
            <w:shd w:fill="1F3864" w:val="clear"/>
            <w:tcMar>
              <w:top w:type="dxa" w:w="40"/>
              <w:left w:type="dxa" w:w="100"/>
              <w:bottom w:type="dxa" w:w="40"/>
              <w:right w:type="dxa" w:w="100"/>
            </w:tcMar>
          </w:tcPr>
          <w:p>
            <w:r>
              <w:rPr>
                <w:b/>
                <w:bCs/>
                <w:color w:val="FFFFFF"/>
                <w:sz w:val="18"/>
                <w:szCs w:val="18"/>
              </w:rPr>
              <w:t xml:space="preserve">Recommended rebate</w:t>
            </w:r>
          </w:p>
        </w:tc>
      </w:tr>
      <w:tr>
        <w:trPr>
          <w:tblHeader w:val="false"/>
        </w:trPr>
        <w:tc>
          <w:tcPr>
            <w:tcW w:type="dxa" w:w="4680"/>
            <w:shd w:fill="FFFFFF" w:val="clear"/>
            <w:tcMar>
              <w:top w:type="dxa" w:w="40"/>
              <w:left w:type="dxa" w:w="100"/>
              <w:bottom w:type="dxa" w:w="40"/>
              <w:right w:type="dxa" w:w="100"/>
            </w:tcMar>
          </w:tcPr>
          <w:p>
            <w:r>
              <w:rPr>
                <w:b w:val="false"/>
                <w:bCs w:val="false"/>
                <w:color w:val="000000"/>
                <w:sz w:val="18"/>
                <w:szCs w:val="18"/>
              </w:rPr>
              <w:t xml:space="preserve">Low volume, high cost</w:t>
            </w:r>
          </w:p>
        </w:tc>
        <w:tc>
          <w:tcPr>
            <w:tcW w:type="dxa" w:w="4680"/>
            <w:shd w:fill="FFFFFF" w:val="clear"/>
            <w:tcMar>
              <w:top w:type="dxa" w:w="40"/>
              <w:left w:type="dxa" w:w="100"/>
              <w:bottom w:type="dxa" w:w="40"/>
              <w:right w:type="dxa" w:w="100"/>
            </w:tcMar>
          </w:tcPr>
          <w:p>
            <w:r>
              <w:rPr>
                <w:b w:val="false"/>
                <w:bCs w:val="false"/>
                <w:color w:val="000000"/>
                <w:sz w:val="18"/>
                <w:szCs w:val="18"/>
              </w:rPr>
              <w:t xml:space="preserve">0.30%</w:t>
            </w:r>
          </w:p>
        </w:tc>
      </w:tr>
      <w:tr>
        <w:trPr>
          <w:tblHeader w:val="false"/>
        </w:trPr>
        <w:tc>
          <w:tcPr>
            <w:tcW w:type="dxa" w:w="4680"/>
            <w:shd w:fill="F2F2F2" w:val="clear"/>
            <w:tcMar>
              <w:top w:type="dxa" w:w="40"/>
              <w:left w:type="dxa" w:w="100"/>
              <w:bottom w:type="dxa" w:w="40"/>
              <w:right w:type="dxa" w:w="100"/>
            </w:tcMar>
          </w:tcPr>
          <w:p>
            <w:r>
              <w:rPr>
                <w:b w:val="false"/>
                <w:bCs w:val="false"/>
                <w:color w:val="000000"/>
                <w:sz w:val="18"/>
                <w:szCs w:val="18"/>
              </w:rPr>
              <w:t xml:space="preserve">Medium volume, standard economics</w:t>
            </w:r>
          </w:p>
        </w:tc>
        <w:tc>
          <w:tcPr>
            <w:tcW w:type="dxa" w:w="4680"/>
            <w:shd w:fill="F2F2F2" w:val="clear"/>
            <w:tcMar>
              <w:top w:type="dxa" w:w="40"/>
              <w:left w:type="dxa" w:w="100"/>
              <w:bottom w:type="dxa" w:w="40"/>
              <w:right w:type="dxa" w:w="100"/>
            </w:tcMar>
          </w:tcPr>
          <w:p>
            <w:r>
              <w:rPr>
                <w:b w:val="false"/>
                <w:bCs w:val="false"/>
                <w:color w:val="000000"/>
                <w:sz w:val="18"/>
                <w:szCs w:val="18"/>
              </w:rPr>
              <w:t xml:space="preserve">0.75%</w:t>
            </w:r>
          </w:p>
        </w:tc>
      </w:tr>
      <w:tr>
        <w:trPr>
          <w:tblHeader w:val="false"/>
        </w:trPr>
        <w:tc>
          <w:tcPr>
            <w:tcW w:type="dxa" w:w="4680"/>
            <w:shd w:fill="FFFFFF" w:val="clear"/>
            <w:tcMar>
              <w:top w:type="dxa" w:w="40"/>
              <w:left w:type="dxa" w:w="100"/>
              <w:bottom w:type="dxa" w:w="40"/>
              <w:right w:type="dxa" w:w="100"/>
            </w:tcMar>
          </w:tcPr>
          <w:p>
            <w:r>
              <w:rPr>
                <w:b w:val="false"/>
                <w:bCs w:val="false"/>
                <w:color w:val="000000"/>
                <w:sz w:val="18"/>
                <w:szCs w:val="18"/>
              </w:rPr>
              <w:t xml:space="preserve">High volume, strong acceptance</w:t>
            </w:r>
          </w:p>
        </w:tc>
        <w:tc>
          <w:tcPr>
            <w:tcW w:type="dxa" w:w="4680"/>
            <w:shd w:fill="FFFFFF" w:val="clear"/>
            <w:tcMar>
              <w:top w:type="dxa" w:w="40"/>
              <w:left w:type="dxa" w:w="100"/>
              <w:bottom w:type="dxa" w:w="40"/>
              <w:right w:type="dxa" w:w="100"/>
            </w:tcMar>
          </w:tcPr>
          <w:p>
            <w:r>
              <w:rPr>
                <w:b w:val="false"/>
                <w:bCs w:val="false"/>
                <w:color w:val="000000"/>
                <w:sz w:val="18"/>
                <w:szCs w:val="18"/>
              </w:rPr>
              <w:t xml:space="preserve">1.10%</w:t>
            </w:r>
          </w:p>
        </w:tc>
      </w:tr>
      <w:tr>
        <w:trPr>
          <w:tblHeader w:val="false"/>
        </w:trPr>
        <w:tc>
          <w:tcPr>
            <w:tcW w:type="dxa" w:w="4680"/>
            <w:shd w:fill="F2F2F2" w:val="clear"/>
            <w:tcMar>
              <w:top w:type="dxa" w:w="40"/>
              <w:left w:type="dxa" w:w="100"/>
              <w:bottom w:type="dxa" w:w="40"/>
              <w:right w:type="dxa" w:w="100"/>
            </w:tcMar>
          </w:tcPr>
          <w:p>
            <w:r>
              <w:rPr>
                <w:b w:val="false"/>
                <w:bCs w:val="false"/>
                <w:color w:val="000000"/>
                <w:sz w:val="18"/>
                <w:szCs w:val="18"/>
              </w:rPr>
              <w:t xml:space="preserve">Strategic enterprise</w:t>
            </w:r>
          </w:p>
        </w:tc>
        <w:tc>
          <w:tcPr>
            <w:tcW w:type="dxa" w:w="4680"/>
            <w:shd w:fill="F2F2F2" w:val="clear"/>
            <w:tcMar>
              <w:top w:type="dxa" w:w="40"/>
              <w:left w:type="dxa" w:w="100"/>
              <w:bottom w:type="dxa" w:w="40"/>
              <w:right w:type="dxa" w:w="100"/>
            </w:tcMar>
          </w:tcPr>
          <w:p>
            <w:r>
              <w:rPr>
                <w:b w:val="false"/>
                <w:bCs w:val="false"/>
                <w:color w:val="000000"/>
                <w:sz w:val="18"/>
                <w:szCs w:val="18"/>
              </w:rPr>
              <w:t xml:space="preserve">1.30%, subject to approval</w:t>
            </w:r>
          </w:p>
        </w:tc>
      </w:tr>
    </w:tbl>
    <w:p>
      <w:pPr>
        <w:spacing w:after="100"/>
        <w:rPr>
          <w:sz w:val="19"/>
          <w:szCs w:val="19"/>
        </w:rPr>
      </w:pPr>
      <w:r>
        <w:rPr>
          <w:sz w:val="19"/>
          <w:szCs w:val="19"/>
        </w:rPr>
        <w:t xml:space="preserve">Worked examples: Customer A ($20M spend, strong acceptance, low servicing) → ~1.2%; Customer B ($3M eligible, weak acceptance, high implementation) → ~0.5%; Customer C (strategic, ~$80M likely to move) → ~1.4% to win, accepting lower initial margin.</w:t>
      </w:r>
    </w:p>
    <w:p>
      <w:pPr>
        <w:spacing w:after="100"/>
        <w:rPr>
          <w:color w:val="606060"/>
          <w:sz w:val="19"/>
          <w:szCs w:val="19"/>
        </w:rPr>
      </w:pPr>
      <w:r>
        <w:rPr>
          <w:color w:val="606060"/>
          <w:sz w:val="19"/>
          <w:szCs w:val="19"/>
        </w:rPr>
        <w:t xml:space="preserve">Guardrail: rebates come only from approved bands under finance and contract controls — never autonomous. The binding constraint is that the rebate cannot exceed the economics Corpay expects from the customer's actual transaction mix; a nominal 1.2% can be unprofitable if much of the spend qualifies for low interchange or needs supplier subsidies. Model D is therefore coupled to Model A (qualification) and Model C (supplier subsidies) to price true net economics. Feasibility: high; conceptual accuracy ~0.95.</w:t>
      </w:r>
    </w:p>
    <w:p>
      <w:pPr>
        <w:pStyle w:val="Heading1"/>
      </w:pPr>
      <w:r>
        <w:t xml:space="preserve">5. Experimentation &amp; Results</w:t>
      </w:r>
    </w:p>
    <w:p>
      <w:pPr>
        <w:pStyle w:val="Heading2"/>
      </w:pPr>
      <w:r>
        <w:t xml:space="preserve">Acceptance model (30,000 offer-conditioned rows, 15,000 vendors)</w:t>
      </w:r>
    </w:p>
    <w:p>
      <w:pPr>
        <w:spacing w:after="100"/>
        <w:rPr>
          <w:sz w:val="19"/>
          <w:szCs w:val="19"/>
        </w:rPr>
      </w:pPr>
      <w:r>
        <w:rPr>
          <w:sz w:val="19"/>
          <w:szCs w:val="19"/>
        </w:rPr>
        <w:t xml:space="preserve">Grouped train/test split (a vendor's offers never straddle the split). All updated economic variables are material — importances rank as the theory predicts:</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4680"/>
        <w:gridCol w:w="2340"/>
        <w:gridCol w:w="2340"/>
      </w:tblGrid>
      <w:tr>
        <w:trPr>
          <w:tblHeader/>
        </w:trPr>
        <w:tc>
          <w:tcPr>
            <w:tcW w:type="dxa" w:w="4680"/>
            <w:shd w:fill="1F3864" w:val="clear"/>
            <w:tcMar>
              <w:top w:type="dxa" w:w="40"/>
              <w:left w:type="dxa" w:w="100"/>
              <w:bottom w:type="dxa" w:w="40"/>
              <w:right w:type="dxa" w:w="100"/>
            </w:tcMar>
          </w:tcPr>
          <w:p>
            <w:r>
              <w:rPr>
                <w:b/>
                <w:bCs/>
                <w:color w:val="FFFFFF"/>
                <w:sz w:val="18"/>
                <w:szCs w:val="18"/>
              </w:rPr>
              <w:t xml:space="preserve">Top features (importance)</w:t>
            </w:r>
          </w:p>
        </w:tc>
        <w:tc>
          <w:tcPr>
            <w:tcW w:type="dxa" w:w="2340"/>
            <w:shd w:fill="1F3864" w:val="clear"/>
            <w:tcMar>
              <w:top w:type="dxa" w:w="40"/>
              <w:left w:type="dxa" w:w="100"/>
              <w:bottom w:type="dxa" w:w="40"/>
              <w:right w:type="dxa" w:w="100"/>
            </w:tcMar>
          </w:tcPr>
          <w:p>
            <w:r>
              <w:rPr>
                <w:b/>
                <w:bCs/>
                <w:color w:val="FFFFFF"/>
                <w:sz w:val="18"/>
                <w:szCs w:val="18"/>
              </w:rPr>
              <w:t xml:space="preserve">Feature</w:t>
            </w:r>
          </w:p>
        </w:tc>
        <w:tc>
          <w:tcPr>
            <w:tcW w:type="dxa" w:w="2340"/>
            <w:shd w:fill="1F3864" w:val="clear"/>
            <w:tcMar>
              <w:top w:type="dxa" w:w="40"/>
              <w:left w:type="dxa" w:w="100"/>
              <w:bottom w:type="dxa" w:w="40"/>
              <w:right w:type="dxa" w:w="100"/>
            </w:tcMar>
          </w:tcPr>
          <w:p>
            <w:r>
              <w:rPr>
                <w:b/>
                <w:bCs/>
                <w:color w:val="FFFFFF"/>
                <w:sz w:val="18"/>
                <w:szCs w:val="18"/>
              </w:rPr>
              <w:t xml:space="preserve">Weight</w:t>
            </w:r>
          </w:p>
        </w:tc>
      </w:tr>
      <w:tr>
        <w:trPr>
          <w:tblHeader w:val="false"/>
        </w:trPr>
        <w:tc>
          <w:tcPr>
            <w:tcW w:type="dxa" w:w="4680"/>
            <w:shd w:fill="FFFFFF" w:val="clear"/>
            <w:tcMar>
              <w:top w:type="dxa" w:w="40"/>
              <w:left w:type="dxa" w:w="100"/>
              <w:bottom w:type="dxa" w:w="40"/>
              <w:right w:type="dxa" w:w="100"/>
            </w:tcMar>
          </w:tcPr>
          <w:p>
            <w:r>
              <w:rPr>
                <w:b w:val="false"/>
                <w:bCs w:val="false"/>
                <w:color w:val="000000"/>
                <w:sz w:val="18"/>
                <w:szCs w:val="18"/>
              </w:rPr>
              <w:t xml:space="preserve">card_acceptance_history</w:t>
            </w:r>
          </w:p>
        </w:tc>
        <w:tc>
          <w:tcPr>
            <w:tcW w:type="dxa" w:w="2340"/>
            <w:shd w:fill="FFFFFF" w:val="clear"/>
            <w:tcMar>
              <w:top w:type="dxa" w:w="40"/>
              <w:left w:type="dxa" w:w="100"/>
              <w:bottom w:type="dxa" w:w="40"/>
              <w:right w:type="dxa" w:w="100"/>
            </w:tcMar>
          </w:tcPr>
          <w:p>
            <w:r>
              <w:rPr>
                <w:b w:val="false"/>
                <w:bCs w:val="false"/>
                <w:color w:val="000000"/>
                <w:sz w:val="18"/>
                <w:szCs w:val="18"/>
              </w:rPr>
              <w:t xml:space="preserve">supplier_margin_profile</w:t>
            </w:r>
          </w:p>
        </w:tc>
        <w:tc>
          <w:tcPr>
            <w:tcW w:type="dxa" w:w="2340"/>
            <w:shd w:fill="FFFFFF" w:val="clear"/>
            <w:tcMar>
              <w:top w:type="dxa" w:w="40"/>
              <w:left w:type="dxa" w:w="100"/>
              <w:bottom w:type="dxa" w:w="40"/>
              <w:right w:type="dxa" w:w="100"/>
            </w:tcMar>
          </w:tcPr>
          <w:p>
            <w:r>
              <w:rPr>
                <w:b w:val="false"/>
                <w:bCs w:val="false"/>
                <w:color w:val="000000"/>
                <w:sz w:val="18"/>
                <w:szCs w:val="18"/>
              </w:rPr>
              <w:t xml:space="preserve">0.27 / 0.20</w:t>
            </w:r>
          </w:p>
        </w:tc>
      </w:tr>
      <w:tr>
        <w:trPr>
          <w:tblHeader w:val="false"/>
        </w:trPr>
        <w:tc>
          <w:tcPr>
            <w:tcW w:type="dxa" w:w="4680"/>
            <w:shd w:fill="F2F2F2" w:val="clear"/>
            <w:tcMar>
              <w:top w:type="dxa" w:w="40"/>
              <w:left w:type="dxa" w:w="100"/>
              <w:bottom w:type="dxa" w:w="40"/>
              <w:right w:type="dxa" w:w="100"/>
            </w:tcMar>
          </w:tcPr>
          <w:p>
            <w:r>
              <w:rPr>
                <w:b w:val="false"/>
                <w:bCs w:val="false"/>
                <w:color w:val="000000"/>
                <w:sz w:val="18"/>
                <w:szCs w:val="18"/>
              </w:rPr>
              <w:t xml:space="preserve">offer_rate_bps (price lever)</w:t>
            </w:r>
          </w:p>
        </w:tc>
        <w:tc>
          <w:tcPr>
            <w:tcW w:type="dxa" w:w="2340"/>
            <w:shd w:fill="F2F2F2" w:val="clear"/>
            <w:tcMar>
              <w:top w:type="dxa" w:w="40"/>
              <w:left w:type="dxa" w:w="100"/>
              <w:bottom w:type="dxa" w:w="40"/>
              <w:right w:type="dxa" w:w="100"/>
            </w:tcMar>
          </w:tcPr>
          <w:p>
            <w:r>
              <w:rPr>
                <w:b w:val="false"/>
                <w:bCs w:val="false"/>
                <w:color w:val="000000"/>
                <w:sz w:val="18"/>
                <w:szCs w:val="18"/>
              </w:rPr>
              <w:t xml:space="preserve">payment_speed_preference</w:t>
            </w:r>
          </w:p>
        </w:tc>
        <w:tc>
          <w:tcPr>
            <w:tcW w:type="dxa" w:w="2340"/>
            <w:shd w:fill="F2F2F2" w:val="clear"/>
            <w:tcMar>
              <w:top w:type="dxa" w:w="40"/>
              <w:left w:type="dxa" w:w="100"/>
              <w:bottom w:type="dxa" w:w="40"/>
              <w:right w:type="dxa" w:w="100"/>
            </w:tcMar>
          </w:tcPr>
          <w:p>
            <w:r>
              <w:rPr>
                <w:b w:val="false"/>
                <w:bCs w:val="false"/>
                <w:color w:val="000000"/>
                <w:sz w:val="18"/>
                <w:szCs w:val="18"/>
              </w:rPr>
              <w:t xml:space="preserve">0.13 / 0.06</w:t>
            </w:r>
          </w:p>
        </w:tc>
      </w:tr>
      <w:tr>
        <w:trPr>
          <w:tblHeader w:val="false"/>
        </w:trPr>
        <w:tc>
          <w:tcPr>
            <w:tcW w:type="dxa" w:w="4680"/>
            <w:shd w:fill="FFFFFF" w:val="clear"/>
            <w:tcMar>
              <w:top w:type="dxa" w:w="40"/>
              <w:left w:type="dxa" w:w="100"/>
              <w:bottom w:type="dxa" w:w="40"/>
              <w:right w:type="dxa" w:w="100"/>
            </w:tcMar>
          </w:tcPr>
          <w:p>
            <w:r>
              <w:rPr>
                <w:b w:val="false"/>
                <w:bCs w:val="false"/>
                <w:color w:val="000000"/>
                <w:sz w:val="18"/>
                <w:szCs w:val="18"/>
              </w:rPr>
              <w:t xml:space="preserve">offer_settlement / industry</w:t>
            </w:r>
          </w:p>
        </w:tc>
        <w:tc>
          <w:tcPr>
            <w:tcW w:type="dxa" w:w="2340"/>
            <w:shd w:fill="FFFFFF" w:val="clear"/>
            <w:tcMar>
              <w:top w:type="dxa" w:w="40"/>
              <w:left w:type="dxa" w:w="100"/>
              <w:bottom w:type="dxa" w:w="40"/>
              <w:right w:type="dxa" w:w="100"/>
            </w:tcMar>
          </w:tcPr>
          <w:p>
            <w:r>
              <w:rPr>
                <w:b w:val="false"/>
                <w:bCs w:val="false"/>
                <w:color w:val="000000"/>
                <w:sz w:val="18"/>
                <w:szCs w:val="18"/>
              </w:rPr>
              <w:t xml:space="preserve">geography / reconciliation</w:t>
            </w:r>
          </w:p>
        </w:tc>
        <w:tc>
          <w:tcPr>
            <w:tcW w:type="dxa" w:w="2340"/>
            <w:shd w:fill="FFFFFF" w:val="clear"/>
            <w:tcMar>
              <w:top w:type="dxa" w:w="40"/>
              <w:left w:type="dxa" w:w="100"/>
              <w:bottom w:type="dxa" w:w="40"/>
              <w:right w:type="dxa" w:w="100"/>
            </w:tcMar>
          </w:tcPr>
          <w:p>
            <w:r>
              <w:rPr>
                <w:b w:val="false"/>
                <w:bCs w:val="false"/>
                <w:color w:val="000000"/>
                <w:sz w:val="18"/>
                <w:szCs w:val="18"/>
              </w:rPr>
              <w:t xml:space="preserve">0.06 / 0.05 · 0.04 / 0.03</w:t>
            </w:r>
          </w:p>
        </w:tc>
      </w:tr>
    </w:tbl>
    <w:p>
      <w:pPr>
        <w:spacing w:after="100"/>
        <w:rPr>
          <w:sz w:val="19"/>
          <w:szCs w:val="19"/>
        </w:rPr>
      </w:pPr>
      <w:r>
        <w:rPr>
          <w:sz w:val="19"/>
          <w:szCs w:val="19"/>
        </w:rPr>
        <w:t xml:space="preserve">Metrics: ROC-AUC 0.775, PR-AUC 0.846, Brier 0.190. Elasticity is learned — predicted acceptance declines monotonically as the offered rate rises (0.77 → 0.68 → 0.59 → 0.51 across 80/150/220/280 bps).</w:t>
      </w:r>
    </w:p>
    <w:p>
      <w:pPr>
        <w:pStyle w:val="Heading2"/>
      </w:pPr>
      <w:r>
        <w:t xml:space="preserve">Optimizer — worked examples (supplier side)</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2760"/>
        <w:gridCol w:w="3000"/>
        <w:gridCol w:w="1400"/>
        <w:gridCol w:w="2200"/>
      </w:tblGrid>
      <w:tr>
        <w:trPr>
          <w:tblHeader/>
        </w:trPr>
        <w:tc>
          <w:tcPr>
            <w:tcW w:type="dxa" w:w="2760"/>
            <w:shd w:fill="1F3864" w:val="clear"/>
            <w:tcMar>
              <w:top w:type="dxa" w:w="40"/>
              <w:left w:type="dxa" w:w="100"/>
              <w:bottom w:type="dxa" w:w="40"/>
              <w:right w:type="dxa" w:w="100"/>
            </w:tcMar>
          </w:tcPr>
          <w:p>
            <w:r>
              <w:rPr>
                <w:b/>
                <w:bCs/>
                <w:color w:val="FFFFFF"/>
                <w:sz w:val="18"/>
                <w:szCs w:val="18"/>
              </w:rPr>
              <w:t xml:space="preserve">Supplier</w:t>
            </w:r>
          </w:p>
        </w:tc>
        <w:tc>
          <w:tcPr>
            <w:tcW w:type="dxa" w:w="3000"/>
            <w:shd w:fill="1F3864" w:val="clear"/>
            <w:tcMar>
              <w:top w:type="dxa" w:w="40"/>
              <w:left w:type="dxa" w:w="100"/>
              <w:bottom w:type="dxa" w:w="40"/>
              <w:right w:type="dxa" w:w="100"/>
            </w:tcMar>
          </w:tcPr>
          <w:p>
            <w:r>
              <w:rPr>
                <w:b/>
                <w:bCs/>
                <w:color w:val="FFFFFF"/>
                <w:sz w:val="18"/>
                <w:szCs w:val="18"/>
              </w:rPr>
              <w:t xml:space="preserve">Recommended offer</w:t>
            </w:r>
          </w:p>
        </w:tc>
        <w:tc>
          <w:tcPr>
            <w:tcW w:type="dxa" w:w="1400"/>
            <w:shd w:fill="1F3864" w:val="clear"/>
            <w:tcMar>
              <w:top w:type="dxa" w:w="40"/>
              <w:left w:type="dxa" w:w="100"/>
              <w:bottom w:type="dxa" w:w="40"/>
              <w:right w:type="dxa" w:w="100"/>
            </w:tcMar>
          </w:tcPr>
          <w:p>
            <w:r>
              <w:rPr>
                <w:b/>
                <w:bCs/>
                <w:color w:val="FFFFFF"/>
                <w:sz w:val="18"/>
                <w:szCs w:val="18"/>
              </w:rPr>
              <w:t xml:space="preserve">P(accept)</w:t>
            </w:r>
          </w:p>
        </w:tc>
        <w:tc>
          <w:tcPr>
            <w:tcW w:type="dxa" w:w="2200"/>
            <w:shd w:fill="1F3864" w:val="clear"/>
            <w:tcMar>
              <w:top w:type="dxa" w:w="40"/>
              <w:left w:type="dxa" w:w="100"/>
              <w:bottom w:type="dxa" w:w="40"/>
              <w:right w:type="dxa" w:w="100"/>
            </w:tcMar>
          </w:tcPr>
          <w:p>
            <w:r>
              <w:rPr>
                <w:b/>
                <w:bCs/>
                <w:color w:val="FFFFFF"/>
                <w:sz w:val="18"/>
                <w:szCs w:val="18"/>
              </w:rPr>
              <w:t xml:space="preserve">Rationale</w:t>
            </w:r>
          </w:p>
        </w:tc>
      </w:tr>
      <w:tr>
        <w:trPr>
          <w:tblHeader w:val="false"/>
        </w:trPr>
        <w:tc>
          <w:tcPr>
            <w:tcW w:type="dxa" w:w="2760"/>
            <w:shd w:fill="FFFFFF" w:val="clear"/>
            <w:tcMar>
              <w:top w:type="dxa" w:w="40"/>
              <w:left w:type="dxa" w:w="100"/>
              <w:bottom w:type="dxa" w:w="40"/>
              <w:right w:type="dxa" w:w="100"/>
            </w:tcMar>
          </w:tcPr>
          <w:p>
            <w:r>
              <w:rPr>
                <w:b w:val="false"/>
                <w:bCs w:val="false"/>
                <w:color w:val="000000"/>
                <w:sz w:val="18"/>
                <w:szCs w:val="18"/>
              </w:rPr>
              <w:t xml:space="preserve">A · $20M, thin margin</w:t>
            </w:r>
          </w:p>
        </w:tc>
        <w:tc>
          <w:tcPr>
            <w:tcW w:type="dxa" w:w="3000"/>
            <w:shd w:fill="FFFFFF" w:val="clear"/>
            <w:tcMar>
              <w:top w:type="dxa" w:w="40"/>
              <w:left w:type="dxa" w:w="100"/>
              <w:bottom w:type="dxa" w:w="40"/>
              <w:right w:type="dxa" w:w="100"/>
            </w:tcMar>
          </w:tcPr>
          <w:p>
            <w:r>
              <w:rPr>
                <w:b w:val="false"/>
                <w:bCs w:val="false"/>
                <w:color w:val="000000"/>
                <w:sz w:val="18"/>
                <w:szCs w:val="18"/>
              </w:rPr>
              <w:t xml:space="preserve">0.80% · capped · next-day</w:t>
            </w:r>
          </w:p>
        </w:tc>
        <w:tc>
          <w:tcPr>
            <w:tcW w:type="dxa" w:w="1400"/>
            <w:shd w:fill="FFFFFF" w:val="clear"/>
            <w:tcMar>
              <w:top w:type="dxa" w:w="40"/>
              <w:left w:type="dxa" w:w="100"/>
              <w:bottom w:type="dxa" w:w="40"/>
              <w:right w:type="dxa" w:w="100"/>
            </w:tcMar>
          </w:tcPr>
          <w:p>
            <w:r>
              <w:rPr>
                <w:b w:val="false"/>
                <w:bCs w:val="false"/>
                <w:color w:val="000000"/>
                <w:sz w:val="18"/>
                <w:szCs w:val="18"/>
              </w:rPr>
              <w:t xml:space="preserve">0.73</w:t>
            </w:r>
          </w:p>
        </w:tc>
        <w:tc>
          <w:tcPr>
            <w:tcW w:type="dxa" w:w="2200"/>
            <w:shd w:fill="FFFFFF" w:val="clear"/>
            <w:tcMar>
              <w:top w:type="dxa" w:w="40"/>
              <w:left w:type="dxa" w:w="100"/>
              <w:bottom w:type="dxa" w:w="40"/>
              <w:right w:type="dxa" w:w="100"/>
            </w:tcMar>
          </w:tcPr>
          <w:p>
            <w:r>
              <w:rPr>
                <w:b w:val="false"/>
                <w:bCs w:val="false"/>
                <w:color w:val="000000"/>
                <w:sz w:val="18"/>
                <w:szCs w:val="18"/>
              </w:rPr>
              <w:t xml:space="preserve">Floor excludes high-rate/low-accept — sustainable</w:t>
            </w:r>
          </w:p>
        </w:tc>
      </w:tr>
      <w:tr>
        <w:trPr>
          <w:tblHeader w:val="false"/>
        </w:trPr>
        <w:tc>
          <w:tcPr>
            <w:tcW w:type="dxa" w:w="2760"/>
            <w:shd w:fill="F2F2F2" w:val="clear"/>
            <w:tcMar>
              <w:top w:type="dxa" w:w="40"/>
              <w:left w:type="dxa" w:w="100"/>
              <w:bottom w:type="dxa" w:w="40"/>
              <w:right w:type="dxa" w:w="100"/>
            </w:tcMar>
          </w:tcPr>
          <w:p>
            <w:r>
              <w:rPr>
                <w:b w:val="false"/>
                <w:bCs w:val="false"/>
                <w:color w:val="000000"/>
                <w:sz w:val="18"/>
                <w:szCs w:val="18"/>
              </w:rPr>
              <w:t xml:space="preserve">B · $200k, wants liquidity</w:t>
            </w:r>
          </w:p>
        </w:tc>
        <w:tc>
          <w:tcPr>
            <w:tcW w:type="dxa" w:w="3000"/>
            <w:shd w:fill="F2F2F2" w:val="clear"/>
            <w:tcMar>
              <w:top w:type="dxa" w:w="40"/>
              <w:left w:type="dxa" w:w="100"/>
              <w:bottom w:type="dxa" w:w="40"/>
              <w:right w:type="dxa" w:w="100"/>
            </w:tcMar>
          </w:tcPr>
          <w:p>
            <w:r>
              <w:rPr>
                <w:b w:val="false"/>
                <w:bCs w:val="false"/>
                <w:color w:val="000000"/>
                <w:sz w:val="18"/>
                <w:szCs w:val="18"/>
              </w:rPr>
              <w:t xml:space="preserve">2.80% · same-day</w:t>
            </w:r>
          </w:p>
        </w:tc>
        <w:tc>
          <w:tcPr>
            <w:tcW w:type="dxa" w:w="1400"/>
            <w:shd w:fill="F2F2F2" w:val="clear"/>
            <w:tcMar>
              <w:top w:type="dxa" w:w="40"/>
              <w:left w:type="dxa" w:w="100"/>
              <w:bottom w:type="dxa" w:w="40"/>
              <w:right w:type="dxa" w:w="100"/>
            </w:tcMar>
          </w:tcPr>
          <w:p>
            <w:r>
              <w:rPr>
                <w:b w:val="false"/>
                <w:bCs w:val="false"/>
                <w:color w:val="000000"/>
                <w:sz w:val="18"/>
                <w:szCs w:val="18"/>
              </w:rPr>
              <w:t xml:space="preserve">0.88</w:t>
            </w:r>
          </w:p>
        </w:tc>
        <w:tc>
          <w:tcPr>
            <w:tcW w:type="dxa" w:w="2200"/>
            <w:shd w:fill="F2F2F2" w:val="clear"/>
            <w:tcMar>
              <w:top w:type="dxa" w:w="40"/>
              <w:left w:type="dxa" w:w="100"/>
              <w:bottom w:type="dxa" w:w="40"/>
              <w:right w:type="dxa" w:w="100"/>
            </w:tcMar>
          </w:tcPr>
          <w:p>
            <w:r>
              <w:rPr>
                <w:b w:val="false"/>
                <w:bCs w:val="false"/>
                <w:color w:val="000000"/>
                <w:sz w:val="18"/>
                <w:szCs w:val="18"/>
              </w:rPr>
              <w:t xml:space="preserve">Genuinely tolerates top rate; value, not extraction</w:t>
            </w:r>
          </w:p>
        </w:tc>
      </w:tr>
      <w:tr>
        <w:trPr>
          <w:tblHeader w:val="false"/>
        </w:trPr>
        <w:tc>
          <w:tcPr>
            <w:tcW w:type="dxa" w:w="2760"/>
            <w:shd w:fill="FFFFFF" w:val="clear"/>
            <w:tcMar>
              <w:top w:type="dxa" w:w="40"/>
              <w:left w:type="dxa" w:w="100"/>
              <w:bottom w:type="dxa" w:w="40"/>
              <w:right w:type="dxa" w:w="100"/>
            </w:tcMar>
          </w:tcPr>
          <w:p>
            <w:r>
              <w:rPr>
                <w:b w:val="false"/>
                <w:bCs w:val="false"/>
                <w:color w:val="000000"/>
                <w:sz w:val="18"/>
                <w:szCs w:val="18"/>
              </w:rPr>
              <w:t xml:space="preserve">C · $1M invoices</w:t>
            </w:r>
          </w:p>
        </w:tc>
        <w:tc>
          <w:tcPr>
            <w:tcW w:type="dxa" w:w="3000"/>
            <w:shd w:fill="FFFFFF" w:val="clear"/>
            <w:tcMar>
              <w:top w:type="dxa" w:w="40"/>
              <w:left w:type="dxa" w:w="100"/>
              <w:bottom w:type="dxa" w:w="40"/>
              <w:right w:type="dxa" w:w="100"/>
            </w:tcMar>
          </w:tcPr>
          <w:p>
            <w:r>
              <w:rPr>
                <w:b w:val="false"/>
                <w:bCs w:val="false"/>
                <w:color w:val="000000"/>
                <w:sz w:val="18"/>
                <w:szCs w:val="18"/>
              </w:rPr>
              <w:t xml:space="preserve">0.80% · uncapped</w:t>
            </w:r>
          </w:p>
        </w:tc>
        <w:tc>
          <w:tcPr>
            <w:tcW w:type="dxa" w:w="1400"/>
            <w:shd w:fill="FFFFFF" w:val="clear"/>
            <w:tcMar>
              <w:top w:type="dxa" w:w="40"/>
              <w:left w:type="dxa" w:w="100"/>
              <w:bottom w:type="dxa" w:w="40"/>
              <w:right w:type="dxa" w:w="100"/>
            </w:tcMar>
          </w:tcPr>
          <w:p>
            <w:r>
              <w:rPr>
                <w:b w:val="false"/>
                <w:bCs w:val="false"/>
                <w:color w:val="000000"/>
                <w:sz w:val="18"/>
                <w:szCs w:val="18"/>
              </w:rPr>
              <w:t xml:space="preserve">0.50</w:t>
            </w:r>
          </w:p>
        </w:tc>
        <w:tc>
          <w:tcPr>
            <w:tcW w:type="dxa" w:w="2200"/>
            <w:shd w:fill="FFFFFF" w:val="clear"/>
            <w:tcMar>
              <w:top w:type="dxa" w:w="40"/>
              <w:left w:type="dxa" w:w="100"/>
              <w:bottom w:type="dxa" w:w="40"/>
              <w:right w:type="dxa" w:w="100"/>
            </w:tcMar>
          </w:tcPr>
          <w:p>
            <w:r>
              <w:rPr>
                <w:b w:val="false"/>
                <w:bCs w:val="false"/>
                <w:color w:val="000000"/>
                <w:sz w:val="18"/>
                <w:szCs w:val="18"/>
              </w:rPr>
              <w:t xml:space="preserve">Moved OFF 2.8% (accept collapsed to 0.23)</w:t>
            </w:r>
          </w:p>
        </w:tc>
      </w:tr>
    </w:tbl>
    <w:p>
      <w:pPr>
        <w:spacing w:after="100"/>
        <w:rPr>
          <w:color w:val="606060"/>
          <w:sz w:val="19"/>
          <w:szCs w:val="19"/>
        </w:rPr>
      </w:pPr>
      <w:r>
        <w:rPr>
          <w:color w:val="606060"/>
          <w:sz w:val="19"/>
          <w:szCs w:val="19"/>
        </w:rPr>
        <w:t xml:space="preserve">Honest interpretation: the synthetic prototype validates pipeline mechanics and metric definitions, not production lift — labels come from the same simulated world as the features. The 5-fold CV lift (0.786 vs 0.773) and 0.117 train/test gap are to be validated, not treated as safe. Model D is specified but not yet prototyped.</w:t>
      </w:r>
    </w:p>
    <w:p>
      <w:pPr>
        <w:pStyle w:val="Heading1"/>
      </w:pPr>
      <w:r>
        <w:t xml:space="preserve">6. Experimentation Methodology, Datasets &amp; Repository</w:t>
      </w:r>
    </w:p>
    <w:p>
      <w:pPr>
        <w:spacing w:after="100"/>
      </w:pPr>
      <w:r>
        <w:rPr>
          <w:b/>
          <w:bCs/>
          <w:sz w:val="19"/>
          <w:szCs w:val="19"/>
        </w:rPr>
        <w:t xml:space="preserve">Repository (private): </w:t>
      </w:r>
      <w:hyperlink w:history="1" r:id="rIdldbsjnuyz7mxnxbvlf85p">
        <w:r>
          <w:rPr>
            <w:rStyle w:val="Hyperlink"/>
            <w:sz w:val="18"/>
            <w:szCs w:val="18"/>
          </w:rPr>
          <w:t xml:space="preserve">https://github.com/nickblaze-4994/vendor-payment-intelligence</w:t>
        </w:r>
      </w:hyperlink>
    </w:p>
    <w:p>
      <w:pPr>
        <w:spacing w:after="100"/>
        <w:rPr>
          <w:sz w:val="19"/>
          <w:szCs w:val="19"/>
        </w:rPr>
      </w:pPr>
      <w:r>
        <w:rPr>
          <w:sz w:val="19"/>
          <w:szCs w:val="19"/>
        </w:rPr>
        <w:t xml:space="preserve">Method: synthetic vendors are generated with the full economic profile and latent traits; offers are sampled per vendor and acceptance simulated; XGBoost is trained on the (vendor, offer)→accept pairs; the optimizer sweeps the grid per vendor. All datasets are committed to the repo for reproducibility.</w:t>
      </w:r>
    </w:p>
    <w:p>
      <w:pPr>
        <w:pStyle w:val="Heading2"/>
      </w:pPr>
      <w:r>
        <w:t xml:space="preserve">Datasets</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2600"/>
        <w:gridCol w:w="1560"/>
        <w:gridCol w:w="5200"/>
      </w:tblGrid>
      <w:tr>
        <w:trPr>
          <w:tblHeader/>
        </w:trPr>
        <w:tc>
          <w:tcPr>
            <w:tcW w:type="dxa" w:w="2600"/>
            <w:shd w:fill="1F3864" w:val="clear"/>
            <w:tcMar>
              <w:top w:type="dxa" w:w="40"/>
              <w:left w:type="dxa" w:w="100"/>
              <w:bottom w:type="dxa" w:w="40"/>
              <w:right w:type="dxa" w:w="100"/>
            </w:tcMar>
          </w:tcPr>
          <w:p>
            <w:r>
              <w:rPr>
                <w:b/>
                <w:bCs/>
                <w:color w:val="FFFFFF"/>
                <w:sz w:val="18"/>
                <w:szCs w:val="18"/>
              </w:rPr>
              <w:t xml:space="preserve">File</w:t>
            </w:r>
          </w:p>
        </w:tc>
        <w:tc>
          <w:tcPr>
            <w:tcW w:type="dxa" w:w="1560"/>
            <w:shd w:fill="1F3864" w:val="clear"/>
            <w:tcMar>
              <w:top w:type="dxa" w:w="40"/>
              <w:left w:type="dxa" w:w="100"/>
              <w:bottom w:type="dxa" w:w="40"/>
              <w:right w:type="dxa" w:w="100"/>
            </w:tcMar>
          </w:tcPr>
          <w:p>
            <w:r>
              <w:rPr>
                <w:b/>
                <w:bCs/>
                <w:color w:val="FFFFFF"/>
                <w:sz w:val="18"/>
                <w:szCs w:val="18"/>
              </w:rPr>
              <w:t xml:space="preserve">Rows</w:t>
            </w:r>
          </w:p>
        </w:tc>
        <w:tc>
          <w:tcPr>
            <w:tcW w:type="dxa" w:w="5200"/>
            <w:shd w:fill="1F3864" w:val="clear"/>
            <w:tcMar>
              <w:top w:type="dxa" w:w="40"/>
              <w:left w:type="dxa" w:w="100"/>
              <w:bottom w:type="dxa" w:w="40"/>
              <w:right w:type="dxa" w:w="100"/>
            </w:tcMar>
          </w:tcPr>
          <w:p>
            <w:r>
              <w:rPr>
                <w:b/>
                <w:bCs/>
                <w:color w:val="FFFFFF"/>
                <w:sz w:val="18"/>
                <w:szCs w:val="18"/>
              </w:rPr>
              <w:t xml:space="preserve">Purpose</w:t>
            </w:r>
          </w:p>
        </w:tc>
      </w:tr>
      <w:tr>
        <w:trPr>
          <w:tblHeader w:val="false"/>
        </w:trPr>
        <w:tc>
          <w:tcPr>
            <w:tcW w:type="dxa" w:w="2600"/>
            <w:shd w:fill="FFFFFF" w:val="clear"/>
            <w:tcMar>
              <w:top w:type="dxa" w:w="40"/>
              <w:left w:type="dxa" w:w="100"/>
              <w:bottom w:type="dxa" w:w="40"/>
              <w:right w:type="dxa" w:w="100"/>
            </w:tcMar>
          </w:tcPr>
          <w:p>
            <w:r>
              <w:rPr>
                <w:b w:val="false"/>
                <w:bCs w:val="false"/>
                <w:color w:val="000000"/>
                <w:sz w:val="18"/>
                <w:szCs w:val="18"/>
              </w:rPr>
              <w:t xml:space="preserve">data/pricing.csv</w:t>
            </w:r>
          </w:p>
        </w:tc>
        <w:tc>
          <w:tcPr>
            <w:tcW w:type="dxa" w:w="1560"/>
            <w:shd w:fill="FFFFFF" w:val="clear"/>
            <w:tcMar>
              <w:top w:type="dxa" w:w="40"/>
              <w:left w:type="dxa" w:w="100"/>
              <w:bottom w:type="dxa" w:w="40"/>
              <w:right w:type="dxa" w:w="100"/>
            </w:tcMar>
          </w:tcPr>
          <w:p>
            <w:r>
              <w:rPr>
                <w:b w:val="false"/>
                <w:bCs w:val="false"/>
                <w:color w:val="000000"/>
                <w:sz w:val="18"/>
                <w:szCs w:val="18"/>
              </w:rPr>
              <w:t xml:space="preserve">30,000</w:t>
            </w:r>
          </w:p>
        </w:tc>
        <w:tc>
          <w:tcPr>
            <w:tcW w:type="dxa" w:w="5200"/>
            <w:shd w:fill="FFFFFF" w:val="clear"/>
            <w:tcMar>
              <w:top w:type="dxa" w:w="40"/>
              <w:left w:type="dxa" w:w="100"/>
              <w:bottom w:type="dxa" w:w="40"/>
              <w:right w:type="dxa" w:w="100"/>
            </w:tcMar>
          </w:tcPr>
          <w:p>
            <w:r>
              <w:rPr>
                <w:b w:val="false"/>
                <w:bCs w:val="false"/>
                <w:color w:val="000000"/>
                <w:sz w:val="18"/>
                <w:szCs w:val="18"/>
              </w:rPr>
              <w:t xml:space="preserve">Offer-conditioned acceptance training (15k vendors × 2 offers)</w:t>
            </w:r>
          </w:p>
        </w:tc>
      </w:tr>
      <w:tr>
        <w:trPr>
          <w:tblHeader w:val="false"/>
        </w:trPr>
        <w:tc>
          <w:tcPr>
            <w:tcW w:type="dxa" w:w="2600"/>
            <w:shd w:fill="F2F2F2" w:val="clear"/>
            <w:tcMar>
              <w:top w:type="dxa" w:w="40"/>
              <w:left w:type="dxa" w:w="100"/>
              <w:bottom w:type="dxa" w:w="40"/>
              <w:right w:type="dxa" w:w="100"/>
            </w:tcMar>
          </w:tcPr>
          <w:p>
            <w:r>
              <w:rPr>
                <w:b w:val="false"/>
                <w:bCs w:val="false"/>
                <w:color w:val="000000"/>
                <w:sz w:val="18"/>
                <w:szCs w:val="18"/>
              </w:rPr>
              <w:t xml:space="preserve">data/offers.csv</w:t>
            </w:r>
          </w:p>
        </w:tc>
        <w:tc>
          <w:tcPr>
            <w:tcW w:type="dxa" w:w="1560"/>
            <w:shd w:fill="F2F2F2" w:val="clear"/>
            <w:tcMar>
              <w:top w:type="dxa" w:w="40"/>
              <w:left w:type="dxa" w:w="100"/>
              <w:bottom w:type="dxa" w:w="40"/>
              <w:right w:type="dxa" w:w="100"/>
            </w:tcMar>
          </w:tcPr>
          <w:p>
            <w:r>
              <w:rPr>
                <w:b w:val="false"/>
                <w:bCs w:val="false"/>
                <w:color w:val="000000"/>
                <w:sz w:val="18"/>
                <w:szCs w:val="18"/>
              </w:rPr>
              <w:t xml:space="preserve">15,000</w:t>
            </w:r>
          </w:p>
        </w:tc>
        <w:tc>
          <w:tcPr>
            <w:tcW w:type="dxa" w:w="5200"/>
            <w:shd w:fill="F2F2F2" w:val="clear"/>
            <w:tcMar>
              <w:top w:type="dxa" w:w="40"/>
              <w:left w:type="dxa" w:w="100"/>
              <w:bottom w:type="dxa" w:w="40"/>
              <w:right w:type="dxa" w:w="100"/>
            </w:tcMar>
          </w:tcPr>
          <w:p>
            <w:r>
              <w:rPr>
                <w:b w:val="false"/>
                <w:bCs w:val="false"/>
                <w:color w:val="000000"/>
                <w:sz w:val="18"/>
                <w:szCs w:val="18"/>
              </w:rPr>
              <w:t xml:space="preserve">Optimizer output — recommended offer package per vendor</w:t>
            </w:r>
          </w:p>
        </w:tc>
      </w:tr>
      <w:tr>
        <w:trPr>
          <w:tblHeader w:val="false"/>
        </w:trPr>
        <w:tc>
          <w:tcPr>
            <w:tcW w:type="dxa" w:w="2600"/>
            <w:shd w:fill="FFFFFF" w:val="clear"/>
            <w:tcMar>
              <w:top w:type="dxa" w:w="40"/>
              <w:left w:type="dxa" w:w="100"/>
              <w:bottom w:type="dxa" w:w="40"/>
              <w:right w:type="dxa" w:w="100"/>
            </w:tcMar>
          </w:tcPr>
          <w:p>
            <w:r>
              <w:rPr>
                <w:b w:val="false"/>
                <w:bCs w:val="false"/>
                <w:color w:val="000000"/>
                <w:sz w:val="18"/>
                <w:szCs w:val="18"/>
              </w:rPr>
              <w:t xml:space="preserve">data/adoption.csv</w:t>
            </w:r>
          </w:p>
        </w:tc>
        <w:tc>
          <w:tcPr>
            <w:tcW w:type="dxa" w:w="1560"/>
            <w:shd w:fill="FFFFFF" w:val="clear"/>
            <w:tcMar>
              <w:top w:type="dxa" w:w="40"/>
              <w:left w:type="dxa" w:w="100"/>
              <w:bottom w:type="dxa" w:w="40"/>
              <w:right w:type="dxa" w:w="100"/>
            </w:tcMar>
          </w:tcPr>
          <w:p>
            <w:r>
              <w:rPr>
                <w:b w:val="false"/>
                <w:bCs w:val="false"/>
                <w:color w:val="000000"/>
                <w:sz w:val="18"/>
                <w:szCs w:val="18"/>
              </w:rPr>
              <w:t xml:space="preserve">25,000</w:t>
            </w:r>
          </w:p>
        </w:tc>
        <w:tc>
          <w:tcPr>
            <w:tcW w:type="dxa" w:w="5200"/>
            <w:shd w:fill="FFFFFF" w:val="clear"/>
            <w:tcMar>
              <w:top w:type="dxa" w:w="40"/>
              <w:left w:type="dxa" w:w="100"/>
              <w:bottom w:type="dxa" w:w="40"/>
              <w:right w:type="dxa" w:w="100"/>
            </w:tcMar>
          </w:tcPr>
          <w:p>
            <w:r>
              <w:rPr>
                <w:b w:val="false"/>
                <w:bCs w:val="false"/>
                <w:color w:val="000000"/>
                <w:sz w:val="18"/>
                <w:szCs w:val="18"/>
              </w:rPr>
              <w:t xml:space="preserve">VC adoption propensity over the ACH/check population</w:t>
            </w:r>
          </w:p>
        </w:tc>
      </w:tr>
      <w:tr>
        <w:trPr>
          <w:tblHeader w:val="false"/>
        </w:trPr>
        <w:tc>
          <w:tcPr>
            <w:tcW w:type="dxa" w:w="2600"/>
            <w:shd w:fill="F2F2F2" w:val="clear"/>
            <w:tcMar>
              <w:top w:type="dxa" w:w="40"/>
              <w:left w:type="dxa" w:w="100"/>
              <w:bottom w:type="dxa" w:w="40"/>
              <w:right w:type="dxa" w:w="100"/>
            </w:tcMar>
          </w:tcPr>
          <w:p>
            <w:r>
              <w:rPr>
                <w:b w:val="false"/>
                <w:bCs w:val="false"/>
                <w:color w:val="000000"/>
                <w:sz w:val="18"/>
                <w:szCs w:val="18"/>
              </w:rPr>
              <w:t xml:space="preserve">data/target_list.csv</w:t>
            </w:r>
          </w:p>
        </w:tc>
        <w:tc>
          <w:tcPr>
            <w:tcW w:type="dxa" w:w="1560"/>
            <w:shd w:fill="F2F2F2" w:val="clear"/>
            <w:tcMar>
              <w:top w:type="dxa" w:w="40"/>
              <w:left w:type="dxa" w:w="100"/>
              <w:bottom w:type="dxa" w:w="40"/>
              <w:right w:type="dxa" w:w="100"/>
            </w:tcMar>
          </w:tcPr>
          <w:p>
            <w:r>
              <w:rPr>
                <w:b w:val="false"/>
                <w:bCs w:val="false"/>
                <w:color w:val="000000"/>
                <w:sz w:val="18"/>
                <w:szCs w:val="18"/>
              </w:rPr>
              <w:t xml:space="preserve">3,152</w:t>
            </w:r>
          </w:p>
        </w:tc>
        <w:tc>
          <w:tcPr>
            <w:tcW w:type="dxa" w:w="5200"/>
            <w:shd w:fill="F2F2F2" w:val="clear"/>
            <w:tcMar>
              <w:top w:type="dxa" w:w="40"/>
              <w:left w:type="dxa" w:w="100"/>
              <w:bottom w:type="dxa" w:w="40"/>
              <w:right w:type="dxa" w:w="100"/>
            </w:tcMar>
          </w:tcPr>
          <w:p>
            <w:r>
              <w:rPr>
                <w:b w:val="false"/>
                <w:bCs w:val="false"/>
                <w:color w:val="000000"/>
                <w:sz w:val="18"/>
                <w:szCs w:val="18"/>
              </w:rPr>
              <w:t xml:space="preserve">Ranked enterprise ACH/check &gt;$100k conversion targets</w:t>
            </w:r>
          </w:p>
        </w:tc>
      </w:tr>
    </w:tbl>
    <w:p>
      <w:pPr>
        <w:pStyle w:val="Heading2"/>
      </w:pPr>
      <w:r>
        <w:t xml:space="preserve">Models &amp; reproduction</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300"/>
        <w:gridCol w:w="6060"/>
      </w:tblGrid>
      <w:tr>
        <w:trPr>
          <w:tblHeader/>
        </w:trPr>
        <w:tc>
          <w:tcPr>
            <w:tcW w:type="dxa" w:w="3300"/>
            <w:shd w:fill="1F3864" w:val="clear"/>
            <w:tcMar>
              <w:top w:type="dxa" w:w="40"/>
              <w:left w:type="dxa" w:w="100"/>
              <w:bottom w:type="dxa" w:w="40"/>
              <w:right w:type="dxa" w:w="100"/>
            </w:tcMar>
          </w:tcPr>
          <w:p>
            <w:r>
              <w:rPr>
                <w:b/>
                <w:bCs/>
                <w:color w:val="FFFFFF"/>
                <w:sz w:val="18"/>
                <w:szCs w:val="18"/>
              </w:rPr>
              <w:t xml:space="preserve">Artifact / step</w:t>
            </w:r>
          </w:p>
        </w:tc>
        <w:tc>
          <w:tcPr>
            <w:tcW w:type="dxa" w:w="6060"/>
            <w:shd w:fill="1F3864" w:val="clear"/>
            <w:tcMar>
              <w:top w:type="dxa" w:w="40"/>
              <w:left w:type="dxa" w:w="100"/>
              <w:bottom w:type="dxa" w:w="40"/>
              <w:right w:type="dxa" w:w="100"/>
            </w:tcMar>
          </w:tcPr>
          <w:p>
            <w:r>
              <w:rPr>
                <w:b/>
                <w:bCs/>
                <w:color w:val="FFFFFF"/>
                <w:sz w:val="18"/>
                <w:szCs w:val="18"/>
              </w:rPr>
              <w:t xml:space="preserve">Detail</w:t>
            </w:r>
          </w:p>
        </w:tc>
      </w:tr>
      <w:tr>
        <w:trPr>
          <w:tblHeader w:val="false"/>
        </w:trPr>
        <w:tc>
          <w:tcPr>
            <w:tcW w:type="dxa" w:w="3300"/>
            <w:shd w:fill="FFFFFF" w:val="clear"/>
            <w:tcMar>
              <w:top w:type="dxa" w:w="40"/>
              <w:left w:type="dxa" w:w="100"/>
              <w:bottom w:type="dxa" w:w="40"/>
              <w:right w:type="dxa" w:w="100"/>
            </w:tcMar>
          </w:tcPr>
          <w:p>
            <w:r>
              <w:rPr>
                <w:b w:val="false"/>
                <w:bCs w:val="false"/>
                <w:color w:val="000000"/>
                <w:sz w:val="18"/>
                <w:szCs w:val="18"/>
              </w:rPr>
              <w:t xml:space="preserve">model/xgb_pricing.json</w:t>
            </w:r>
          </w:p>
        </w:tc>
        <w:tc>
          <w:tcPr>
            <w:tcW w:type="dxa" w:w="6060"/>
            <w:shd w:fill="FFFFFF" w:val="clear"/>
            <w:tcMar>
              <w:top w:type="dxa" w:w="40"/>
              <w:left w:type="dxa" w:w="100"/>
              <w:bottom w:type="dxa" w:w="40"/>
              <w:right w:type="dxa" w:w="100"/>
            </w:tcMar>
          </w:tcPr>
          <w:p>
            <w:r>
              <w:rPr>
                <w:b w:val="false"/>
                <w:bCs w:val="false"/>
                <w:color w:val="000000"/>
                <w:sz w:val="18"/>
                <w:szCs w:val="18"/>
              </w:rPr>
              <w:t xml:space="preserve">Offer-conditioned acceptance model (ROC-AUC 0.775)</w:t>
            </w:r>
          </w:p>
        </w:tc>
      </w:tr>
      <w:tr>
        <w:trPr>
          <w:tblHeader w:val="false"/>
        </w:trPr>
        <w:tc>
          <w:tcPr>
            <w:tcW w:type="dxa" w:w="3300"/>
            <w:shd w:fill="F2F2F2" w:val="clear"/>
            <w:tcMar>
              <w:top w:type="dxa" w:w="40"/>
              <w:left w:type="dxa" w:w="100"/>
              <w:bottom w:type="dxa" w:w="40"/>
              <w:right w:type="dxa" w:w="100"/>
            </w:tcMar>
          </w:tcPr>
          <w:p>
            <w:r>
              <w:rPr>
                <w:b w:val="false"/>
                <w:bCs w:val="false"/>
                <w:color w:val="000000"/>
                <w:sz w:val="18"/>
                <w:szCs w:val="18"/>
              </w:rPr>
              <w:t xml:space="preserve">model/xgb_adoption.json</w:t>
            </w:r>
          </w:p>
        </w:tc>
        <w:tc>
          <w:tcPr>
            <w:tcW w:type="dxa" w:w="6060"/>
            <w:shd w:fill="F2F2F2" w:val="clear"/>
            <w:tcMar>
              <w:top w:type="dxa" w:w="40"/>
              <w:left w:type="dxa" w:w="100"/>
              <w:bottom w:type="dxa" w:w="40"/>
              <w:right w:type="dxa" w:w="100"/>
            </w:tcMar>
          </w:tcPr>
          <w:p>
            <w:r>
              <w:rPr>
                <w:b w:val="false"/>
                <w:bCs w:val="false"/>
                <w:color w:val="000000"/>
                <w:sz w:val="18"/>
                <w:szCs w:val="18"/>
              </w:rPr>
              <w:t xml:space="preserve">Adoption propensity model (ROC-AUC 0.65)</w:t>
            </w:r>
          </w:p>
        </w:tc>
      </w:tr>
      <w:tr>
        <w:trPr>
          <w:tblHeader w:val="false"/>
        </w:trPr>
        <w:tc>
          <w:tcPr>
            <w:tcW w:type="dxa" w:w="3300"/>
            <w:shd w:fill="FFFFFF" w:val="clear"/>
            <w:tcMar>
              <w:top w:type="dxa" w:w="40"/>
              <w:left w:type="dxa" w:w="100"/>
              <w:bottom w:type="dxa" w:w="40"/>
              <w:right w:type="dxa" w:w="100"/>
            </w:tcMar>
          </w:tcPr>
          <w:p>
            <w:r>
              <w:rPr>
                <w:b w:val="false"/>
                <w:bCs w:val="false"/>
                <w:color w:val="000000"/>
                <w:sz w:val="18"/>
                <w:szCs w:val="18"/>
              </w:rPr>
              <w:t xml:space="preserve">Reproduce (pricing)</w:t>
            </w:r>
          </w:p>
        </w:tc>
        <w:tc>
          <w:tcPr>
            <w:tcW w:type="dxa" w:w="6060"/>
            <w:shd w:fill="FFFFFF" w:val="clear"/>
            <w:tcMar>
              <w:top w:type="dxa" w:w="40"/>
              <w:left w:type="dxa" w:w="100"/>
              <w:bottom w:type="dxa" w:w="40"/>
              <w:right w:type="dxa" w:w="100"/>
            </w:tcMar>
          </w:tcPr>
          <w:p>
            <w:r>
              <w:rPr>
                <w:b w:val="false"/>
                <w:bCs w:val="false"/>
                <w:color w:val="000000"/>
                <w:sz w:val="18"/>
                <w:szCs w:val="18"/>
              </w:rPr>
              <w:t xml:space="preserve">generate_pricing_data.py → train_pricing.py → optimize_offers.py</w:t>
            </w:r>
          </w:p>
        </w:tc>
      </w:tr>
      <w:tr>
        <w:trPr>
          <w:tblHeader w:val="false"/>
        </w:trPr>
        <w:tc>
          <w:tcPr>
            <w:tcW w:type="dxa" w:w="3300"/>
            <w:shd w:fill="F2F2F2" w:val="clear"/>
            <w:tcMar>
              <w:top w:type="dxa" w:w="40"/>
              <w:left w:type="dxa" w:w="100"/>
              <w:bottom w:type="dxa" w:w="40"/>
              <w:right w:type="dxa" w:w="100"/>
            </w:tcMar>
          </w:tcPr>
          <w:p>
            <w:r>
              <w:rPr>
                <w:b w:val="false"/>
                <w:bCs w:val="false"/>
                <w:color w:val="000000"/>
                <w:sz w:val="18"/>
                <w:szCs w:val="18"/>
              </w:rPr>
              <w:t xml:space="preserve">Stack</w:t>
            </w:r>
          </w:p>
        </w:tc>
        <w:tc>
          <w:tcPr>
            <w:tcW w:type="dxa" w:w="6060"/>
            <w:shd w:fill="F2F2F2" w:val="clear"/>
            <w:tcMar>
              <w:top w:type="dxa" w:w="40"/>
              <w:left w:type="dxa" w:w="100"/>
              <w:bottom w:type="dxa" w:w="40"/>
              <w:right w:type="dxa" w:w="100"/>
            </w:tcMar>
          </w:tcPr>
          <w:p>
            <w:r>
              <w:rPr>
                <w:b w:val="false"/>
                <w:bCs w:val="false"/>
                <w:color w:val="000000"/>
                <w:sz w:val="18"/>
                <w:szCs w:val="18"/>
              </w:rPr>
              <w:t xml:space="preserve">XGBoost, scikit-learn, pandas, numpy (requirements.txt)</w:t>
            </w:r>
          </w:p>
        </w:tc>
      </w:tr>
    </w:tbl>
    <w:p>
      <w:pPr>
        <w:pStyle w:val="Heading1"/>
      </w:pPr>
      <w:r>
        <w:t xml:space="preserve">7. Requirements, Guardrails &amp; Next Steps</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000"/>
        <w:gridCol w:w="6360"/>
      </w:tblGrid>
      <w:tr>
        <w:trPr>
          <w:tblHeader/>
        </w:trPr>
        <w:tc>
          <w:tcPr>
            <w:tcW w:type="dxa" w:w="3000"/>
            <w:shd w:fill="1F3864" w:val="clear"/>
            <w:tcMar>
              <w:top w:type="dxa" w:w="40"/>
              <w:left w:type="dxa" w:w="100"/>
              <w:bottom w:type="dxa" w:w="40"/>
              <w:right w:type="dxa" w:w="100"/>
            </w:tcMar>
          </w:tcPr>
          <w:p>
            <w:r>
              <w:rPr>
                <w:b/>
                <w:bCs/>
                <w:color w:val="FFFFFF"/>
                <w:sz w:val="18"/>
                <w:szCs w:val="18"/>
              </w:rPr>
              <w:t xml:space="preserve">Requirement</w:t>
            </w:r>
          </w:p>
        </w:tc>
        <w:tc>
          <w:tcPr>
            <w:tcW w:type="dxa" w:w="6360"/>
            <w:shd w:fill="1F3864" w:val="clear"/>
            <w:tcMar>
              <w:top w:type="dxa" w:w="40"/>
              <w:left w:type="dxa" w:w="100"/>
              <w:bottom w:type="dxa" w:w="40"/>
              <w:right w:type="dxa" w:w="100"/>
            </w:tcMar>
          </w:tcPr>
          <w:p>
            <w:r>
              <w:rPr>
                <w:b/>
                <w:bCs/>
                <w:color w:val="FFFFFF"/>
                <w:sz w:val="18"/>
                <w:szCs w:val="18"/>
              </w:rPr>
              <w:t xml:space="preserve">Definition of done</w:t>
            </w:r>
          </w:p>
        </w:tc>
      </w:tr>
      <w:tr>
        <w:trPr>
          <w:tblHeader w:val="false"/>
        </w:trPr>
        <w:tc>
          <w:tcPr>
            <w:tcW w:type="dxa" w:w="3000"/>
            <w:shd w:fill="FFFFFF" w:val="clear"/>
            <w:tcMar>
              <w:top w:type="dxa" w:w="40"/>
              <w:left w:type="dxa" w:w="100"/>
              <w:bottom w:type="dxa" w:w="40"/>
              <w:right w:type="dxa" w:w="100"/>
            </w:tcMar>
          </w:tcPr>
          <w:p>
            <w:r>
              <w:rPr>
                <w:b w:val="false"/>
                <w:bCs w:val="false"/>
                <w:color w:val="000000"/>
                <w:sz w:val="18"/>
                <w:szCs w:val="18"/>
              </w:rPr>
              <w:t xml:space="preserve">Network compliance</w:t>
            </w:r>
          </w:p>
        </w:tc>
        <w:tc>
          <w:tcPr>
            <w:tcW w:type="dxa" w:w="6360"/>
            <w:shd w:fill="FFFFFF" w:val="clear"/>
            <w:tcMar>
              <w:top w:type="dxa" w:w="40"/>
              <w:left w:type="dxa" w:w="100"/>
              <w:bottom w:type="dxa" w:w="40"/>
              <w:right w:type="dxa" w:w="100"/>
            </w:tcMar>
          </w:tcPr>
          <w:p>
            <w:r>
              <w:rPr>
                <w:b w:val="false"/>
                <w:bCs w:val="false"/>
                <w:color w:val="000000"/>
                <w:sz w:val="18"/>
                <w:szCs w:val="18"/>
              </w:rPr>
              <w:t xml:space="preserve">Qualification uses published rules and evidence; no intentional misclassification or suppression of required data</w:t>
            </w:r>
          </w:p>
        </w:tc>
      </w:tr>
      <w:tr>
        <w:trPr>
          <w:tblHeader w:val="false"/>
        </w:trPr>
        <w:tc>
          <w:tcPr>
            <w:tcW w:type="dxa" w:w="3000"/>
            <w:shd w:fill="F2F2F2" w:val="clear"/>
            <w:tcMar>
              <w:top w:type="dxa" w:w="40"/>
              <w:left w:type="dxa" w:w="100"/>
              <w:bottom w:type="dxa" w:w="40"/>
              <w:right w:type="dxa" w:w="100"/>
            </w:tcMar>
          </w:tcPr>
          <w:p>
            <w:r>
              <w:rPr>
                <w:b w:val="false"/>
                <w:bCs w:val="false"/>
                <w:color w:val="000000"/>
                <w:sz w:val="18"/>
                <w:szCs w:val="18"/>
              </w:rPr>
              <w:t xml:space="preserve">Supplier transparency</w:t>
            </w:r>
          </w:p>
        </w:tc>
        <w:tc>
          <w:tcPr>
            <w:tcW w:type="dxa" w:w="6360"/>
            <w:shd w:fill="F2F2F2" w:val="clear"/>
            <w:tcMar>
              <w:top w:type="dxa" w:w="40"/>
              <w:left w:type="dxa" w:w="100"/>
              <w:bottom w:type="dxa" w:w="40"/>
              <w:right w:type="dxa" w:w="100"/>
            </w:tcMar>
          </w:tcPr>
          <w:p>
            <w:r>
              <w:rPr>
                <w:b w:val="false"/>
                <w:bCs w:val="false"/>
                <w:color w:val="000000"/>
                <w:sz w:val="18"/>
                <w:szCs w:val="18"/>
              </w:rPr>
              <w:t xml:space="preserve">Pricing, settlement, and material terms disclosed; baseline remittance data is never degraded to create lock-in</w:t>
            </w:r>
          </w:p>
        </w:tc>
      </w:tr>
      <w:tr>
        <w:trPr>
          <w:tblHeader w:val="false"/>
        </w:trPr>
        <w:tc>
          <w:tcPr>
            <w:tcW w:type="dxa" w:w="3000"/>
            <w:shd w:fill="FFFFFF" w:val="clear"/>
            <w:tcMar>
              <w:top w:type="dxa" w:w="40"/>
              <w:left w:type="dxa" w:w="100"/>
              <w:bottom w:type="dxa" w:w="40"/>
              <w:right w:type="dxa" w:w="100"/>
            </w:tcMar>
          </w:tcPr>
          <w:p>
            <w:r>
              <w:rPr>
                <w:b w:val="false"/>
                <w:bCs w:val="false"/>
                <w:color w:val="000000"/>
                <w:sz w:val="18"/>
                <w:szCs w:val="18"/>
              </w:rPr>
              <w:t xml:space="preserve">Rebate controls</w:t>
            </w:r>
          </w:p>
        </w:tc>
        <w:tc>
          <w:tcPr>
            <w:tcW w:type="dxa" w:w="6360"/>
            <w:shd w:fill="FFFFFF" w:val="clear"/>
            <w:tcMar>
              <w:top w:type="dxa" w:w="40"/>
              <w:left w:type="dxa" w:w="100"/>
              <w:bottom w:type="dxa" w:w="40"/>
              <w:right w:type="dxa" w:w="100"/>
            </w:tcMar>
          </w:tcPr>
          <w:p>
            <w:r>
              <w:rPr>
                <w:b w:val="false"/>
                <w:bCs w:val="false"/>
                <w:color w:val="000000"/>
                <w:sz w:val="18"/>
                <w:szCs w:val="18"/>
              </w:rPr>
              <w:t xml:space="preserve">Buyer rebates chosen from approved bands under finance/contract controls; rebate never exceeds expected net economics</w:t>
            </w:r>
          </w:p>
        </w:tc>
      </w:tr>
      <w:tr>
        <w:trPr>
          <w:tblHeader w:val="false"/>
        </w:trPr>
        <w:tc>
          <w:tcPr>
            <w:tcW w:type="dxa" w:w="3000"/>
            <w:shd w:fill="F2F2F2" w:val="clear"/>
            <w:tcMar>
              <w:top w:type="dxa" w:w="40"/>
              <w:left w:type="dxa" w:w="100"/>
              <w:bottom w:type="dxa" w:w="40"/>
              <w:right w:type="dxa" w:w="100"/>
            </w:tcMar>
          </w:tcPr>
          <w:p>
            <w:r>
              <w:rPr>
                <w:b w:val="false"/>
                <w:bCs w:val="false"/>
                <w:color w:val="000000"/>
                <w:sz w:val="18"/>
                <w:szCs w:val="18"/>
              </w:rPr>
              <w:t xml:space="preserve">Fairness</w:t>
            </w:r>
          </w:p>
        </w:tc>
        <w:tc>
          <w:tcPr>
            <w:tcW w:type="dxa" w:w="6360"/>
            <w:shd w:fill="F2F2F2" w:val="clear"/>
            <w:tcMar>
              <w:top w:type="dxa" w:w="40"/>
              <w:left w:type="dxa" w:w="100"/>
              <w:bottom w:type="dxa" w:w="40"/>
              <w:right w:type="dxa" w:w="100"/>
            </w:tcMar>
          </w:tcPr>
          <w:p>
            <w:r>
              <w:rPr>
                <w:b w:val="false"/>
                <w:bCs w:val="false"/>
                <w:color w:val="000000"/>
                <w:sz w:val="18"/>
                <w:szCs w:val="18"/>
              </w:rPr>
              <w:t xml:space="preserve">No sensitive personal attributes; price on economics only; enforce floors/caps and strategic overrides</w:t>
            </w:r>
          </w:p>
        </w:tc>
      </w:tr>
      <w:tr>
        <w:trPr>
          <w:tblHeader w:val="false"/>
        </w:trPr>
        <w:tc>
          <w:tcPr>
            <w:tcW w:type="dxa" w:w="3000"/>
            <w:shd w:fill="FFFFFF" w:val="clear"/>
            <w:tcMar>
              <w:top w:type="dxa" w:w="40"/>
              <w:left w:type="dxa" w:w="100"/>
              <w:bottom w:type="dxa" w:w="40"/>
              <w:right w:type="dxa" w:w="100"/>
            </w:tcMar>
          </w:tcPr>
          <w:p>
            <w:r>
              <w:rPr>
                <w:b w:val="false"/>
                <w:bCs w:val="false"/>
                <w:color w:val="000000"/>
                <w:sz w:val="18"/>
                <w:szCs w:val="18"/>
              </w:rPr>
              <w:t xml:space="preserve">Explainability &amp; audit</w:t>
            </w:r>
          </w:p>
        </w:tc>
        <w:tc>
          <w:tcPr>
            <w:tcW w:type="dxa" w:w="6360"/>
            <w:shd w:fill="FFFFFF" w:val="clear"/>
            <w:tcMar>
              <w:top w:type="dxa" w:w="40"/>
              <w:left w:type="dxa" w:w="100"/>
              <w:bottom w:type="dxa" w:w="40"/>
              <w:right w:type="dxa" w:w="100"/>
            </w:tcMar>
          </w:tcPr>
          <w:p>
            <w:r>
              <w:rPr>
                <w:b w:val="false"/>
                <w:bCs w:val="false"/>
                <w:color w:val="000000"/>
                <w:sz w:val="18"/>
                <w:szCs w:val="18"/>
              </w:rPr>
              <w:t xml:space="preserve">Every recommendation returns top drivers, expected economics, eligible alternatives, and policy reason codes</w:t>
            </w:r>
          </w:p>
        </w:tc>
      </w:tr>
    </w:tbl>
    <w:p>
      <w:pPr>
        <w:spacing w:before="60"/>
        <w:rPr>
          <w:color w:val="606060"/>
          <w:sz w:val="19"/>
          <w:szCs w:val="19"/>
        </w:rPr>
      </w:pPr>
      <w:r>
        <w:rPr>
          <w:color w:val="606060"/>
          <w:sz w:val="19"/>
          <w:szCs w:val="19"/>
        </w:rPr>
        <w:t xml:space="preserve">Deliberately NOT modeled as levers: supplier lock-in / switching difficulty, negotiating sophistication, or personal/behavioral data — that would be opaque extraction, not value-based pricing.</w:t>
      </w:r>
    </w:p>
    <w:p>
      <w:pPr>
        <w:spacing w:after="40" w:before="80"/>
        <w:rPr>
          <w:b/>
          <w:bCs/>
          <w:sz w:val="20"/>
          <w:szCs w:val="20"/>
        </w:rPr>
      </w:pPr>
      <w:r>
        <w:rPr>
          <w:b/>
          <w:bCs/>
          <w:sz w:val="20"/>
          <w:szCs w:val="20"/>
        </w:rPr>
        <w:t xml:space="preserve">Next steps:</w:t>
      </w:r>
    </w:p>
    <w:p>
      <w:pPr>
        <w:pStyle w:val="ListParagraph"/>
        <w:numPr>
          <w:ilvl w:val="0"/>
          <w:numId w:val="2"/>
        </w:numPr>
        <w:spacing w:after="40"/>
      </w:pPr>
      <w:r>
        <w:t xml:space="preserve">Prototype Model D (buyer rebate) by reusing the Model C pipeline with rebate as the decision variable and sign-propensity as the label.</w:t>
      </w:r>
    </w:p>
    <w:p>
      <w:pPr>
        <w:pStyle w:val="ListParagraph"/>
        <w:numPr>
          <w:ilvl w:val="0"/>
          <w:numId w:val="2"/>
        </w:numPr>
        <w:spacing w:after="40"/>
      </w:pPr>
      <w:r>
        <w:t xml:space="preserve">Live validation: historical backtest → shadow mode → randomized outreach/offer test → controlled rollout. North star = incremental 12-month accepted spend vs control.</w:t>
      </w:r>
    </w:p>
    <w:p>
      <w:pPr>
        <w:pStyle w:val="ListParagraph"/>
        <w:numPr>
          <w:ilvl w:val="0"/>
          <w:numId w:val="2"/>
        </w:numPr>
        <w:spacing w:after="40"/>
      </w:pPr>
      <w:r>
        <w:t xml:space="preserve">Integrate: expose recommended offers and rebates to the AP-automation agents; feed outcomes back for retraining.</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5"/>
        <w:szCs w:val="15"/>
      </w:rPr>
      <w:t xml:space="preserve">Confidential — Working Draft   |   Vendor Payment Intelligence PRD v0.4   |   Page </w:t>
    </w:r>
    <w:r>
      <w:rPr>
        <w:color w:val="808080"/>
        <w:sz w:val="15"/>
        <w:szCs w:val="15"/>
      </w:rPr>
      <w:fldChar w:fldCharType="begin"/>
      <w:instrText xml:space="preserve">PAGE</w:instrText>
      <w:fldChar w:fldCharType="separate"/>
      <w:fldChar w:fldCharType="end"/>
    </w:r>
    <w:r>
      <w:rPr>
        <w:color w:val="808080"/>
        <w:sz w:val="15"/>
        <w:szCs w:val="15"/>
      </w:rPr>
      <w:t xml:space="preserve"> / </w:t>
    </w:r>
    <w:r>
      <w:rPr>
        <w:color w:val="8080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E2F3" w:sz="4" w:space="3"/>
      </w:pBdr>
      <w:spacing w:after="100" w:before="200"/>
      <w:outlineLvl w:val="0"/>
    </w:pPr>
    <w:rPr>
      <w:rFonts w:ascii="Arial" w:cs="Arial" w:eastAsia="Arial" w:hAnsi="Arial"/>
      <w:b/>
      <w:bCs/>
      <w:color w:val="1F3864"/>
      <w:sz w:val="24"/>
      <w:szCs w:val="24"/>
    </w:rPr>
  </w:style>
  <w:style w:type="paragraph" w:styleId="Heading2">
    <w:name w:val="Heading 2"/>
    <w:basedOn w:val="Normal"/>
    <w:next w:val="Normal"/>
    <w:qFormat/>
    <w:pPr>
      <w:spacing w:after="70" w:before="140"/>
      <w:outlineLvl w:val="1"/>
    </w:pPr>
    <w:rPr>
      <w:rFonts w:ascii="Arial" w:cs="Arial" w:eastAsia="Arial" w:hAnsi="Arial"/>
      <w:b/>
      <w:bCs/>
      <w:color w:val="2E75B6"/>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dbsjnuyz7mxnxbvlf85p" Type="http://schemas.openxmlformats.org/officeDocument/2006/relationships/hyperlink" Target="https://github.com/nickblaze-4994/vendor-payment-intelligence"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Vendor Payment Intelligence PRD</dc:title>
  <dc:creator>Corpay Data Science</dc:creator>
  <cp:lastModifiedBy>Un-named</cp:lastModifiedBy>
  <cp:revision>1</cp:revision>
  <dcterms:created xsi:type="dcterms:W3CDTF">2026-07-06T13:19:02.394Z</dcterms:created>
  <dcterms:modified xsi:type="dcterms:W3CDTF">2026-07-06T13:19:02.399Z</dcterms:modified>
</cp:coreProperties>
</file>

<file path=docProps/custom.xml><?xml version="1.0" encoding="utf-8"?>
<Properties xmlns="http://schemas.openxmlformats.org/officeDocument/2006/custom-properties" xmlns:vt="http://schemas.openxmlformats.org/officeDocument/2006/docPropsVTypes"/>
</file>