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E75B6"/>
          <w:spacing w:val="20"/>
          <w:sz w:val="18"/>
          <w:szCs w:val="18"/>
        </w:rPr>
        <w:t xml:space="preserve">PRODUCT REQUIREMENTS DOCUMENT</w:t>
      </w:r>
    </w:p>
    <w:p>
      <w:pPr>
        <w:spacing w:after="0" w:before="60"/>
      </w:pPr>
      <w:r>
        <w:rPr>
          <w:b/>
          <w:bCs/>
          <w:color w:val="1F3864"/>
          <w:sz w:val="40"/>
          <w:szCs w:val="40"/>
        </w:rPr>
        <w:t xml:space="preserve">Vendor Payment Intelligence</w:t>
      </w:r>
    </w:p>
    <w:p>
      <w:pPr>
        <w:spacing w:after="40" w:before="40"/>
      </w:pPr>
      <w:r>
        <w:rPr>
          <w:color w:val="404040"/>
          <w:sz w:val="21"/>
          <w:szCs w:val="21"/>
        </w:rPr>
        <w:t xml:space="preserve">Value-based dynamic pricing for virtual-card supplier payments</w:t>
      </w:r>
    </w:p>
    <w:p>
      <w:pPr>
        <w:pBdr>
          <w:bottom w:val="single" w:color="2E75B6" w:sz="6" w:space="2"/>
        </w:pBdr>
        <w:spacing w:after="120"/>
      </w:pPr>
      <w:r>
        <w:rPr>
          <w:i/>
          <w:iCs/>
          <w:color w:val="C55A11"/>
          <w:sz w:val="18"/>
          <w:szCs w:val="18"/>
        </w:rPr>
        <w:t xml:space="preserve">v0.2  ·  July 6, 2026  ·  Working draft (synthetic-data prototype)  ·  Precursor to the Corpay Agentic AP Automation platform</w:t>
      </w:r>
    </w:p>
    <w:p>
      <w:pPr>
        <w:pStyle w:val="Heading1"/>
      </w:pPr>
      <w:r>
        <w:t xml:space="preserve">1. Summary</w:t>
      </w:r>
    </w:p>
    <w:p>
      <w:pPr>
        <w:spacing w:after="100"/>
      </w:pPr>
      <w:r>
        <w:t xml:space="preserve">Virtual card is Corpay's highest-margin rail, but a single static acceptance rate leaves value on the table and pushes away price-sensitive suppliers. This PRD specifies a vendor-specific dynamic-pricing engine whose objective is to maximize long-term payment volume and contribution while keeping supplier acceptance sustainable — pricing on each supplier's economics and the value delivered, not on how hard it would be for the supplier to leave.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Predictive model: </w:t>
      </w:r>
      <w:r>
        <w:t xml:space="preserve">an XGBoost acceptance model estimates P(accept) for a supplier given an offer, learning genuine price elasticity from the full economic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Optimizer: </w:t>
      </w:r>
      <w:r>
        <w:t xml:space="preserve">sweeps a core-lever offer grid (rate × settlement speed × fee cap, plus an ACH flat-fee fallback) and selects the offer with the highest expected long-term contribution, subject to policy and a sustainability floor.</w:t>
      </w:r>
    </w:p>
    <w:p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This layer decides who and how much; the separate AP Automation platform executes. Full code, models, and datasets are in the linked repository (§5).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8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8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Acceptance model</w:t>
            </w:r>
          </w:p>
        </w:tc>
        <w:tc>
          <w:tcPr>
            <w:tcW w:type="dxa" w:w="31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ROC-AUC / PR-AUC / Brier</w:t>
            </w:r>
          </w:p>
        </w:tc>
        <w:tc>
          <w:tcPr>
            <w:tcW w:type="dxa" w:w="31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0.775 / 0.846 / 0.190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Acceptance model</w:t>
            </w:r>
          </w:p>
        </w:tc>
        <w:tc>
          <w:tcPr>
            <w:tcW w:type="dxa" w:w="31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Learned rate elasticity</w:t>
            </w:r>
          </w:p>
        </w:tc>
        <w:tc>
          <w:tcPr>
            <w:tcW w:type="dxa" w:w="31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accept 0.77→0.51 across 80→280 bps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Optimizer</w:t>
            </w:r>
          </w:p>
        </w:tc>
        <w:tc>
          <w:tcPr>
            <w:tcW w:type="dxa" w:w="31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Portfolio</w:t>
            </w:r>
          </w:p>
        </w:tc>
        <w:tc>
          <w:tcPr>
            <w:tcW w:type="dxa" w:w="31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15,000 vendors priced; 81% card / 19% ACH fallback</w:t>
            </w:r>
          </w:p>
        </w:tc>
      </w:tr>
    </w:tbl>
    <w:p>
      <w:pPr>
        <w:pStyle w:val="Heading1"/>
      </w:pPr>
      <w:r>
        <w:t xml:space="preserve">2. Problem &amp; Objective</w:t>
      </w:r>
    </w:p>
    <w:p>
      <w:pPr>
        <w:spacing w:after="100"/>
      </w:pPr>
      <w:r>
        <w:t xml:space="preserve">Interchange is priced by transaction metadata and by supplier acceptance behavior. Corpay holds all the metadata and offers it in full as reconciliation value; the real pricing levers are the effective acceptance rate, settlement speed, and whether a fee cap or ACH fallback applies. A defensible engine must price each supplier on economics such as: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24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payment volume</w:t>
            </w:r>
          </w:p>
        </w:tc>
        <w:tc>
          <w:tcPr>
            <w:tcW w:type="dxa" w:w="62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Higher volume can justify a lower rate</w:t>
            </w:r>
          </w:p>
        </w:tc>
      </w:tr>
      <w:tr>
        <w:trPr>
          <w:tblHeader w:val="false"/>
        </w:trPr>
        <w:tc>
          <w:tcPr>
            <w:tcW w:type="dxa" w:w="312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invoice size</w:t>
            </w:r>
          </w:p>
        </w:tc>
        <w:tc>
          <w:tcPr>
            <w:tcW w:type="dxa" w:w="624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 invoices make percentage fees painful (absolute-dollar pain)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Supplier margin profile</w:t>
            </w:r>
          </w:p>
        </w:tc>
        <w:tc>
          <w:tcPr>
            <w:tcW w:type="dxa" w:w="62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Thin-margin suppliers resist card fees hardest</w:t>
            </w:r>
          </w:p>
        </w:tc>
      </w:tr>
      <w:tr>
        <w:trPr>
          <w:tblHeader w:val="false"/>
        </w:trPr>
        <w:tc>
          <w:tcPr>
            <w:tcW w:type="dxa" w:w="312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Payment-speed preference</w:t>
            </w:r>
          </w:p>
        </w:tc>
        <w:tc>
          <w:tcPr>
            <w:tcW w:type="dxa" w:w="624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Suppliers needing faster cash accept a higher fee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Card-acceptance history</w:t>
            </w:r>
          </w:p>
        </w:tc>
        <w:tc>
          <w:tcPr>
            <w:tcW w:type="dxa" w:w="62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Predicts likelihood of accepting virtual cards</w:t>
            </w:r>
          </w:p>
        </w:tc>
      </w:tr>
      <w:tr>
        <w:trPr>
          <w:tblHeader w:val="false"/>
        </w:trPr>
        <w:tc>
          <w:tcPr>
            <w:tcW w:type="dxa" w:w="312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Reconciliation complexity</w:t>
            </w:r>
          </w:p>
        </w:tc>
        <w:tc>
          <w:tcPr>
            <w:tcW w:type="dxa" w:w="624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Rich remittance metadata delivers more value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Industry / geography / currency</w:t>
            </w:r>
          </w:p>
        </w:tc>
        <w:tc>
          <w:tcPr>
            <w:tcW w:type="dxa" w:w="62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 economics, FX and settlement costs differ</w:t>
            </w:r>
          </w:p>
        </w:tc>
      </w:tr>
      <w:tr>
        <w:trPr>
          <w:tblHeader w:val="false"/>
        </w:trPr>
        <w:tc>
          <w:tcPr>
            <w:tcW w:type="dxa" w:w="312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Servicing cost</w:t>
            </w:r>
          </w:p>
        </w:tc>
        <w:tc>
          <w:tcPr>
            <w:tcW w:type="dxa" w:w="624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High-touch suppliers change the contribution math</w:t>
            </w:r>
          </w:p>
        </w:tc>
      </w:tr>
    </w:tbl>
    <w:p>
      <w:pPr>
        <w:spacing w:after="100"/>
        <w:rPr>
          <w:color w:val="606060"/>
          <w:sz w:val="19"/>
          <w:szCs w:val="19"/>
        </w:rPr>
      </w:pPr>
      <w:r>
        <w:rPr>
          <w:color w:val="606060"/>
          <w:sz w:val="19"/>
          <w:szCs w:val="19"/>
        </w:rPr>
        <w:t xml:space="preserve">Objective (explicit): maximize long-term contribution while keeping acceptance sustainable — NOT charge the highest possible fee to suppliers least able to leave. Rates illustrative; networks set interchange, Corpay optimizes the negotiable supplier package.</w:t>
      </w:r>
    </w:p>
    <w:p>
      <w:pPr>
        <w:pStyle w:val="Heading1"/>
      </w:pPr>
      <w:r>
        <w:t xml:space="preserve">3. System Design</w:t>
      </w:r>
    </w:p>
    <w:p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Four layers. The prototype builds layers 1–2; layers 3–4 are scoped as documented stubs.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 · Predictive models — </w:t>
      </w:r>
      <w:r>
        <w:t xml:space="preserve">offer-conditioned acceptance (built); churn and servicing-cost as future inputs.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 · Optimization engine — </w:t>
      </w:r>
      <w:r>
        <w:t xml:space="preserve">enumerates the offer grid, computes expected long-term contribution, picks the best offer under policy (built).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 · LLM signal extractor — </w:t>
      </w:r>
      <w:r>
        <w:t xml:space="preserve">reads supplier emails/contracts into structured signals (margin, speed preference, objections). Documented stub.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 · Policy layer — </w:t>
      </w:r>
      <w:r>
        <w:t xml:space="preserve">min/max pricing, fee caps, fairness (similar economics → similar offers), disclosure. Documented stub.</w:t>
      </w:r>
    </w:p>
    <w:p>
      <w:pPr>
        <w:pStyle w:val="Heading2"/>
      </w:pPr>
      <w:r>
        <w:t xml:space="preserve">Objective function</w:t>
      </w:r>
    </w:p>
    <w:p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For each candidate offer: annual_card = card_gross(offer) − servicing_cost; retention = 0.60 + 0.35·P(accept); E[LTV] = P(accept)·annual_card·Σ retentionᵗ + (1−P(accept))·ACH_annual·H. Only offers with P(accept) ≥ 0.40 are eligible, else the ACH fallback is recommended. The retention multiplier makes high-volume, thin-margin suppliers worth more at sustainable low rates — encoding the objective directly.</w:t>
      </w:r>
    </w:p>
    <w:p>
      <w:pPr>
        <w:pStyle w:val="Heading2"/>
      </w:pPr>
      <w:r>
        <w:t xml:space="preserve">Label discipline</w:t>
      </w:r>
    </w:p>
    <w:p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Acceptance labels are simulated outcomes of an offer (accept ~ Bernoulli(P)) driven by latent elasticity/capability the model never sees — so classes overlap and there is genuine Bayes error, not a rule the model can reverse-engineer. Acceptance is a function of the offer terms, letting the optimizer trade rate against acceptance.</w:t>
      </w:r>
    </w:p>
    <w:p>
      <w:pPr>
        <w:pStyle w:val="Heading1"/>
      </w:pPr>
      <w:r>
        <w:t xml:space="preserve">4. Experimentation &amp; Results</w:t>
      </w:r>
    </w:p>
    <w:p>
      <w:pPr>
        <w:pStyle w:val="Heading2"/>
      </w:pPr>
      <w:r>
        <w:t xml:space="preserve">Acceptance model (30,000 offer-conditioned rows, 15,000 vendors)</w:t>
      </w:r>
    </w:p>
    <w:p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Grouped train/test split (a vendor's offers never straddle the split). All updated economic variables are material — importances rank as the theory predicts: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 features (importance)</w:t>
            </w:r>
          </w:p>
        </w:tc>
        <w:tc>
          <w:tcPr>
            <w:tcW w:type="dxa" w:w="234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card_acceptance_history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supplier_margin_profile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0.27 / 0.20</w:t>
            </w:r>
          </w:p>
        </w:tc>
      </w:tr>
      <w:tr>
        <w:trPr>
          <w:tblHeader w:val="false"/>
        </w:trPr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offer_rate_bps (price lever)</w:t>
            </w:r>
          </w:p>
        </w:tc>
        <w:tc>
          <w:tcPr>
            <w:tcW w:type="dxa" w:w="234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payment_speed_preference</w:t>
            </w:r>
          </w:p>
        </w:tc>
        <w:tc>
          <w:tcPr>
            <w:tcW w:type="dxa" w:w="234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0.13 / 0.06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offer_settlement / industry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geography / reconciliation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0.06 / 0.05 · 0.04 / 0.03</w:t>
            </w:r>
          </w:p>
        </w:tc>
      </w:tr>
    </w:tbl>
    <w:p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Elasticity is learned: predicted acceptance declines monotonically as the offered rate rises (0.77 → 0.68 → 0.59 → 0.51 across 80/150/220/280 bps) — exactly what the optimizer needs.</w:t>
      </w:r>
    </w:p>
    <w:p>
      <w:pPr>
        <w:pStyle w:val="Heading2"/>
      </w:pPr>
      <w:r>
        <w:t xml:space="preserve">Optimizer — worked examples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760"/>
        <w:gridCol w:w="3000"/>
        <w:gridCol w:w="1400"/>
        <w:gridCol w:w="2200"/>
      </w:tblGrid>
      <w:tr>
        <w:trPr>
          <w:tblHeader/>
        </w:trPr>
        <w:tc>
          <w:tcPr>
            <w:tcW w:type="dxa" w:w="276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30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offer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P(accept)</w:t>
            </w:r>
          </w:p>
        </w:tc>
        <w:tc>
          <w:tcPr>
            <w:tcW w:type="dxa" w:w="22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7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· $20M, thin margin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0.80% · capped · next-day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Floor excludes high-rate/low-accept — sustainable</w:t>
            </w:r>
          </w:p>
        </w:tc>
      </w:tr>
      <w:tr>
        <w:trPr>
          <w:tblHeader w:val="false"/>
        </w:trPr>
        <w:tc>
          <w:tcPr>
            <w:tcW w:type="dxa" w:w="276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· $200k, wants liquidity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2.80% · same-day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0.88</w:t>
            </w:r>
          </w:p>
        </w:tc>
        <w:tc>
          <w:tcPr>
            <w:tcW w:type="dxa" w:w="22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Genuinely tolerates top rate; value, not extraction</w:t>
            </w:r>
          </w:p>
        </w:tc>
      </w:tr>
      <w:tr>
        <w:trPr>
          <w:tblHeader w:val="false"/>
        </w:trPr>
        <w:tc>
          <w:tcPr>
            <w:tcW w:type="dxa" w:w="27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· $1M invoices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0.80% · uncapped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Moved OFF 2.8% (accept collapsed to 0.23)</w:t>
            </w:r>
          </w:p>
        </w:tc>
      </w:tr>
    </w:tbl>
    <w:p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Supplier C shows the anti-extraction behavior: the large-invoice pain term collapses acceptance on high uncapped fees, so the optimizer walks the rate down. It also surfaced that capping ($500/txn) made the card unprofitable against servicing cost, so a low sustainable percentage wins. Portfolio: mean recommended card rate 233 bps, with a spread from 80 to 280 bps rather than a single static rate.</w:t>
      </w:r>
    </w:p>
    <w:p>
      <w:pPr>
        <w:pStyle w:val="Heading1"/>
      </w:pPr>
      <w:r>
        <w:t xml:space="preserve">5. Experimentation Methodology, Datasets &amp; Repository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Repository (private): </w:t>
      </w:r>
      <w:hyperlink w:history="1" r:id="rIdv-gh41gu8csqfj3amiquj">
        <w:r>
          <w:rPr>
            <w:rStyle w:val="Hyperlink"/>
            <w:sz w:val="18"/>
            <w:szCs w:val="18"/>
          </w:rPr>
          <w:t xml:space="preserve">https://github.com/nickblaze-4994/vendor-payment-intelligence</w:t>
        </w:r>
      </w:hyperlink>
    </w:p>
    <w:p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Method: synthetic vendors are generated with the full economic profile and latent traits; offers are sampled per vendor and acceptance simulated; XGBoost is trained on the (vendor, offer)→accept pairs; the optimizer sweeps the grid per vendor. All datasets are committed to the repo for reproducibility.</w:t>
      </w:r>
    </w:p>
    <w:p>
      <w:pPr>
        <w:pStyle w:val="Heading2"/>
      </w:pPr>
      <w:r>
        <w:t xml:space="preserve">Datasets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1560"/>
        <w:gridCol w:w="5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52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data/pricing.csv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Offer-conditioned acceptance training (15k vendors × 2 offers)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data/offers.csv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15,000</w:t>
            </w:r>
          </w:p>
        </w:tc>
        <w:tc>
          <w:tcPr>
            <w:tcW w:type="dxa" w:w="52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Optimizer output — recommended offer package per vendor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data/adoption.csv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25,000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VC adoption propensity over the ACH/check population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data/target_list.csv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3,152</w:t>
            </w:r>
          </w:p>
        </w:tc>
        <w:tc>
          <w:tcPr>
            <w:tcW w:type="dxa" w:w="52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Ranked enterprise ACH/check &gt;$100k conversion targets</w:t>
            </w:r>
          </w:p>
        </w:tc>
      </w:tr>
    </w:tbl>
    <w:p>
      <w:pPr>
        <w:pStyle w:val="Heading2"/>
      </w:pPr>
      <w:r>
        <w:t xml:space="preserve">Models &amp; reproduction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Artifact / step</w:t>
            </w:r>
          </w:p>
        </w:tc>
        <w:tc>
          <w:tcPr>
            <w:tcW w:type="dxa" w:w="606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model/xgb_pricing.json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Offer-conditioned acceptance model (ROC-AUC 0.775)</w:t>
            </w:r>
          </w:p>
        </w:tc>
      </w:tr>
      <w:tr>
        <w:trPr>
          <w:tblHeader w:val="false"/>
        </w:trPr>
        <w:tc>
          <w:tcPr>
            <w:tcW w:type="dxa" w:w="33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model/xgb_adoption.json</w:t>
            </w:r>
          </w:p>
        </w:tc>
        <w:tc>
          <w:tcPr>
            <w:tcW w:type="dxa" w:w="606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Adoption propensity model (ROC-AUC 0.65)</w:t>
            </w:r>
          </w:p>
        </w:tc>
      </w:tr>
      <w:tr>
        <w:trPr>
          <w:tblHeader w:val="false"/>
        </w:trPr>
        <w:tc>
          <w:tcPr>
            <w:tcW w:type="dxa" w:w="3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Reproduce (pricing)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generate_pricing_data.py → train_pricing.py → optimize_offers.py</w:t>
            </w:r>
          </w:p>
        </w:tc>
      </w:tr>
      <w:tr>
        <w:trPr>
          <w:tblHeader w:val="false"/>
        </w:trPr>
        <w:tc>
          <w:tcPr>
            <w:tcW w:type="dxa" w:w="33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606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XGBoost, scikit-learn, pandas, numpy (requirements.txt)</w:t>
            </w:r>
          </w:p>
        </w:tc>
      </w:tr>
    </w:tbl>
    <w:p>
      <w:pPr>
        <w:pStyle w:val="Heading1"/>
      </w:pPr>
      <w:r>
        <w:t xml:space="preserve">6. Economics, Risks &amp; Next Steps</w:t>
      </w:r>
    </w:p>
    <w:p>
      <w:pPr>
        <w:spacing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Guardrails &amp; risks: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Synthetic data — live validation on real acceptance/qualification outcomes required before production claims.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Fairness &amp; compliance — price on economics only; similar profiles get similar offers. A policy ceiling / margin-sharing rule should cap the broad pile of vendors that tolerate the top rate. Networks set interchange; models recommend, humans/agents apply and move money.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modeled as levers — supplier lock-in / switching difficulty, negotiating sophistication, or personal/behavioral data are deliberately excluded from the objective (that would be opaque extraction, not value-based pricing).</w:t>
      </w:r>
    </w:p>
    <w:p>
      <w:pPr>
        <w:spacing w:after="40" w:before="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Next steps: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churn and servicing-cost models as optimizer inputs; extend the objective to full lifetime value.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the policy layer (min/max, fee caps, fairness ceiling) and the LLM signal extractor (Claude) from stubs.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Integrate: expose recommended offers to the AP-automation negotiation/outreach agents; feed accept/decline outcomes back for retraining.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Confidential — Working Draft   |   Vendor Payment Intelligence PRD v0.2   |   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/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4" w:space="3"/>
      </w:pBdr>
      <w:spacing w:after="100" w:before="20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-gh41gu8csqfj3amiquj" Type="http://schemas.openxmlformats.org/officeDocument/2006/relationships/hyperlink" Target="https://github.com/nickblaze-4994/vendor-payment-intelligenc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Payment Intelligence PRD</dc:title>
  <dc:creator>Corpay Data Science</dc:creator>
  <cp:lastModifiedBy>Un-named</cp:lastModifiedBy>
  <cp:revision>1</cp:revision>
  <dcterms:created xsi:type="dcterms:W3CDTF">2026-07-06T10:31:39.968Z</dcterms:created>
  <dcterms:modified xsi:type="dcterms:W3CDTF">2026-07-06T10:31:39.974Z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