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2E75B6"/>
          <w:spacing w:val="20"/>
          <w:sz w:val="18"/>
          <w:szCs w:val="18"/>
        </w:rPr>
        <w:t xml:space="preserve">PRODUCT REQUIREMENTS DOCUMENT</w:t>
      </w:r>
    </w:p>
    <w:p>
      <w:pPr>
        <w:spacing w:after="0" w:before="60"/>
      </w:pPr>
      <w:r>
        <w:rPr>
          <w:b/>
          <w:bCs/>
          <w:color w:val="1F3864"/>
          <w:sz w:val="40"/>
          <w:szCs w:val="40"/>
        </w:rPr>
        <w:t xml:space="preserve">Vendor Payment Intelligence</w:t>
      </w:r>
    </w:p>
    <w:p>
      <w:pPr>
        <w:spacing w:after="40" w:before="40"/>
      </w:pPr>
      <w:r>
        <w:rPr>
          <w:color w:val="404040"/>
          <w:sz w:val="21"/>
          <w:szCs w:val="21"/>
        </w:rPr>
        <w:t xml:space="preserve">ML-driven supplier conversion, offer optimization, and interchange qualification</w:t>
      </w:r>
    </w:p>
    <w:p>
      <w:pPr>
        <w:pBdr>
          <w:bottom w:val="single" w:color="2E75B6" w:sz="6" w:space="2"/>
        </w:pBdr>
        <w:spacing w:after="120"/>
      </w:pPr>
      <w:r>
        <w:rPr>
          <w:i/>
          <w:iCs/>
          <w:color w:val="C55A11"/>
          <w:sz w:val="18"/>
          <w:szCs w:val="18"/>
        </w:rPr>
        <w:t xml:space="preserve">v0.3  ·  July 6, 2026  ·  Working draft (synthetic-data prototype)  ·  Precursor to the Corpay Agentic AP Automation platform</w:t>
      </w:r>
    </w:p>
    <w:p>
      <w:pPr>
        <w:pStyle w:val="Heading1"/>
      </w:pPr>
      <w:r>
        <w:t xml:space="preserve">1. Product Thesis</w:t>
      </w:r>
    </w:p>
    <w:p>
      <w:pPr>
        <w:spacing w:after="100"/>
      </w:pPr>
      <w:r>
        <w:t xml:space="preserve">Corpay can increase virtual-card contribution by making three linked decisions better: which ACH/check suppliers to approach, which transparent commercial offer to present, and which valid network program each accepted transaction should qualify for. The system is a decision layer; payment execution, authorization, ledger posting, and money movement remain in existing regulated systems.</w:t>
      </w:r>
    </w:p>
    <w:p>
      <w:pPr>
        <w:spacing w:after="100"/>
        <w:rPr>
          <w:b/>
          <w:bCs/>
          <w:color w:val="1F3864"/>
          <w:sz w:val="20"/>
          <w:szCs w:val="20"/>
        </w:rPr>
      </w:pPr>
      <w:r>
        <w:rPr>
          <w:b/>
          <w:bCs/>
          <w:color w:val="1F3864"/>
          <w:sz w:val="20"/>
          <w:szCs w:val="20"/>
        </w:rPr>
        <w:t xml:space="preserve">Core principle: optimize accepted spend and long-term contribution, not the highest fee on a single transaction.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340"/>
        <w:gridCol w:w="3900"/>
        <w:gridCol w:w="3120"/>
      </w:tblGrid>
      <w:tr>
        <w:trPr>
          <w:tblHeader/>
        </w:trPr>
        <w:tc>
          <w:tcPr>
            <w:tcW w:type="dxa" w:w="23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Decision product</w:t>
            </w:r>
          </w:p>
        </w:tc>
        <w:tc>
          <w:tcPr>
            <w:tcW w:type="dxa" w:w="39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Primary question</w:t>
            </w:r>
          </w:p>
        </w:tc>
        <w:tc>
          <w:tcPr>
            <w:tcW w:type="dxa" w:w="312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Production output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 · Supplier conversion propensity</w:t>
            </w:r>
          </w:p>
        </w:tc>
        <w:tc>
          <w:tcPr>
            <w:tcW w:type="dxa" w:w="39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Which suppliers are likely to accept virtual card at economically viable terms?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Ranked outreach queue with expected accepted spend</w:t>
            </w:r>
          </w:p>
        </w:tc>
      </w:tr>
      <w:tr>
        <w:trPr>
          <w:tblHeader w:val="false"/>
        </w:trPr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 · Offer optimization</w:t>
            </w:r>
          </w:p>
        </w:tc>
        <w:tc>
          <w:tcPr>
            <w:tcW w:type="dxa" w:w="39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Which offer maximizes expected long-term contribution for this supplier?</w:t>
            </w:r>
          </w:p>
        </w:tc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Rate/subsidy, fee cap, settlement speed, rebate share, rail fallback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· Qualification optimization</w:t>
            </w:r>
          </w:p>
        </w:tc>
        <w:tc>
          <w:tcPr>
            <w:tcW w:type="dxa" w:w="39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Which legitimate published interchange program can the transaction qualify for?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Required data fields, program eligibility, expected net economics</w:t>
            </w:r>
          </w:p>
        </w:tc>
      </w:tr>
    </w:tbl>
    <w:p>
      <w:pPr>
        <w:pStyle w:val="Heading1"/>
      </w:pPr>
      <w:r>
        <w:t xml:space="preserve">2. Problem &amp; Objective</w:t>
      </w:r>
    </w:p>
    <w:p>
      <w:pPr>
        <w:spacing w:after="100"/>
      </w:pPr>
      <w:r>
        <w:t xml:space="preserve">Virtual card is economically attractive, but adoption is constrained by supplier acceptance cost, invoice size, merchant pricing, operational burden, and relationship dynamics. Static campaigns waste effort on low-propensity suppliers; static offers overpay easy conversions and lose price-sensitive ones; and after conversion, incomplete qualification logic can leave legitimate interchange economics unrealized. A defensible engine prices each supplier on economics such as: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2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Why it matters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Annual payment volume</w:t>
            </w:r>
          </w:p>
        </w:tc>
        <w:tc>
          <w:tcPr>
            <w:tcW w:type="dxa" w:w="62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Higher volume can justify a lower rate</w:t>
            </w:r>
          </w:p>
        </w:tc>
      </w:tr>
      <w:tr>
        <w:trPr>
          <w:tblHeader w:val="false"/>
        </w:trPr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Average invoice size</w:t>
            </w:r>
          </w:p>
        </w:tc>
        <w:tc>
          <w:tcPr>
            <w:tcW w:type="dxa" w:w="62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Large invoices make percentage fees painful (absolute-dollar pain)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Supplier margin profile</w:t>
            </w:r>
          </w:p>
        </w:tc>
        <w:tc>
          <w:tcPr>
            <w:tcW w:type="dxa" w:w="62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Thin-margin suppliers resist card fees hardest</w:t>
            </w:r>
          </w:p>
        </w:tc>
      </w:tr>
      <w:tr>
        <w:trPr>
          <w:tblHeader w:val="false"/>
        </w:trPr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Payment-speed preference</w:t>
            </w:r>
          </w:p>
        </w:tc>
        <w:tc>
          <w:tcPr>
            <w:tcW w:type="dxa" w:w="62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Suppliers needing faster cash accept a higher fee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Card-acceptance history</w:t>
            </w:r>
          </w:p>
        </w:tc>
        <w:tc>
          <w:tcPr>
            <w:tcW w:type="dxa" w:w="62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Predicts likelihood of accepting virtual cards</w:t>
            </w:r>
          </w:p>
        </w:tc>
      </w:tr>
      <w:tr>
        <w:trPr>
          <w:tblHeader w:val="false"/>
        </w:trPr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Reconciliation complexity</w:t>
            </w:r>
          </w:p>
        </w:tc>
        <w:tc>
          <w:tcPr>
            <w:tcW w:type="dxa" w:w="62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Rich remittance metadata delivers more value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Industry / geography / currency</w:t>
            </w:r>
          </w:p>
        </w:tc>
        <w:tc>
          <w:tcPr>
            <w:tcW w:type="dxa" w:w="62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Card economics, FX and settlement costs differ</w:t>
            </w:r>
          </w:p>
        </w:tc>
      </w:tr>
      <w:tr>
        <w:trPr>
          <w:tblHeader w:val="false"/>
        </w:trPr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Servicing cost</w:t>
            </w:r>
          </w:p>
        </w:tc>
        <w:tc>
          <w:tcPr>
            <w:tcW w:type="dxa" w:w="62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High-touch suppliers change the contribution math</w:t>
            </w:r>
          </w:p>
        </w:tc>
      </w:tr>
    </w:tbl>
    <w:p>
      <w:pPr>
        <w:spacing w:after="100"/>
        <w:rPr>
          <w:color w:val="606060"/>
          <w:sz w:val="19"/>
          <w:szCs w:val="19"/>
        </w:rPr>
      </w:pPr>
      <w:r>
        <w:rPr>
          <w:color w:val="606060"/>
          <w:sz w:val="19"/>
          <w:szCs w:val="19"/>
        </w:rPr>
        <w:t xml:space="preserve">Objective (explicit): maximize long-term contribution while keeping acceptance sustainable — NOT charge the highest possible fee to suppliers least able to leave. Rates illustrative; networks set interchange, Corpay optimizes the negotiable, disclosed supplier package.</w:t>
      </w:r>
    </w:p>
    <w:p>
      <w:pPr>
        <w:pStyle w:val="Heading1"/>
      </w:pPr>
      <w:r>
        <w:t xml:space="preserve">3. Decision Products &amp; Design</w:t>
      </w:r>
    </w:p>
    <w:p>
      <w:pPr>
        <w:pStyle w:val="Heading2"/>
      </w:pPr>
      <w:r>
        <w:t xml:space="preserve">Model B — supplier conversion propensity</w:t>
      </w:r>
    </w:p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Predict enrollment probability, first-payment acceptance, and expected accepted spend over 12 months. Ranking is by economic value, not raw probability: priority = expected accepted spend × net take − enrollment cost − servicing cost − expected attrition loss.</w:t>
      </w:r>
    </w:p>
    <w:p>
      <w:pPr>
        <w:pStyle w:val="Heading2"/>
      </w:pPr>
      <w:r>
        <w:t xml:space="preserve">Model C — offer optimization</w:t>
      </w:r>
    </w:p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Select from approved, transparent packages — effective rate/subsidy, fee structure (percentage, fixed, capped, volume tiers), settlement speed, ACH rail fallback, and full-remittance service level. The engine estimates acceptance and lifetime contribution per eligible offer and picks the highest-value action within policy. Metadata is offered in full as reconciliation value; it is never withheld as a lever.</w:t>
      </w:r>
    </w:p>
    <w:p>
      <w:pPr>
        <w:pStyle w:val="Heading2"/>
      </w:pPr>
      <w:r>
        <w:t xml:space="preserve">Model A — interchange qualification optimization  (metadata)</w:t>
      </w:r>
    </w:p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For accepted virtual-card payments, determine the best valid published program and the exact fields required to qualify. This is NOT supplier-specific fee invention — eligibility is constrained by network rules, card product, MCC, geography, transaction type, settlement timing, acquirer submission, and data completeness.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Always transmit the complete remittance data required for supplier reconciliation and contractual obligations.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Optimize only across legitimate eligible programs; never misclassify or suppress required fields.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Baseline remittance data is never degraded to create lock-in.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Measure realized qualification rate and net contribution after buyer rebates, network costs, subsidies, support, and attrition.</w:t>
      </w:r>
    </w:p>
    <w:p>
      <w:pPr>
        <w:pStyle w:val="Heading2"/>
      </w:pPr>
      <w:r>
        <w:t xml:space="preserve">Objective function (Model C) &amp; label discipline</w:t>
      </w:r>
    </w:p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annual_card = card_gross(offer) − servicing_cost; retention = 0.60 + 0.35·P(accept); E[LTV] = P(accept)·annual_card·Σ retentionᵗ + (1−P(accept))·ACH_annual·H. Only offers with P(accept) ≥ 0.40 are eligible, else ACH fallback. The retention multiplier makes high-volume, thin-margin suppliers worth more at sustainable low rates. Acceptance labels are simulated offer outcomes (accept ~ Bernoulli(P)) driven by latent elasticity the model never sees, so the optimizer can trade rate against acceptance.</w:t>
      </w:r>
    </w:p>
    <w:p>
      <w:pPr>
        <w:pStyle w:val="Heading1"/>
      </w:pPr>
      <w:r>
        <w:t xml:space="preserve">4. Experimentation &amp; Results</w:t>
      </w:r>
    </w:p>
    <w:p>
      <w:pPr>
        <w:pStyle w:val="Heading2"/>
      </w:pPr>
      <w:r>
        <w:t xml:space="preserve">Acceptance model (30,000 offer-conditioned rows, 15,000 vendors)</w:t>
      </w:r>
    </w:p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Grouped train/test split (a vendor's offers never straddle the split). All updated economic variables are material — importances rank as the theory predicts: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Top features (importance)</w:t>
            </w:r>
          </w:p>
        </w:tc>
        <w:tc>
          <w:tcPr>
            <w:tcW w:type="dxa" w:w="23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3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card_acceptance_history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supplier_margin_profile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0.27 / 0.20</w:t>
            </w:r>
          </w:p>
        </w:tc>
      </w:tr>
      <w:tr>
        <w:trPr>
          <w:tblHeader w:val="false"/>
        </w:trPr>
        <w:tc>
          <w:tcPr>
            <w:tcW w:type="dxa" w:w="468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offer_rate_bps (price lever)</w:t>
            </w:r>
          </w:p>
        </w:tc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payment_speed_preference</w:t>
            </w:r>
          </w:p>
        </w:tc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0.13 / 0.06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offer_settlement / industry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geography / reconciliation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0.06 / 0.05 · 0.04 / 0.03</w:t>
            </w:r>
          </w:p>
        </w:tc>
      </w:tr>
    </w:tbl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Metrics: ROC-AUC 0.775, PR-AUC 0.846, Brier 0.190. Elasticity is learned — predicted acceptance declines monotonically as the offered rate rises (0.77 → 0.68 → 0.59 → 0.51 across 80/150/220/280 bps).</w:t>
      </w:r>
    </w:p>
    <w:p>
      <w:pPr>
        <w:pStyle w:val="Heading2"/>
      </w:pPr>
      <w:r>
        <w:t xml:space="preserve">Optimizer — worked examples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760"/>
        <w:gridCol w:w="3000"/>
        <w:gridCol w:w="1400"/>
        <w:gridCol w:w="2200"/>
      </w:tblGrid>
      <w:tr>
        <w:trPr>
          <w:tblHeader/>
        </w:trPr>
        <w:tc>
          <w:tcPr>
            <w:tcW w:type="dxa" w:w="276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Supplier</w:t>
            </w:r>
          </w:p>
        </w:tc>
        <w:tc>
          <w:tcPr>
            <w:tcW w:type="dxa" w:w="30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Recommended offer</w:t>
            </w:r>
          </w:p>
        </w:tc>
        <w:tc>
          <w:tcPr>
            <w:tcW w:type="dxa" w:w="14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P(accept)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27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· $20M, thin margin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0.80% · capped · next-day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0.73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Floor excludes high-rate/low-accept — sustainable</w:t>
            </w:r>
          </w:p>
        </w:tc>
      </w:tr>
      <w:tr>
        <w:trPr>
          <w:tblHeader w:val="false"/>
        </w:trPr>
        <w:tc>
          <w:tcPr>
            <w:tcW w:type="dxa" w:w="27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 · $200k, wants liquidity</w:t>
            </w:r>
          </w:p>
        </w:tc>
        <w:tc>
          <w:tcPr>
            <w:tcW w:type="dxa" w:w="30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2.80% · same-day</w:t>
            </w:r>
          </w:p>
        </w:tc>
        <w:tc>
          <w:tcPr>
            <w:tcW w:type="dxa" w:w="14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0.88</w:t>
            </w:r>
          </w:p>
        </w:tc>
        <w:tc>
          <w:tcPr>
            <w:tcW w:type="dxa" w:w="22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Genuinely tolerates top rate; value, not extraction</w:t>
            </w:r>
          </w:p>
        </w:tc>
      </w:tr>
      <w:tr>
        <w:trPr>
          <w:tblHeader w:val="false"/>
        </w:trPr>
        <w:tc>
          <w:tcPr>
            <w:tcW w:type="dxa" w:w="27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 · $1M invoices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0.80% · uncapped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0.50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Moved OFF 2.8% (accept collapsed to 0.23)</w:t>
            </w:r>
          </w:p>
        </w:tc>
      </w:tr>
    </w:tbl>
    <w:p>
      <w:pPr>
        <w:spacing w:after="100"/>
        <w:rPr>
          <w:color w:val="606060"/>
          <w:sz w:val="19"/>
          <w:szCs w:val="19"/>
        </w:rPr>
      </w:pPr>
      <w:r>
        <w:rPr>
          <w:color w:val="606060"/>
          <w:sz w:val="19"/>
          <w:szCs w:val="19"/>
        </w:rPr>
        <w:t xml:space="preserve">Honest interpretation: the synthetic prototype validates pipeline mechanics and metric definitions, not production lift — labels come from the same simulated world as the features. The 5-fold CV lift (0.786 vs 0.773) and 0.117 train/test gap are to be validated, not treated as safe.</w:t>
      </w:r>
    </w:p>
    <w:p>
      <w:pPr>
        <w:pStyle w:val="Heading1"/>
      </w:pPr>
      <w:r>
        <w:t xml:space="preserve">5. Experimentation Methodology, Datasets &amp; Repository</w:t>
      </w:r>
    </w:p>
    <w:p>
      <w:pPr>
        <w:spacing w:after="100"/>
      </w:pPr>
      <w:r>
        <w:rPr>
          <w:b/>
          <w:bCs/>
          <w:sz w:val="19"/>
          <w:szCs w:val="19"/>
        </w:rPr>
        <w:t xml:space="preserve">Repository (private): </w:t>
      </w:r>
      <w:hyperlink w:history="1" r:id="rIdls64homnzbrrlazq-6myb">
        <w:r>
          <w:rPr>
            <w:rStyle w:val="Hyperlink"/>
            <w:sz w:val="18"/>
            <w:szCs w:val="18"/>
          </w:rPr>
          <w:t xml:space="preserve">https://github.com/nickblaze-4994/vendor-payment-intelligence</w:t>
        </w:r>
      </w:hyperlink>
    </w:p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Method: synthetic vendors are generated with the full economic profile and latent traits; offers are sampled per vendor and acceptance simulated; XGBoost is trained on the (vendor, offer)→accept pairs; the optimizer sweeps the grid per vendor. All datasets are committed to the repo for reproducibility.</w:t>
      </w:r>
    </w:p>
    <w:p>
      <w:pPr>
        <w:pStyle w:val="Heading2"/>
      </w:pPr>
      <w:r>
        <w:t xml:space="preserve">Datasets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600"/>
        <w:gridCol w:w="1560"/>
        <w:gridCol w:w="52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156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Rows</w:t>
            </w:r>
          </w:p>
        </w:tc>
        <w:tc>
          <w:tcPr>
            <w:tcW w:type="dxa" w:w="52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data/pricing.csv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30,000</w:t>
            </w:r>
          </w:p>
        </w:tc>
        <w:tc>
          <w:tcPr>
            <w:tcW w:type="dxa" w:w="52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Offer-conditioned acceptance training (15k vendors × 2 offers)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data/offers.csv</w:t>
            </w:r>
          </w:p>
        </w:tc>
        <w:tc>
          <w:tcPr>
            <w:tcW w:type="dxa" w:w="15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15,000</w:t>
            </w:r>
          </w:p>
        </w:tc>
        <w:tc>
          <w:tcPr>
            <w:tcW w:type="dxa" w:w="52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Optimizer output — recommended offer package per vendor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data/adoption.csv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25,000</w:t>
            </w:r>
          </w:p>
        </w:tc>
        <w:tc>
          <w:tcPr>
            <w:tcW w:type="dxa" w:w="52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VC adoption propensity over the ACH/check population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data/target_list.csv</w:t>
            </w:r>
          </w:p>
        </w:tc>
        <w:tc>
          <w:tcPr>
            <w:tcW w:type="dxa" w:w="15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3,152</w:t>
            </w:r>
          </w:p>
        </w:tc>
        <w:tc>
          <w:tcPr>
            <w:tcW w:type="dxa" w:w="52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Ranked enterprise ACH/check &gt;$100k conversion targets</w:t>
            </w:r>
          </w:p>
        </w:tc>
      </w:tr>
    </w:tbl>
    <w:p>
      <w:pPr>
        <w:pStyle w:val="Heading2"/>
      </w:pPr>
      <w:r>
        <w:t xml:space="preserve">Models &amp; reproduction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Artifact / step</w:t>
            </w:r>
          </w:p>
        </w:tc>
        <w:tc>
          <w:tcPr>
            <w:tcW w:type="dxa" w:w="606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33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model/xgb_pricing.json</w:t>
            </w:r>
          </w:p>
        </w:tc>
        <w:tc>
          <w:tcPr>
            <w:tcW w:type="dxa" w:w="60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Offer-conditioned acceptance model (ROC-AUC 0.775)</w:t>
            </w:r>
          </w:p>
        </w:tc>
      </w:tr>
      <w:tr>
        <w:trPr>
          <w:tblHeader w:val="false"/>
        </w:trPr>
        <w:tc>
          <w:tcPr>
            <w:tcW w:type="dxa" w:w="33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model/xgb_adoption.json</w:t>
            </w:r>
          </w:p>
        </w:tc>
        <w:tc>
          <w:tcPr>
            <w:tcW w:type="dxa" w:w="60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Adoption propensity model (ROC-AUC 0.65)</w:t>
            </w:r>
          </w:p>
        </w:tc>
      </w:tr>
      <w:tr>
        <w:trPr>
          <w:tblHeader w:val="false"/>
        </w:trPr>
        <w:tc>
          <w:tcPr>
            <w:tcW w:type="dxa" w:w="33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Reproduce (pricing)</w:t>
            </w:r>
          </w:p>
        </w:tc>
        <w:tc>
          <w:tcPr>
            <w:tcW w:type="dxa" w:w="60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generate_pricing_data.py → train_pricing.py → optimize_offers.py</w:t>
            </w:r>
          </w:p>
        </w:tc>
      </w:tr>
      <w:tr>
        <w:trPr>
          <w:tblHeader w:val="false"/>
        </w:trPr>
        <w:tc>
          <w:tcPr>
            <w:tcW w:type="dxa" w:w="33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Stack</w:t>
            </w:r>
          </w:p>
        </w:tc>
        <w:tc>
          <w:tcPr>
            <w:tcW w:type="dxa" w:w="60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XGBoost, scikit-learn, pandas, numpy (requirements.txt)</w:t>
            </w:r>
          </w:p>
        </w:tc>
      </w:tr>
    </w:tbl>
    <w:p>
      <w:pPr>
        <w:pStyle w:val="Heading1"/>
      </w:pPr>
      <w:r>
        <w:t xml:space="preserve">6. Requirements, Guardrails &amp; Next Steps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36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Definition of done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Network compliance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Qualification uses published rules and evidence; no intentional misclassification or suppression of required data</w:t>
            </w:r>
          </w:p>
        </w:tc>
      </w:tr>
      <w:tr>
        <w:trPr>
          <w:tblHeader w:val="false"/>
        </w:trPr>
        <w:tc>
          <w:tcPr>
            <w:tcW w:type="dxa" w:w="30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Supplier transparency</w:t>
            </w:r>
          </w:p>
        </w:tc>
        <w:tc>
          <w:tcPr>
            <w:tcW w:type="dxa" w:w="63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Pricing, settlement, and material terms disclosed; baseline remittance data is never degraded to create lock-in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Fairness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 sensitive personal attributes; price on economics only; enforce rate floors/caps and strategic-supplier overrides</w:t>
            </w:r>
          </w:p>
        </w:tc>
      </w:tr>
      <w:tr>
        <w:trPr>
          <w:tblHeader w:val="false"/>
        </w:trPr>
        <w:tc>
          <w:tcPr>
            <w:tcW w:type="dxa" w:w="30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Human control</w:t>
            </w:r>
          </w:p>
        </w:tc>
        <w:tc>
          <w:tcPr>
            <w:tcW w:type="dxa" w:w="63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Strategic suppliers, high spend, or unusual pricing require approval before offer or payment changes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Explainability &amp; audit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Every recommendation returns top drivers, expected economics, eligible alternatives, and policy reason codes; persist model version + realized economics</w:t>
            </w:r>
          </w:p>
        </w:tc>
      </w:tr>
    </w:tbl>
    <w:p>
      <w:pPr>
        <w:spacing w:before="60"/>
        <w:rPr>
          <w:color w:val="606060"/>
          <w:sz w:val="19"/>
          <w:szCs w:val="19"/>
        </w:rPr>
      </w:pPr>
      <w:r>
        <w:rPr>
          <w:color w:val="606060"/>
          <w:sz w:val="19"/>
          <w:szCs w:val="19"/>
        </w:rPr>
        <w:t xml:space="preserve">Deliberately NOT modeled as levers: supplier lock-in / switching difficulty, negotiating sophistication, or personal/behavioral data — that would be opaque extraction, not value-based pricing.</w:t>
      </w:r>
    </w:p>
    <w:p>
      <w:pPr>
        <w:spacing w:after="40" w:before="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Next steps: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Live validation: historical backtest → shadow mode → randomized outreach test → offer experiment → controlled rollout. North star = incremental 12-month accepted spend vs control.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 churn and servicing-cost models; build the policy layer (min/max, fee caps, fairness ceiling) and the LLM signal extractor (Claude) from stubs.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Integrate: expose recommended offers to the AP-automation outreach agents; feed accept/decline outcomes back for retraining.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5"/>
        <w:szCs w:val="15"/>
      </w:rPr>
      <w:t xml:space="preserve">Confidential — Working Draft   |   Vendor Payment Intelligence PRD v0.3   |   Page </w:t>
    </w:r>
    <w:r>
      <w:rPr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5"/>
        <w:szCs w:val="15"/>
      </w:rPr>
      <w:t xml:space="preserve"> / </w:t>
    </w:r>
    <w:r>
      <w:rPr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E2F3" w:sz="4" w:space="3"/>
      </w:pBdr>
      <w:spacing w:after="100" w:before="20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70" w:before="140"/>
      <w:outlineLvl w:val="1"/>
    </w:pPr>
    <w:rPr>
      <w:rFonts w:ascii="Arial" w:cs="Arial" w:eastAsia="Arial" w:hAnsi="Arial"/>
      <w:b/>
      <w:bCs/>
      <w:color w:val="2E75B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s64homnzbrrlazq-6myb" Type="http://schemas.openxmlformats.org/officeDocument/2006/relationships/hyperlink" Target="https://github.com/nickblaze-4994/vendor-payment-intelligenc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Payment Intelligence PRD</dc:title>
  <dc:creator>Corpay Data Science</dc:creator>
  <cp:lastModifiedBy>Un-named</cp:lastModifiedBy>
  <cp:revision>1</cp:revision>
  <dcterms:created xsi:type="dcterms:W3CDTF">2026-07-06T11:08:19.693Z</dcterms:created>
  <dcterms:modified xsi:type="dcterms:W3CDTF">2026-07-06T11:08:19.697Z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