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2E75B6"/>
          <w:spacing w:val="20"/>
          <w:sz w:val="18"/>
          <w:szCs w:val="18"/>
        </w:rPr>
        <w:t xml:space="preserve">PRODUCT REQUIREMENTS DOCUMENT</w:t>
      </w:r>
    </w:p>
    <w:p>
      <w:pPr>
        <w:spacing w:after="0" w:before="60"/>
      </w:pPr>
      <w:r>
        <w:rPr>
          <w:b/>
          <w:bCs/>
          <w:color w:val="1F3864"/>
          <w:sz w:val="40"/>
          <w:szCs w:val="40"/>
        </w:rPr>
        <w:t xml:space="preserve">Vendor Payment Intelligence</w:t>
      </w:r>
    </w:p>
    <w:p>
      <w:pPr>
        <w:spacing w:after="40" w:before="40"/>
      </w:pPr>
      <w:r>
        <w:rPr>
          <w:color w:val="404040"/>
          <w:sz w:val="21"/>
          <w:szCs w:val="21"/>
        </w:rPr>
        <w:t xml:space="preserve">ML-driven virtual-card adoption targeting &amp; interchange metadata optimization</w:t>
      </w:r>
    </w:p>
    <w:p>
      <w:pPr>
        <w:pBdr>
          <w:bottom w:val="single" w:color="2E75B6" w:sz="6" w:space="2"/>
        </w:pBdr>
        <w:spacing w:after="120"/>
      </w:pPr>
      <w:r>
        <w:rPr>
          <w:i/>
          <w:iCs/>
          <w:color w:val="C55A11"/>
          <w:sz w:val="18"/>
          <w:szCs w:val="18"/>
        </w:rPr>
        <w:t xml:space="preserve">v0.1  ·  July 6, 2026  ·  Working draft (synthetic-data prototype)  ·  Precursor to the Corpay Agentic AP Automation platform</w:t>
      </w:r>
    </w:p>
    <w:p>
      <w:pPr>
        <w:pStyle w:val="Heading1"/>
      </w:pPr>
      <w:r>
        <w:t xml:space="preserve">1. Summary</w:t>
      </w:r>
    </w:p>
    <w:p>
      <w:pPr>
        <w:spacing w:after="100"/>
      </w:pPr>
      <w:r>
        <w:t xml:space="preserve">Virtual card is Corpay's highest-margin payment rail, but its economics are governed by two levers: which vendors get moved onto virtual card, and how much metadata is released on each authorization (metadata determines the interchange program the transaction qualifies for). This PRD specifies a two-model ML system for both levers and reports prototype results on a synthetic, segment-realistic vendor universe.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Concept B — Adoption targeting: </w:t>
      </w:r>
      <w:r>
        <w:t xml:space="preserve">scores which ACH/check vendors would accept a virtual card; ranks enterprise vendors &gt;$100k spend into a conversion hit-list by expected revenue.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Concept A — Metadata dynamic pricing: </w:t>
      </w:r>
      <w:r>
        <w:t xml:space="preserve">chooses per vendor whether to acquire (release full metadata, low rate) or extract (withhold, high rate) based on churn risk and lock-in.</w:t>
      </w:r>
    </w:p>
    <w:p>
      <w:pPr>
        <w:spacing w:after="100"/>
      </w:pPr>
      <w:r>
        <w:t xml:space="preserve">This layer decides who and how much; the separate AP Automation platform executes (outreach, payments). The adoption list becomes the agents' work queue; the metadata strategy becomes a payment parameter. Building decisioning first proves the economic signal exists before agents act on it.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351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 metric</w:t>
            </w:r>
          </w:p>
        </w:tc>
        <w:tc>
          <w:tcPr>
            <w:tcW w:type="dxa" w:w="351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 vs baseline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 — Adoption</w:t>
            </w:r>
          </w:p>
        </w:tc>
        <w:tc>
          <w:tcPr>
            <w:tcW w:type="dxa" w:w="351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Precision@50 (ranked targets)</w:t>
            </w:r>
          </w:p>
        </w:tc>
        <w:tc>
          <w:tcPr>
            <w:tcW w:type="dxa" w:w="351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0.80  (1.6× lift over 0.50 base)</w:t>
            </w:r>
          </w:p>
        </w:tc>
      </w:tr>
      <w:tr>
        <w:trPr>
          <w:tblHeader w:val="false"/>
        </w:trPr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 — Adoption</w:t>
            </w:r>
          </w:p>
        </w:tc>
        <w:tc>
          <w:tcPr>
            <w:tcW w:type="dxa" w:w="351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ROC-AUC / PR-AUC / Brier</w:t>
            </w:r>
          </w:p>
        </w:tc>
        <w:tc>
          <w:tcPr>
            <w:tcW w:type="dxa" w:w="351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0.65 / 0.63 / 0.23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— Metadata</w:t>
            </w:r>
          </w:p>
        </w:tc>
        <w:tc>
          <w:tcPr>
            <w:tcW w:type="dxa" w:w="351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Macro-F1</w:t>
            </w:r>
          </w:p>
        </w:tc>
        <w:tc>
          <w:tcPr>
            <w:tcW w:type="dxa" w:w="351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0.57  vs 0.29 always-extract</w:t>
            </w:r>
          </w:p>
        </w:tc>
      </w:tr>
      <w:tr>
        <w:trPr>
          <w:tblHeader w:val="false"/>
        </w:trPr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 — Metadata</w:t>
            </w:r>
          </w:p>
        </w:tc>
        <w:tc>
          <w:tcPr>
            <w:tcW w:type="dxa" w:w="351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5-fold CV accuracy</w:t>
            </w:r>
          </w:p>
        </w:tc>
        <w:tc>
          <w:tcPr>
            <w:tcW w:type="dxa" w:w="351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0.786  vs 0.773 majority</w:t>
            </w:r>
          </w:p>
        </w:tc>
      </w:tr>
    </w:tbl>
    <w:p>
      <w:pPr>
        <w:pStyle w:val="Heading1"/>
      </w:pPr>
      <w:r>
        <w:t xml:space="preserve">2. Problem</w:t>
      </w:r>
    </w:p>
    <w:p>
      <w:pPr>
        <w:spacing w:after="100"/>
      </w:pPr>
      <w:r>
        <w:t xml:space="preserve">Interchange is priced by metadata level (L1 basic → L3 full line-item). Corpay holds all the fields; the lever is how much to release per transaction. Meanwhile most B2B spend is not on virtual card — share depends heavily on segment (estimated market ranges, not a Corpay disclosure):</w:t>
      </w:r>
    </w:p>
    <w:p>
      <w:pPr>
        <w:spacing w:after="80"/>
      </w:pP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Release strategy</w:t>
            </w:r>
          </w:p>
        </w:tc>
        <w:tc>
          <w:tcPr>
            <w:tcW w:type="dxa" w:w="31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Metadata</w:t>
            </w:r>
          </w:p>
        </w:tc>
        <w:tc>
          <w:tcPr>
            <w:tcW w:type="dxa" w:w="31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Illustrative interchange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send_minimal (extract)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Lean / L1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~2.5% — highest issuer revenue</w:t>
            </w:r>
          </w:p>
        </w:tc>
      </w:tr>
      <w:tr>
        <w:trPr>
          <w:tblHeader w:val="false"/>
        </w:trPr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send_partial (balance)</w:t>
            </w:r>
          </w:p>
        </w:tc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Medium / L2</w:t>
            </w:r>
          </w:p>
        </w:tc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~1.9%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send_full (acquire)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Full L2/L3</w:t>
            </w:r>
          </w:p>
        </w:tc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~1.2% — lowest vendor cost</w:t>
            </w:r>
          </w:p>
        </w:tc>
      </w:tr>
    </w:tbl>
    <w:p>
      <w:pPr>
        <w:spacing w:after="60" w:before="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Market payment mix by segment (transaction share):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7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165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Virtual card</w:t>
            </w:r>
          </w:p>
        </w:tc>
        <w:tc>
          <w:tcPr>
            <w:tcW w:type="dxa" w:w="165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ACH</w:t>
            </w:r>
          </w:p>
        </w:tc>
        <w:tc>
          <w:tcPr>
            <w:tcW w:type="dxa" w:w="165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165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Wire/Other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Enterprise (avg)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10–20%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45–55%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15–25%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15–25%</w:t>
            </w:r>
          </w:p>
        </w:tc>
      </w:tr>
      <w:tr>
        <w:trPr>
          <w:tblHeader w:val="false"/>
        </w:trPr>
        <w:tc>
          <w:tcPr>
            <w:tcW w:type="dxa" w:w="27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Mature Corpay enterprise</w:t>
            </w:r>
          </w:p>
        </w:tc>
        <w:tc>
          <w:tcPr>
            <w:tcW w:type="dxa" w:w="165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20–35%</w:t>
            </w:r>
          </w:p>
        </w:tc>
        <w:tc>
          <w:tcPr>
            <w:tcW w:type="dxa" w:w="165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40–50%</w:t>
            </w:r>
          </w:p>
        </w:tc>
        <w:tc>
          <w:tcPr>
            <w:tcW w:type="dxa" w:w="165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10–20%</w:t>
            </w:r>
          </w:p>
        </w:tc>
        <w:tc>
          <w:tcPr>
            <w:tcW w:type="dxa" w:w="165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~13–17%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SMB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3–8%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30–40%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35–45%</w:t>
            </w:r>
          </w:p>
        </w:tc>
        <w:tc>
          <w:tcPr>
            <w:tcW w:type="dxa" w:w="165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15–30%</w:t>
            </w:r>
          </w:p>
        </w:tc>
      </w:tr>
    </w:tbl>
    <w:p>
      <w:pPr>
        <w:spacing w:after="100"/>
        <w:rPr>
          <w:color w:val="606060"/>
          <w:sz w:val="19"/>
          <w:szCs w:val="19"/>
        </w:rPr>
      </w:pPr>
      <w:r>
        <w:rPr>
          <w:color w:val="606060"/>
          <w:sz w:val="19"/>
          <w:szCs w:val="19"/>
        </w:rPr>
        <w:t xml:space="preserve">Two problems worth modeling: (1) acquisition — prioritize high-value ACH/check vendors likely to accept; (2) yield — pick the metadata strategy per vendor. Rates illustrative; networks set interchange, Corpay optimizes which published program qualifies.</w:t>
      </w:r>
    </w:p>
    <w:p>
      <w:pPr>
        <w:pStyle w:val="Heading1"/>
      </w:pPr>
      <w:r>
        <w:t xml:space="preserve">3. Approach</w:t>
      </w:r>
    </w:p>
    <w:p>
      <w:pPr>
        <w:spacing w:after="100"/>
        <w:rPr>
          <w:b/>
          <w:bCs/>
          <w:color w:val="1F3864"/>
          <w:sz w:val="20"/>
          <w:szCs w:val="20"/>
        </w:rPr>
      </w:pPr>
      <w:r>
        <w:rPr>
          <w:b/>
          <w:bCs/>
          <w:color w:val="1F3864"/>
          <w:sz w:val="20"/>
          <w:szCs w:val="20"/>
        </w:rPr>
        <w:t xml:space="preserve">One lifecycle over a shared feature layer:  ACH/check vendor → [B: adoption targeting] → convert → [A: metadata pricing] → optimize interchange over time.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Unifying insight — metadata is also an acquisition lever: </w:t>
      </w:r>
      <w:r>
        <w:t xml:space="preserve">releasing full metadata lowers the supplier's acceptance cost, raising P(accept). Acquire cheap, then extract as tenure/lock-in grow.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Anti-circular labels: </w:t>
      </w:r>
      <w:r>
        <w:t xml:space="preserve">labels come from simulated outcomes driven by latent traits (fee elasticity, loyalty, card-acceptance capability) the model never sees — so classes overlap and there is genuine Bayes error, not a rule the model can reverse-engineer.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Models: </w:t>
      </w:r>
      <w:r>
        <w:t xml:space="preserve">XGBoost — multiclass for A, binary propensity for B; balanced weights; 20k / 25k synthetic vendors with segment-conditioned rail mixes.</w:t>
      </w:r>
    </w:p>
    <w:p>
      <w:pPr>
        <w:pStyle w:val="Heading1"/>
      </w:pPr>
      <w:r>
        <w:t xml:space="preserve">4. Experimentation &amp; Results</w:t>
      </w:r>
    </w:p>
    <w:p>
      <w:pPr>
        <w:pStyle w:val="Heading2"/>
      </w:pPr>
      <w:r>
        <w:t xml:space="preserve">Concept A — Metadata dynamic pricing (20k vendors on virtual card)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Baseline</w:t>
            </w:r>
          </w:p>
        </w:tc>
        <w:tc>
          <w:tcPr>
            <w:tcW w:type="dxa" w:w="23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5-fold CV accuracy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0.786 ± 0.002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0.773 majority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beats baseline</w:t>
            </w:r>
          </w:p>
        </w:tc>
      </w:tr>
      <w:tr>
        <w:trPr>
          <w:tblHeader w:val="false"/>
        </w:trPr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Macro-F1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0.566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0.291 extract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≈2× on minority classes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Train/test gap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0.117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not overfit</w:t>
            </w:r>
          </w:p>
        </w:tc>
      </w:tr>
    </w:tbl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Balanced weights trade a little majority accuracy to recover the profitable minority decisions (send_full / send_partial). Examples: entrenched whale ($40.8M spend, 96-mo tenure) → send_minimal (~$1.02M vs ~$490k at full metadata); new fee-elastic vendor → send_full. Top features: is_new_to_platform (0.42), tenure_months (0.14), card_acceptance_history, annual_spend — the acquire-vs-extract drivers.</w:t>
      </w:r>
    </w:p>
    <w:p>
      <w:pPr>
        <w:pStyle w:val="Heading2"/>
      </w:pPr>
      <w:r>
        <w:t xml:space="preserve">Concept B — Adoption targeting (25k vendors; 17,978 ACH/check)</w:t>
      </w:r>
    </w:p>
    <w:p>
      <w:pPr>
        <w:spacing w:after="100"/>
        <w:rPr>
          <w:sz w:val="19"/>
          <w:szCs w:val="19"/>
        </w:rPr>
      </w:pPr>
      <w:r>
        <w:rPr>
          <w:sz w:val="19"/>
          <w:szCs w:val="19"/>
        </w:rPr>
        <w:t xml:space="preserve">Generator reproduces the market mix (enterprise VC 18.6%, SMB VC 6.0%, SMB check 40.1%). Evaluated as ranking; AUC ~0.65 is the honest Bernoulli-label ceiling — precision at the top of the list is the actionable metric.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480"/>
        <w:gridCol w:w="1960"/>
        <w:gridCol w:w="3920"/>
      </w:tblGrid>
      <w:tr>
        <w:trPr>
          <w:tblHeader/>
        </w:trPr>
        <w:tc>
          <w:tcPr>
            <w:tcW w:type="dxa" w:w="348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9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48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Accept base rate</w:t>
            </w:r>
          </w:p>
        </w:tc>
        <w:tc>
          <w:tcPr>
            <w:tcW w:type="dxa" w:w="19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0.497</w:t>
            </w:r>
          </w:p>
        </w:tc>
        <w:tc>
          <w:tcPr>
            <w:tcW w:type="dxa" w:w="39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prior</w:t>
            </w:r>
          </w:p>
        </w:tc>
      </w:tr>
      <w:tr>
        <w:trPr>
          <w:tblHeader w:val="false"/>
        </w:trPr>
        <w:tc>
          <w:tcPr>
            <w:tcW w:type="dxa" w:w="348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Precision@50 / @100 / @250</w:t>
            </w:r>
          </w:p>
        </w:tc>
        <w:tc>
          <w:tcPr>
            <w:tcW w:type="dxa" w:w="19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0.80 / 0.69 / 0.73</w:t>
            </w:r>
          </w:p>
        </w:tc>
        <w:tc>
          <w:tcPr>
            <w:tcW w:type="dxa" w:w="39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1.6× / 1.4× / 1.5× lift</w:t>
            </w:r>
          </w:p>
        </w:tc>
      </w:tr>
      <w:tr>
        <w:trPr>
          <w:tblHeader w:val="false"/>
        </w:trPr>
        <w:tc>
          <w:tcPr>
            <w:tcW w:type="dxa" w:w="348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ROC-AUC / PR-AUC / Brier</w:t>
            </w:r>
          </w:p>
        </w:tc>
        <w:tc>
          <w:tcPr>
            <w:tcW w:type="dxa" w:w="19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0.65 / 0.63 / 0.23</w:t>
            </w:r>
          </w:p>
        </w:tc>
        <w:tc>
          <w:tcPr>
            <w:tcW w:type="dxa" w:w="39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discrimination / calibration</w:t>
            </w:r>
          </w:p>
        </w:tc>
      </w:tr>
    </w:tbl>
    <w:p>
      <w:pPr>
        <w:spacing w:after="60" w:before="60"/>
        <w:rPr>
          <w:sz w:val="19"/>
          <w:szCs w:val="19"/>
        </w:rPr>
      </w:pPr>
      <w:r>
        <w:rPr>
          <w:sz w:val="19"/>
          <w:szCs w:val="19"/>
        </w:rPr>
        <w:t xml:space="preserve">Target list: EV = P(accept) × annual_spend × net_take − enroll_cost. Filter enterprise / ACH-check / &gt;$100k → 3,152 targets. Top of list (card-friendly MCCs — engineering, consulting, IT):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560"/>
        <w:gridCol w:w="1100"/>
        <w:gridCol w:w="900"/>
        <w:gridCol w:w="2200"/>
        <w:gridCol w:w="1300"/>
        <w:gridCol w:w="2300"/>
      </w:tblGrid>
      <w:tr>
        <w:trPr>
          <w:tblHeader/>
        </w:trPr>
        <w:tc>
          <w:tcPr>
            <w:tcW w:type="dxa" w:w="156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Vendor</w:t>
            </w:r>
          </w:p>
        </w:tc>
        <w:tc>
          <w:tcPr>
            <w:tcW w:type="dxa" w:w="11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MCC</w:t>
            </w:r>
          </w:p>
        </w:tc>
        <w:tc>
          <w:tcPr>
            <w:tcW w:type="dxa" w:w="9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Rail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Annual spend</w:t>
            </w:r>
          </w:p>
        </w:tc>
        <w:tc>
          <w:tcPr>
            <w:tcW w:type="dxa" w:w="13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P(accept)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Exp. annual rev.</w:t>
            </w:r>
          </w:p>
        </w:tc>
      </w:tr>
      <w:tr>
        <w:trPr>
          <w:tblHeader w:val="false"/>
        </w:trPr>
        <w:tc>
          <w:tcPr>
            <w:tcW w:type="dxa" w:w="15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V003956</w:t>
            </w:r>
          </w:p>
        </w:tc>
        <w:tc>
          <w:tcPr>
            <w:tcW w:type="dxa" w:w="11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8911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ACH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$463.9M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0.77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$2.84M</w:t>
            </w:r>
          </w:p>
        </w:tc>
      </w:tr>
      <w:tr>
        <w:trPr>
          <w:tblHeader w:val="false"/>
        </w:trPr>
        <w:tc>
          <w:tcPr>
            <w:tcW w:type="dxa" w:w="156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V005878</w:t>
            </w:r>
          </w:p>
        </w:tc>
        <w:tc>
          <w:tcPr>
            <w:tcW w:type="dxa" w:w="11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7392</w:t>
            </w:r>
          </w:p>
        </w:tc>
        <w:tc>
          <w:tcPr>
            <w:tcW w:type="dxa" w:w="9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ACH</w:t>
            </w:r>
          </w:p>
        </w:tc>
        <w:tc>
          <w:tcPr>
            <w:tcW w:type="dxa" w:w="22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$300.0M</w:t>
            </w:r>
          </w:p>
        </w:tc>
        <w:tc>
          <w:tcPr>
            <w:tcW w:type="dxa" w:w="13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0.97</w:t>
            </w:r>
          </w:p>
        </w:tc>
        <w:tc>
          <w:tcPr>
            <w:tcW w:type="dxa" w:w="230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$2.33M</w:t>
            </w:r>
          </w:p>
        </w:tc>
      </w:tr>
      <w:tr>
        <w:trPr>
          <w:tblHeader w:val="false"/>
        </w:trPr>
        <w:tc>
          <w:tcPr>
            <w:tcW w:type="dxa" w:w="156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V013487</w:t>
            </w:r>
          </w:p>
        </w:tc>
        <w:tc>
          <w:tcPr>
            <w:tcW w:type="dxa" w:w="11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7372</w:t>
            </w:r>
          </w:p>
        </w:tc>
        <w:tc>
          <w:tcPr>
            <w:tcW w:type="dxa" w:w="9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check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$324.2M</w:t>
            </w:r>
          </w:p>
        </w:tc>
        <w:tc>
          <w:tcPr>
            <w:tcW w:type="dxa" w:w="13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0.79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$2.05M</w:t>
            </w:r>
          </w:p>
        </w:tc>
      </w:tr>
    </w:tbl>
    <w:p>
      <w:pPr>
        <w:pStyle w:val="Heading1"/>
      </w:pPr>
      <w:r>
        <w:t xml:space="preserve">5. Economics, Risks &amp; Next Steps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Config (prototype)</w:t>
            </w:r>
          </w:p>
        </w:tc>
        <w:tc>
          <w:tcPr>
            <w:tcW w:type="dxa" w:w="6240"/>
            <w:shd w:fill="1F3864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 — single-line, re-prices all targets when set to actuals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Corpay net interchange take</w:t>
            </w:r>
          </w:p>
        </w:tc>
        <w:tc>
          <w:tcPr>
            <w:tcW w:type="dxa" w:w="6240"/>
            <w:shd w:fill="FFFFFF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0.8% of virtual-card spend (after buyer rebate share &amp; costs)</w:t>
            </w:r>
          </w:p>
        </w:tc>
      </w:tr>
      <w:tr>
        <w:trPr>
          <w:tblHeader w:val="false"/>
        </w:trPr>
        <w:tc>
          <w:tcPr>
            <w:tcW w:type="dxa" w:w="312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Enrollment cost / spend gate / horizon</w:t>
            </w:r>
          </w:p>
        </w:tc>
        <w:tc>
          <w:tcPr>
            <w:tcW w:type="dxa" w:w="6240"/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$200 per vendor  ·  $100k enterprise floor  ·  3-year revenue horizon</w:t>
            </w:r>
          </w:p>
        </w:tc>
      </w:tr>
    </w:tbl>
    <w:p>
      <w:pPr>
        <w:spacing w:after="40" w:before="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Risks &amp; guardrails: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Synthetic data — live validation on real cohorts required before production claims; aggregate EV is illustrative (heavy-tail whale spends).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Compliance — networks set interchange; framed as program qualification via metadata, never Corpay setting fees. Models recommend; humans/agents apply rates and move money.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Fairness — policy floors and strategic-vendor overrides prevent adverse treatment of key suppliers.</w:t>
      </w:r>
    </w:p>
    <w:p>
      <w:pPr>
        <w:spacing w:after="40" w:before="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Next steps: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synthetic labels with historical acceptance/qualification outcomes; calibrate economic parameters.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Compute EV at the optimal offered metadata tier (unify the acquisition-lever link).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Integrate: expose the target list as the AP-automation outreach queue and the metadata strategy as a payment parameter; feed outcomes back for retraining.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5"/>
        <w:szCs w:val="15"/>
      </w:rPr>
      <w:t xml:space="preserve">Confidential — Working Draft   |   Vendor Payment Intelligence PRD v0.1   |   Page </w:t>
    </w:r>
    <w:r>
      <w:rPr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5"/>
        <w:szCs w:val="15"/>
      </w:rPr>
      <w:t xml:space="preserve"> / </w:t>
    </w:r>
    <w:r>
      <w:rPr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E2F3" w:sz="4" w:space="3"/>
      </w:pBdr>
      <w:spacing w:after="100" w:before="20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70" w:before="140"/>
      <w:outlineLvl w:val="1"/>
    </w:pPr>
    <w:rPr>
      <w:rFonts w:ascii="Arial" w:cs="Arial" w:eastAsia="Arial" w:hAnsi="Arial"/>
      <w:b/>
      <w:bCs/>
      <w:color w:val="2E75B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Payment Intelligence PRD</dc:title>
  <dc:creator>Corpay Data Science</dc:creator>
  <cp:lastModifiedBy>Un-named</cp:lastModifiedBy>
  <cp:revision>1</cp:revision>
  <dcterms:created xsi:type="dcterms:W3CDTF">2026-07-06T07:20:39.881Z</dcterms:created>
  <dcterms:modified xsi:type="dcterms:W3CDTF">2026-07-06T07:20:39.882Z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