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3E011AF9"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r w:rsidR="009D2734">
        <w:rPr>
          <w:rFonts w:ascii="Times New Roman" w:hAnsi="Times New Roman" w:cs="Times New Roman"/>
        </w:rPr>
        <w:t>Bravington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(Dichmont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r>
        <w:rPr>
          <w:rFonts w:ascii="Times New Roman" w:hAnsi="Times New Roman" w:cs="Times New Roman"/>
        </w:rPr>
        <w:t xml:space="preserve">Bravington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Bravington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(Bravington and Grewe,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33FA83B4"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3C2DBD">
        <w:rPr>
          <w:rFonts w:ascii="Times New Roman" w:hAnsi="Times New Roman" w:cs="Times New Roman"/>
        </w:rPr>
        <w:t>--</w:t>
      </w:r>
      <w:r w:rsidR="00383332">
        <w:rPr>
          <w:rFonts w:ascii="Times New Roman" w:hAnsi="Times New Roman" w:cs="Times New Roman"/>
        </w:rPr>
        <w:t>which, given that CKMR data are aged, will increase commensurate with increases in CKMR data</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 xml:space="preserve">matches) may help rule out </w:t>
      </w:r>
      <w:r w:rsidR="00383332">
        <w:rPr>
          <w:rFonts w:ascii="Times New Roman" w:hAnsi="Times New Roman" w:cs="Times New Roman"/>
        </w:rPr>
        <w:t xml:space="preserve">the probability of a </w:t>
      </w:r>
      <w:r w:rsidR="006B190C">
        <w:rPr>
          <w:rFonts w:ascii="Times New Roman" w:hAnsi="Times New Roman" w:cs="Times New Roman"/>
        </w:rPr>
        <w:t>small population size</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0FC4CA60"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0A3BF888" w:rsidR="002758B2" w:rsidRDefault="002758B2" w:rsidP="0037635B">
      <w:pPr>
        <w:rPr>
          <w:rFonts w:ascii="Times New Roman" w:hAnsi="Times New Roman" w:cs="Times New Roman"/>
        </w:rPr>
      </w:pPr>
      <w:r>
        <w:rPr>
          <w:rFonts w:ascii="Times New Roman" w:hAnsi="Times New Roman" w:cs="Times New Roman"/>
        </w:rPr>
        <w:lastRenderedPageBreak/>
        <w:tab/>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cod-like </w:t>
      </w:r>
      <w:r w:rsidR="0065442B">
        <w:rPr>
          <w:rFonts w:ascii="Times New Roman" w:hAnsi="Times New Roman" w:cs="Times New Roman"/>
        </w:rPr>
        <w:t xml:space="preserve">life history </w:t>
      </w:r>
      <w:r w:rsidR="00FF21B4">
        <w:rPr>
          <w:rFonts w:ascii="Times New Roman" w:hAnsi="Times New Roman" w:cs="Times New Roman"/>
        </w:rPr>
        <w:t>simulates a slow-growing, large maximum size, low natural mortality, low recruitment variability, old max</w:t>
      </w:r>
      <w:r w:rsidR="0065442B">
        <w:rPr>
          <w:rFonts w:ascii="Times New Roman" w:hAnsi="Times New Roman" w:cs="Times New Roman"/>
        </w:rPr>
        <w:t>imum</w:t>
      </w:r>
      <w:r w:rsidR="00FF21B4">
        <w:rPr>
          <w:rFonts w:ascii="Times New Roman" w:hAnsi="Times New Roman" w:cs="Times New Roman"/>
        </w:rPr>
        <w:t xml:space="preserve"> age, and very abundant stock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 xml:space="preserve">individuals in reference to both potential POPs and HSPs (rather </w:t>
      </w:r>
      <w:r w:rsidR="00FB71B1" w:rsidRPr="00FB71B1">
        <w:rPr>
          <w:rFonts w:ascii="Times New Roman" w:hAnsi="Times New Roman" w:cs="Times New Roman"/>
        </w:rPr>
        <w:lastRenderedPageBreak/>
        <w:t>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lastRenderedPageBreak/>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596A6F56"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r w:rsidR="00941A40">
        <w:rPr>
          <w:rFonts w:ascii="Times New Roman" w:hAnsi="Times New Roman" w:cs="Times New Roman"/>
        </w:rPr>
        <w:t>Bravington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w:t>
      </w:r>
      <w:r w:rsidR="003A1FE3">
        <w:rPr>
          <w:rFonts w:ascii="Times New Roman" w:hAnsi="Times New Roman" w:cs="Times New Roman"/>
        </w:rPr>
        <w:lastRenderedPageBreak/>
        <w:t xml:space="preserve">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138493DF" w:rsidR="00B14C6F" w:rsidRDefault="003A1FE3">
      <w:pPr>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r w:rsidR="00B50AFB">
        <w:rPr>
          <w:rFonts w:ascii="Times New Roman" w:hAnsi="Times New Roman" w:cs="Times New Roman"/>
        </w:rPr>
        <w:t>Eqs.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18B11F24"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The level of bias increased from Cod to Flatfish to Sardine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6E7D4B">
        <w:rPr>
          <w:rFonts w:ascii="Times New Roman" w:hAnsi="Times New Roman" w:cs="Times New Roman"/>
        </w:rPr>
        <w:t xml:space="preserve">Cod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Flatfish and further to -0.13 and -0.08 for Sardine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0D11F981"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p>
    <w:p w14:paraId="010CA759" w14:textId="666BFB9B"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 data collection,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0CC3AD2F"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Flatfish models followed by the Sardine models and finally the Cod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w:t>
      </w:r>
      <w:r w:rsidR="0080307E">
        <w:rPr>
          <w:rFonts w:ascii="Times New Roman" w:hAnsi="Times New Roman" w:cs="Times New Roman"/>
        </w:rPr>
        <w:lastRenderedPageBreak/>
        <w:t xml:space="preserve">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w:t>
      </w:r>
      <w:r w:rsidR="00B00623">
        <w:rPr>
          <w:rFonts w:ascii="Times New Roman" w:hAnsi="Times New Roman" w:cs="Times New Roman"/>
        </w:rPr>
        <w:t xml:space="preserve"> (depending on the length of CKMR data collection)</w:t>
      </w:r>
      <w:r w:rsidR="0080307E">
        <w:rPr>
          <w:rFonts w:ascii="Times New Roman" w:hAnsi="Times New Roman" w:cs="Times New Roman"/>
        </w:rPr>
        <w:t xml:space="preserve"> to a minimum</w:t>
      </w:r>
      <w:r w:rsidR="00D507BD">
        <w:rPr>
          <w:rFonts w:ascii="Times New Roman" w:hAnsi="Times New Roman" w:cs="Times New Roman"/>
        </w:rPr>
        <w:t xml:space="preserve"> (i.e., maximum improvement)</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(No index, </w:t>
      </w:r>
      <w:r w:rsidR="00B00623">
        <w:rPr>
          <w:rFonts w:ascii="Times New Roman" w:hAnsi="Times New Roman" w:cs="Times New Roman"/>
        </w:rPr>
        <w:t>flatfish</w:t>
      </w:r>
      <w:r>
        <w:rPr>
          <w:rFonts w:ascii="Times New Roman" w:hAnsi="Times New Roman" w:cs="Times New Roman"/>
        </w:rPr>
        <w:t xml:space="preserve"> life history, 20yrs of CKMR),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4C644829"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w:t>
      </w:r>
      <w:r w:rsidR="001660C5">
        <w:rPr>
          <w:rFonts w:ascii="Times New Roman" w:hAnsi="Times New Roman" w:cs="Times New Roman"/>
        </w:rPr>
        <w:t xml:space="preserve">at </w:t>
      </w:r>
      <w:r w:rsidR="001660C5">
        <w:rPr>
          <w:rFonts w:ascii="Times New Roman" w:hAnsi="Times New Roman" w:cs="Times New Roman"/>
        </w:rPr>
        <w:t>the</w:t>
      </w:r>
      <w:r w:rsidR="001660C5">
        <w:rPr>
          <w:rFonts w:ascii="Times New Roman" w:hAnsi="Times New Roman" w:cs="Times New Roman"/>
        </w:rPr>
        <w:t xml:space="preserve"> minimum </w:t>
      </w:r>
      <w:r w:rsidR="001660C5">
        <w:rPr>
          <w:rFonts w:ascii="Times New Roman" w:hAnsi="Times New Roman" w:cs="Times New Roman"/>
        </w:rPr>
        <w:t xml:space="preserve">and terminal year </w:t>
      </w:r>
      <w:r w:rsidR="001660C5">
        <w:rPr>
          <w:rFonts w:ascii="Times New Roman" w:hAnsi="Times New Roman" w:cs="Times New Roman"/>
        </w:rPr>
        <w:t>in the time series</w:t>
      </w:r>
      <w:r w:rsidR="001660C5">
        <w:rPr>
          <w:rFonts w:ascii="Times New Roman" w:hAnsi="Times New Roman" w:cs="Times New Roman"/>
        </w:rPr>
        <w:t>,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1660C5">
        <w:rPr>
          <w:rFonts w:ascii="Times New Roman" w:hAnsi="Times New Roman" w:cs="Times New Roman"/>
        </w:rPr>
        <w:t xml:space="preserve"> (same years).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brevity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1B7D1D81"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 F</w:t>
      </w:r>
      <w:r w:rsidR="00AC3C15">
        <w:rPr>
          <w:rFonts w:ascii="Times New Roman" w:hAnsi="Times New Roman" w:cs="Times New Roman"/>
        </w:rPr>
        <w:t>or the Cod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0CEE57FF" w:rsidR="00B12113" w:rsidRPr="0005776E" w:rsidRDefault="00B12113" w:rsidP="00AE0E05">
      <w:pPr>
        <w:ind w:firstLine="720"/>
        <w:rPr>
          <w:rFonts w:ascii="Times New Roman" w:hAnsi="Times New Roman" w:cs="Times New Roman"/>
        </w:rPr>
      </w:pPr>
      <w:r>
        <w:rPr>
          <w:rFonts w:ascii="Times New Roman" w:hAnsi="Times New Roman" w:cs="Times New Roman"/>
        </w:rPr>
        <w:t>For the Sardine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2D9D702D"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w:t>
      </w:r>
      <w:r w:rsidR="00AE0E05">
        <w:rPr>
          <w:rFonts w:ascii="Times New Roman" w:hAnsi="Times New Roman" w:cs="Times New Roman"/>
        </w:rPr>
        <w:lastRenderedPageBreak/>
        <w:t>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65AE5AE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p>
    <w:p w14:paraId="1C3892C6" w14:textId="71614E16"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p>
    <w:p w14:paraId="7DE99C25" w14:textId="3BD659E5"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7D4EA14D"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79B8B690"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commentRangeStart w:id="0"/>
      <w:commentRangeStart w:id="1"/>
      <w:r>
        <w:rPr>
          <w:rFonts w:ascii="Times New Roman" w:hAnsi="Times New Roman" w:cs="Times New Roman"/>
        </w:rPr>
        <w:t>Discussion</w:t>
      </w:r>
      <w:commentRangeEnd w:id="0"/>
      <w:r w:rsidR="00941A40">
        <w:rPr>
          <w:rStyle w:val="CommentReference"/>
        </w:rPr>
        <w:commentReference w:id="0"/>
      </w:r>
      <w:commentRangeEnd w:id="1"/>
      <w:r w:rsidR="00241CE3">
        <w:rPr>
          <w:rStyle w:val="CommentReference"/>
        </w:rPr>
        <w:commentReference w:id="1"/>
      </w:r>
    </w:p>
    <w:p w14:paraId="71B036AF" w14:textId="30DC6BF0" w:rsidR="00E43AB1" w:rsidRPr="00AD6490" w:rsidRDefault="000F544A" w:rsidP="00FE712F">
      <w:pPr>
        <w:ind w:firstLine="720"/>
        <w:rPr>
          <w:rFonts w:ascii="Times New Roman" w:hAnsi="Times New Roman" w:cs="Times New Roman"/>
        </w:rPr>
      </w:pPr>
      <w:r>
        <w:rPr>
          <w:rFonts w:ascii="Times New Roman" w:hAnsi="Times New Roman" w:cs="Times New Roman"/>
        </w:rPr>
        <w:t>The main factor in information content remains the spawning abundance of the stock</w:t>
      </w:r>
      <w:r w:rsidR="003B07D2">
        <w:rPr>
          <w:rFonts w:ascii="Times New Roman" w:hAnsi="Times New Roman" w:cs="Times New Roman"/>
        </w:rPr>
        <w:t xml:space="preserve"> coupled with the sample size taken (Look at percentage of stock sampled).</w:t>
      </w:r>
      <w:r>
        <w:rPr>
          <w:rFonts w:ascii="Times New Roman" w:hAnsi="Times New Roman" w:cs="Times New Roman"/>
        </w:rPr>
        <w:t xml:space="preserve"> </w:t>
      </w:r>
      <w:r w:rsidR="00225301">
        <w:rPr>
          <w:rFonts w:ascii="Times New Roman" w:hAnsi="Times New Roman" w:cs="Times New Roman"/>
        </w:rPr>
        <w:t xml:space="preserve">Although zeroes did provide some </w:t>
      </w:r>
      <w:r w:rsidR="00FE712F">
        <w:rPr>
          <w:rFonts w:ascii="Times New Roman" w:hAnsi="Times New Roman" w:cs="Times New Roman"/>
        </w:rPr>
        <w:t xml:space="preserve">information as evidenced by the improvements in precision within simulations for the cod models. </w:t>
      </w:r>
    </w:p>
    <w:p w14:paraId="712F926B" w14:textId="102AC1F2" w:rsidR="00E43AB1" w:rsidRDefault="00E43AB1">
      <w:pPr>
        <w:rPr>
          <w:rFonts w:ascii="Times New Roman" w:hAnsi="Times New Roman" w:cs="Times New Roman"/>
        </w:rPr>
      </w:pPr>
    </w:p>
    <w:p w14:paraId="535F1058" w14:textId="45BFD39A" w:rsidR="00AB61D9" w:rsidRDefault="00AB61D9">
      <w:pPr>
        <w:rPr>
          <w:rFonts w:ascii="Times New Roman" w:hAnsi="Times New Roman" w:cs="Times New Roman"/>
        </w:rPr>
      </w:pPr>
      <w:r>
        <w:rPr>
          <w:rFonts w:ascii="Times New Roman" w:hAnsi="Times New Roman" w:cs="Times New Roman"/>
        </w:rPr>
        <w:lastRenderedPageBreak/>
        <w:t xml:space="preserve">CKMR is a backwards looking inference (citation), backdated to the year of birth of the younger individual for POPs and the years of birth for each sibling in HSPs, hence the maximum improvements in each performance metric were observed some years before the terminal year of the time series. </w:t>
      </w:r>
    </w:p>
    <w:p w14:paraId="7BB38484" w14:textId="77EA2B43" w:rsidR="00AB61D9" w:rsidRDefault="00AB61D9">
      <w:pPr>
        <w:rPr>
          <w:rFonts w:ascii="Times New Roman" w:hAnsi="Times New Roman" w:cs="Times New Roman"/>
        </w:rPr>
      </w:pPr>
      <w:r>
        <w:rPr>
          <w:rFonts w:ascii="Times New Roman" w:hAnsi="Times New Roman" w:cs="Times New Roman"/>
        </w:rPr>
        <w:t xml:space="preserve">This simple exercise could theoretically be undertaken by any given assessment to evaluate </w:t>
      </w:r>
      <w:r w:rsidR="00D507BD">
        <w:rPr>
          <w:rFonts w:ascii="Times New Roman" w:hAnsi="Times New Roman" w:cs="Times New Roman"/>
        </w:rPr>
        <w:t xml:space="preserve">whether collecting and integrating </w:t>
      </w:r>
      <w:r>
        <w:rPr>
          <w:rFonts w:ascii="Times New Roman" w:hAnsi="Times New Roman" w:cs="Times New Roman"/>
        </w:rPr>
        <w:t>CKMR data</w:t>
      </w:r>
      <w:r w:rsidR="00D507BD">
        <w:rPr>
          <w:rFonts w:ascii="Times New Roman" w:hAnsi="Times New Roman" w:cs="Times New Roman"/>
        </w:rPr>
        <w:t xml:space="preserve"> would be of value</w:t>
      </w:r>
      <w:r>
        <w:rPr>
          <w:rFonts w:ascii="Times New Roman" w:hAnsi="Times New Roman" w:cs="Times New Roman"/>
        </w:rPr>
        <w:t xml:space="preserve">, although would be highly dependent on the scale of the operating model being reasonably close to the real-world stock. </w:t>
      </w:r>
    </w:p>
    <w:p w14:paraId="6D8AB1A2" w14:textId="2CBEBEC9" w:rsidR="00D507BD" w:rsidRDefault="00D507BD">
      <w:pPr>
        <w:rPr>
          <w:rFonts w:ascii="Times New Roman" w:hAnsi="Times New Roman" w:cs="Times New Roman"/>
        </w:rPr>
      </w:pPr>
      <w:r>
        <w:rPr>
          <w:rFonts w:ascii="Times New Roman" w:hAnsi="Times New Roman" w:cs="Times New Roman"/>
        </w:rPr>
        <w:t>Which is difficult if uncertain, especially since the CKMR data can help inform you on scale</w:t>
      </w:r>
    </w:p>
    <w:p w14:paraId="4826B07E" w14:textId="04AD9FD4" w:rsidR="00AB61D9" w:rsidRDefault="00AB61D9">
      <w:pPr>
        <w:rPr>
          <w:rFonts w:ascii="Times New Roman" w:hAnsi="Times New Roman" w:cs="Times New Roman"/>
        </w:rPr>
      </w:pPr>
    </w:p>
    <w:p w14:paraId="13D92A56" w14:textId="19671156" w:rsidR="00D507BD" w:rsidRDefault="00D507BD">
      <w:pPr>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sidR="00544A60">
        <w:rPr>
          <w:rFonts w:ascii="Times New Roman" w:hAnsi="Times New Roman" w:cs="Times New Roman"/>
        </w:rPr>
        <w:t xml:space="preserve">. This was perhaps a function of CKMR informing estimates in the terminal end of the time series much more so than at the beginning, and </w:t>
      </w:r>
      <w:r w:rsidR="00544A60" w:rsidRPr="00544A60">
        <w:rPr>
          <w:rFonts w:ascii="Times New Roman" w:hAnsi="Times New Roman" w:cs="Times New Roman"/>
          <w:i/>
          <w:iCs/>
        </w:rPr>
        <w:t>R</w:t>
      </w:r>
      <w:r w:rsidR="00544A60" w:rsidRPr="00544A60">
        <w:rPr>
          <w:rFonts w:ascii="Times New Roman" w:hAnsi="Times New Roman" w:cs="Times New Roman"/>
          <w:i/>
          <w:iCs/>
          <w:vertAlign w:val="subscript"/>
        </w:rPr>
        <w:t>0</w:t>
      </w:r>
      <w:r w:rsidR="00544A60">
        <w:rPr>
          <w:rFonts w:ascii="Times New Roman" w:hAnsi="Times New Roman" w:cs="Times New Roman"/>
        </w:rPr>
        <w:t xml:space="preserve"> is primarily used to obtain initial scale of the population and recruitment in each year.  </w:t>
      </w:r>
    </w:p>
    <w:p w14:paraId="54C8E69C" w14:textId="15BA44F8" w:rsidR="00D507BD" w:rsidRDefault="00D507BD">
      <w:pPr>
        <w:rPr>
          <w:rFonts w:ascii="Times New Roman" w:hAnsi="Times New Roman" w:cs="Times New Roman"/>
        </w:rPr>
      </w:pPr>
      <w:r>
        <w:rPr>
          <w:rFonts w:ascii="Times New Roman" w:hAnsi="Times New Roman" w:cs="Times New Roman"/>
        </w:rPr>
        <w:t xml:space="preserve">The integration of CKMR data may </w:t>
      </w:r>
      <w:r w:rsidR="00544A60">
        <w:rPr>
          <w:rFonts w:ascii="Times New Roman" w:hAnsi="Times New Roman" w:cs="Times New Roman"/>
        </w:rPr>
        <w:t>therefore</w:t>
      </w:r>
      <w:r>
        <w:rPr>
          <w:rFonts w:ascii="Times New Roman" w:hAnsi="Times New Roman" w:cs="Times New Roman"/>
        </w:rPr>
        <w:t xml:space="preserve"> be of great importance for helping to distinguish between time-varying selectivity and natural mortality. </w:t>
      </w:r>
    </w:p>
    <w:p w14:paraId="762EBA9D" w14:textId="36EAFA36" w:rsidR="00D507BD" w:rsidRDefault="00D507BD">
      <w:pPr>
        <w:rPr>
          <w:rFonts w:ascii="Times New Roman" w:hAnsi="Times New Roman" w:cs="Times New Roman"/>
        </w:rPr>
      </w:pPr>
    </w:p>
    <w:p w14:paraId="6F8DAB07" w14:textId="10477402" w:rsidR="00177C5C" w:rsidRDefault="00177C5C" w:rsidP="00177C5C">
      <w:pPr>
        <w:ind w:firstLine="720"/>
        <w:rPr>
          <w:rFonts w:ascii="Times New Roman" w:hAnsi="Times New Roman" w:cs="Times New Roman"/>
        </w:rPr>
      </w:pPr>
      <w:r>
        <w:rPr>
          <w:rFonts w:ascii="Times New Roman" w:hAnsi="Times New Roman" w:cs="Times New Roman"/>
        </w:rPr>
        <w:t>Often in commercial fishery and research survey sampling programs fish are able to be sexed. In addition, many contemporary assessments are sex-specific (citation). The ability to sex biological samples would further refine CKMR analysis and change Equations 2 and 3 in perhaps obvious ways. Such refinement could ideally lead to further improvements in estimating mortality and abundance when integrating opportunistic CKMR data into stock assessments.</w:t>
      </w:r>
    </w:p>
    <w:p w14:paraId="24E5D0FF" w14:textId="5AF2DA6A" w:rsidR="00177C5C" w:rsidRDefault="00177C5C">
      <w:pPr>
        <w:rPr>
          <w:rFonts w:ascii="Times New Roman" w:hAnsi="Times New Roman" w:cs="Times New Roman"/>
        </w:rPr>
      </w:pPr>
    </w:p>
    <w:p w14:paraId="31B20952" w14:textId="059FA59F" w:rsidR="00544A60" w:rsidRDefault="00544A60">
      <w:pPr>
        <w:rPr>
          <w:rFonts w:ascii="Times New Roman" w:hAnsi="Times New Roman" w:cs="Times New Roman"/>
        </w:rPr>
      </w:pPr>
      <w:r>
        <w:rPr>
          <w:rFonts w:ascii="Times New Roman" w:hAnsi="Times New Roman" w:cs="Times New Roman"/>
        </w:rPr>
        <w:t xml:space="preserve">I have presented a simple case with no pair assignment error, no ageing error, no spatial dynamics ///, each of which should likely be expected in the real world and could negatively affect the expected improvements from opportunistic CKMR integration within fisheries assessments (Conn et al. 2020)  </w:t>
      </w:r>
    </w:p>
    <w:p w14:paraId="2C929EF1" w14:textId="77777777" w:rsidR="00D507BD" w:rsidRPr="00AD6490" w:rsidRDefault="00D507BD">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3A678A9A" w:rsidR="00E43AB1" w:rsidRDefault="00941A40">
      <w:pPr>
        <w:rPr>
          <w:rFonts w:ascii="Times New Roman" w:hAnsi="Times New Roman" w:cs="Times New Roman"/>
        </w:rPr>
      </w:pPr>
      <w:r w:rsidRPr="00941A40">
        <w:rPr>
          <w:rFonts w:ascii="Times New Roman" w:hAnsi="Times New Roman" w:cs="Times New Roman"/>
        </w:rPr>
        <w:t>Casas, L. and Saborido-Rey, F., 2023. A review of an emerging tool to estimate population parameters: the close-kin mark-recapture method.</w:t>
      </w: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4-01-30T12:54:00Z" w:initials="FN(">
    <w:p w14:paraId="1B3EDDB6" w14:textId="77777777" w:rsidR="00941A40" w:rsidRDefault="00941A40" w:rsidP="00C16579">
      <w:pPr>
        <w:pStyle w:val="CommentText"/>
      </w:pPr>
      <w:r>
        <w:rPr>
          <w:rStyle w:val="CommentReference"/>
        </w:rPr>
        <w:annotationRef/>
      </w:r>
      <w:r>
        <w:t>More informative for sample size or length of time series? Is more samples necessarily more informative? Longer time series will give inference for longer period</w:t>
      </w:r>
    </w:p>
  </w:comment>
  <w:comment w:id="1" w:author="Fisch, Nick (DFO/MPO)" w:date="2024-02-01T09:04:00Z" w:initials="FN(">
    <w:p w14:paraId="1A471346" w14:textId="77777777" w:rsidR="0003417C" w:rsidRDefault="00241CE3" w:rsidP="00563A9A">
      <w:pPr>
        <w:pStyle w:val="CommentText"/>
      </w:pPr>
      <w:r>
        <w:rPr>
          <w:rStyle w:val="CommentReference"/>
        </w:rPr>
        <w:annotationRef/>
      </w:r>
      <w:r w:rsidR="0003417C">
        <w:t xml:space="preserve">Most general patterns observed in this study, such as CKMR data being most informative on abundance levels a few years before the end of the time series, ... , could be deduced from theory alone (and previous analysis). The main goal of these simulations was to ascertain the specific levels of improvement to an assessment.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EDDB6" w15:done="0"/>
  <w15:commentEx w15:paraId="1A471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37014" w16cex:dateUtc="2024-01-30T20:54:00Z"/>
  <w16cex:commentExtensible w16cex:durableId="2965DD0B" w16cex:dateUtc="2024-02-01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EDDB6" w16cid:durableId="29637014"/>
  <w16cid:commentId w16cid:paraId="1A471346" w16cid:durableId="2965D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0ED0" w14:textId="77777777" w:rsidR="00D834C3" w:rsidRDefault="00D834C3" w:rsidP="00B92E2E">
      <w:pPr>
        <w:spacing w:after="0" w:line="240" w:lineRule="auto"/>
      </w:pPr>
      <w:r>
        <w:separator/>
      </w:r>
    </w:p>
  </w:endnote>
  <w:endnote w:type="continuationSeparator" w:id="0">
    <w:p w14:paraId="4F11A867" w14:textId="77777777" w:rsidR="00D834C3" w:rsidRDefault="00D834C3"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4F55" w14:textId="77777777" w:rsidR="00D834C3" w:rsidRDefault="00D834C3" w:rsidP="00B92E2E">
      <w:pPr>
        <w:spacing w:after="0" w:line="240" w:lineRule="auto"/>
      </w:pPr>
      <w:r>
        <w:separator/>
      </w:r>
    </w:p>
  </w:footnote>
  <w:footnote w:type="continuationSeparator" w:id="0">
    <w:p w14:paraId="2C025346" w14:textId="77777777" w:rsidR="00D834C3" w:rsidRDefault="00D834C3"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417C"/>
    <w:rsid w:val="0003782E"/>
    <w:rsid w:val="0004066B"/>
    <w:rsid w:val="0005776E"/>
    <w:rsid w:val="00066E5B"/>
    <w:rsid w:val="00073AB3"/>
    <w:rsid w:val="00077E93"/>
    <w:rsid w:val="0008155B"/>
    <w:rsid w:val="00092FC6"/>
    <w:rsid w:val="00093B1E"/>
    <w:rsid w:val="00095231"/>
    <w:rsid w:val="00096993"/>
    <w:rsid w:val="000D086D"/>
    <w:rsid w:val="000D6029"/>
    <w:rsid w:val="000E1B57"/>
    <w:rsid w:val="000E6CA5"/>
    <w:rsid w:val="000F544A"/>
    <w:rsid w:val="00102E0E"/>
    <w:rsid w:val="0012092E"/>
    <w:rsid w:val="0013442A"/>
    <w:rsid w:val="00135185"/>
    <w:rsid w:val="00135AE0"/>
    <w:rsid w:val="001410BC"/>
    <w:rsid w:val="00150E0A"/>
    <w:rsid w:val="001564FC"/>
    <w:rsid w:val="001660C5"/>
    <w:rsid w:val="00177C5C"/>
    <w:rsid w:val="001C18F4"/>
    <w:rsid w:val="001C1DEF"/>
    <w:rsid w:val="001C7399"/>
    <w:rsid w:val="001D3F98"/>
    <w:rsid w:val="001E157A"/>
    <w:rsid w:val="00210762"/>
    <w:rsid w:val="0021634F"/>
    <w:rsid w:val="00220EDD"/>
    <w:rsid w:val="00225301"/>
    <w:rsid w:val="00241CE3"/>
    <w:rsid w:val="00270E79"/>
    <w:rsid w:val="00272AB5"/>
    <w:rsid w:val="002758B2"/>
    <w:rsid w:val="002829C0"/>
    <w:rsid w:val="00287C30"/>
    <w:rsid w:val="00297EFB"/>
    <w:rsid w:val="002A6A03"/>
    <w:rsid w:val="002B737E"/>
    <w:rsid w:val="002F034E"/>
    <w:rsid w:val="002F2322"/>
    <w:rsid w:val="002F79D5"/>
    <w:rsid w:val="0031336E"/>
    <w:rsid w:val="0031735F"/>
    <w:rsid w:val="00345466"/>
    <w:rsid w:val="00351DD2"/>
    <w:rsid w:val="00356649"/>
    <w:rsid w:val="00376058"/>
    <w:rsid w:val="0037635B"/>
    <w:rsid w:val="003812C7"/>
    <w:rsid w:val="00383332"/>
    <w:rsid w:val="00393D4E"/>
    <w:rsid w:val="003A1FE3"/>
    <w:rsid w:val="003A2AD2"/>
    <w:rsid w:val="003B07D2"/>
    <w:rsid w:val="003B3E86"/>
    <w:rsid w:val="003C20C1"/>
    <w:rsid w:val="003C2DBD"/>
    <w:rsid w:val="003D3992"/>
    <w:rsid w:val="003D3F07"/>
    <w:rsid w:val="00407DD0"/>
    <w:rsid w:val="00420C6B"/>
    <w:rsid w:val="004335C7"/>
    <w:rsid w:val="00435D01"/>
    <w:rsid w:val="00454A9A"/>
    <w:rsid w:val="004645D5"/>
    <w:rsid w:val="004734BE"/>
    <w:rsid w:val="00490E9E"/>
    <w:rsid w:val="004A4C9B"/>
    <w:rsid w:val="004B2CB3"/>
    <w:rsid w:val="004C0D9A"/>
    <w:rsid w:val="004C5691"/>
    <w:rsid w:val="00542267"/>
    <w:rsid w:val="00544A60"/>
    <w:rsid w:val="00546BBC"/>
    <w:rsid w:val="005613D1"/>
    <w:rsid w:val="005700B0"/>
    <w:rsid w:val="005843FD"/>
    <w:rsid w:val="0058627E"/>
    <w:rsid w:val="005C3F08"/>
    <w:rsid w:val="005F3192"/>
    <w:rsid w:val="006066C4"/>
    <w:rsid w:val="00643ED7"/>
    <w:rsid w:val="00652D0F"/>
    <w:rsid w:val="0065442B"/>
    <w:rsid w:val="00685610"/>
    <w:rsid w:val="0068750E"/>
    <w:rsid w:val="006B190C"/>
    <w:rsid w:val="006C444C"/>
    <w:rsid w:val="006D64C0"/>
    <w:rsid w:val="006D694E"/>
    <w:rsid w:val="006E7D4B"/>
    <w:rsid w:val="007259FA"/>
    <w:rsid w:val="0075057B"/>
    <w:rsid w:val="00753466"/>
    <w:rsid w:val="00766690"/>
    <w:rsid w:val="00777871"/>
    <w:rsid w:val="00782033"/>
    <w:rsid w:val="007A270F"/>
    <w:rsid w:val="00801345"/>
    <w:rsid w:val="0080307E"/>
    <w:rsid w:val="00810894"/>
    <w:rsid w:val="00812741"/>
    <w:rsid w:val="008141C9"/>
    <w:rsid w:val="008509A1"/>
    <w:rsid w:val="00875CE8"/>
    <w:rsid w:val="008D08C0"/>
    <w:rsid w:val="008D5DAF"/>
    <w:rsid w:val="008D7353"/>
    <w:rsid w:val="00920A02"/>
    <w:rsid w:val="0092361C"/>
    <w:rsid w:val="00924A6D"/>
    <w:rsid w:val="009263B1"/>
    <w:rsid w:val="00933310"/>
    <w:rsid w:val="00941A40"/>
    <w:rsid w:val="00960195"/>
    <w:rsid w:val="009678A9"/>
    <w:rsid w:val="00967A36"/>
    <w:rsid w:val="009735A8"/>
    <w:rsid w:val="00980034"/>
    <w:rsid w:val="00981F6E"/>
    <w:rsid w:val="009D2734"/>
    <w:rsid w:val="009E2A6E"/>
    <w:rsid w:val="009E35CD"/>
    <w:rsid w:val="00A00928"/>
    <w:rsid w:val="00A236D7"/>
    <w:rsid w:val="00A354E8"/>
    <w:rsid w:val="00A36603"/>
    <w:rsid w:val="00A403A6"/>
    <w:rsid w:val="00A80C3F"/>
    <w:rsid w:val="00A914C3"/>
    <w:rsid w:val="00AB5B32"/>
    <w:rsid w:val="00AB61D9"/>
    <w:rsid w:val="00AC3C15"/>
    <w:rsid w:val="00AD6490"/>
    <w:rsid w:val="00AE0E05"/>
    <w:rsid w:val="00B00623"/>
    <w:rsid w:val="00B12113"/>
    <w:rsid w:val="00B14C6F"/>
    <w:rsid w:val="00B15E16"/>
    <w:rsid w:val="00B21428"/>
    <w:rsid w:val="00B27926"/>
    <w:rsid w:val="00B41B7D"/>
    <w:rsid w:val="00B50AFB"/>
    <w:rsid w:val="00B73DFB"/>
    <w:rsid w:val="00B82930"/>
    <w:rsid w:val="00B92E2E"/>
    <w:rsid w:val="00B952DD"/>
    <w:rsid w:val="00BA2F69"/>
    <w:rsid w:val="00BA5B10"/>
    <w:rsid w:val="00BB62E4"/>
    <w:rsid w:val="00BB6C64"/>
    <w:rsid w:val="00BE5D83"/>
    <w:rsid w:val="00BF1CC9"/>
    <w:rsid w:val="00C163B3"/>
    <w:rsid w:val="00C43E4F"/>
    <w:rsid w:val="00C5295F"/>
    <w:rsid w:val="00C61467"/>
    <w:rsid w:val="00C82AC3"/>
    <w:rsid w:val="00C961CB"/>
    <w:rsid w:val="00CA6386"/>
    <w:rsid w:val="00CB12C1"/>
    <w:rsid w:val="00CD2DE5"/>
    <w:rsid w:val="00CD3206"/>
    <w:rsid w:val="00CD42EE"/>
    <w:rsid w:val="00CE3C01"/>
    <w:rsid w:val="00CE7A12"/>
    <w:rsid w:val="00D21603"/>
    <w:rsid w:val="00D3750D"/>
    <w:rsid w:val="00D377FC"/>
    <w:rsid w:val="00D415FD"/>
    <w:rsid w:val="00D44DEE"/>
    <w:rsid w:val="00D45BA4"/>
    <w:rsid w:val="00D507BD"/>
    <w:rsid w:val="00D562E0"/>
    <w:rsid w:val="00D6649D"/>
    <w:rsid w:val="00D834C3"/>
    <w:rsid w:val="00DD4147"/>
    <w:rsid w:val="00DD4BF6"/>
    <w:rsid w:val="00DE0AD0"/>
    <w:rsid w:val="00E03B20"/>
    <w:rsid w:val="00E35E53"/>
    <w:rsid w:val="00E3638A"/>
    <w:rsid w:val="00E43AB1"/>
    <w:rsid w:val="00E92DE3"/>
    <w:rsid w:val="00EC25CB"/>
    <w:rsid w:val="00EC69C7"/>
    <w:rsid w:val="00F302FC"/>
    <w:rsid w:val="00F4488E"/>
    <w:rsid w:val="00F54F1F"/>
    <w:rsid w:val="00F571A6"/>
    <w:rsid w:val="00F71E6C"/>
    <w:rsid w:val="00FB69D1"/>
    <w:rsid w:val="00FB71B1"/>
    <w:rsid w:val="00FC25B6"/>
    <w:rsid w:val="00FC39B1"/>
    <w:rsid w:val="00FE712F"/>
    <w:rsid w:val="00FF21B4"/>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10</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61</cp:revision>
  <dcterms:created xsi:type="dcterms:W3CDTF">2023-11-29T17:47:00Z</dcterms:created>
  <dcterms:modified xsi:type="dcterms:W3CDTF">2024-02-01T17:28:00Z</dcterms:modified>
</cp:coreProperties>
</file>