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Arial Unicode MS" w:hAnsi="Arial Unicode MS" w:eastAsia="Arial Unicode MS"/>
          <w:b/>
          <w:i w:val="0"/>
          <w:color w:val="2E74B5"/>
          <w:sz w:val="20"/>
        </w:rPr>
        <w:t>技术研究与审计说明 · GITHUB REDACTED · NEGATIVE RESULT</w:t>
      </w:r>
    </w:p>
    <w:p>
      <w:pPr>
        <w:spacing w:after="100"/>
      </w:pPr>
      <w:r>
        <w:rPr>
          <w:rFonts w:ascii="Arial Unicode MS" w:hAnsi="Arial Unicode MS" w:eastAsia="Arial Unicode MS"/>
          <w:b/>
          <w:i w:val="0"/>
          <w:color w:val="0B2545"/>
          <w:sz w:val="48"/>
        </w:rPr>
        <w:t>公开免费数据能否稳定预测QQQ未来三个月？</w:t>
      </w:r>
    </w:p>
    <w:p>
      <w:pPr>
        <w:spacing w:after="240"/>
      </w:pPr>
      <w:r>
        <w:rPr>
          <w:rFonts w:ascii="Arial Unicode MS" w:hAnsi="Arial Unicode MS" w:eastAsia="Arial Unicode MS"/>
          <w:b w:val="0"/>
          <w:i w:val="0"/>
          <w:color w:val="5B6573"/>
          <w:sz w:val="26"/>
        </w:rPr>
        <w:t>Nasdaq-100盈利、宏观、上游、Carry与拥挤因子的可审计研究（2009–2026）</w:t>
      </w:r>
    </w:p>
    <w:p>
      <w:pPr>
        <w:spacing w:before="0" w:after="40"/>
      </w:pPr>
      <w:r>
        <w:rPr>
          <w:rFonts w:ascii="Arial Unicode MS" w:hAnsi="Arial Unicode MS" w:eastAsia="Arial Unicode MS"/>
          <w:b/>
          <w:color w:val="0B2545"/>
          <w:sz w:val="19"/>
        </w:rPr>
        <w:t>研究对象：</w:t>
      </w:r>
      <w:r>
        <w:rPr>
          <w:rFonts w:ascii="Arial Unicode MS" w:hAnsi="Arial Unicode MS" w:eastAsia="Arial Unicode MS"/>
          <w:color w:val="1F2328"/>
          <w:sz w:val="19"/>
        </w:rPr>
        <w:t>Nasdaq-100 / QQQ；主目标为未来63个交易日回报与途中下跌</w:t>
      </w:r>
    </w:p>
    <w:p>
      <w:pPr>
        <w:spacing w:before="0" w:after="40"/>
      </w:pPr>
      <w:r>
        <w:rPr>
          <w:rFonts w:ascii="Arial Unicode MS" w:hAnsi="Arial Unicode MS" w:eastAsia="Arial Unicode MS"/>
          <w:b/>
          <w:color w:val="0B2545"/>
          <w:sz w:val="19"/>
        </w:rPr>
        <w:t>证据截止：</w:t>
      </w:r>
      <w:r>
        <w:rPr>
          <w:rFonts w:ascii="Arial Unicode MS" w:hAnsi="Arial Unicode MS" w:eastAsia="Arial Unicode MS"/>
          <w:color w:val="1F2328"/>
          <w:sz w:val="19"/>
        </w:rPr>
        <w:t>2026-08-29 13:50 MYT</w:t>
      </w:r>
    </w:p>
    <w:p>
      <w:pPr>
        <w:spacing w:before="0" w:after="40"/>
      </w:pPr>
      <w:r>
        <w:rPr>
          <w:rFonts w:ascii="Arial Unicode MS" w:hAnsi="Arial Unicode MS" w:eastAsia="Arial Unicode MS"/>
          <w:b/>
          <w:color w:val="0B2545"/>
          <w:sz w:val="19"/>
        </w:rPr>
        <w:t>研究状态：</w:t>
      </w:r>
      <w:r>
        <w:rPr>
          <w:rFonts w:ascii="Arial Unicode MS" w:hAnsi="Arial Unicode MS" w:eastAsia="Arial Unicode MS"/>
          <w:color w:val="1F2328"/>
          <w:sz w:val="19"/>
        </w:rPr>
        <w:t>历史代理分支关闭；真正未来OOS仍在等待</w:t>
      </w:r>
    </w:p>
    <w:p>
      <w:pPr>
        <w:spacing w:before="0" w:after="40"/>
      </w:pPr>
      <w:r>
        <w:rPr>
          <w:rFonts w:ascii="Arial Unicode MS" w:hAnsi="Arial Unicode MS" w:eastAsia="Arial Unicode MS"/>
          <w:b/>
          <w:color w:val="0B2545"/>
          <w:sz w:val="19"/>
        </w:rPr>
        <w:t>审计口径：</w:t>
      </w:r>
      <w:r>
        <w:rPr>
          <w:rFonts w:ascii="Arial Unicode MS" w:hAnsi="Arial Unicode MS" w:eastAsia="Arial Unicode MS"/>
          <w:color w:val="1F2328"/>
          <w:sz w:val="19"/>
        </w:rPr>
        <w:t>本地可复现性与历史PIT有效性分开判断</w:t>
      </w:r>
    </w:p>
    <w:p>
      <w:pPr>
        <w:spacing w:after="160"/>
        <w:pBdr>
          <w:bottom w:val="single" w:sz="12" w:space="6" w:color="2E74B5"/>
        </w:pBdr>
      </w:pPr>
    </w:p>
    <w:p>
      <w:pPr>
        <w:pStyle w:val="Heading1"/>
      </w:pPr>
      <w:r>
        <w:t>摘要</w:t>
      </w:r>
    </w:p>
    <w:p>
      <w:pPr>
        <w:spacing w:before="80" w:after="180" w:line="269" w:lineRule="auto"/>
        <w:ind w:left="173" w:right="115"/>
        <w:shd w:fill="EDF4FF"/>
      </w:pPr>
      <w:r>
        <w:rPr>
          <w:rFonts w:ascii="Arial Unicode MS" w:hAnsi="Arial Unicode MS" w:eastAsia="Arial Unicode MS"/>
          <w:b/>
          <w:color w:val="2E74B5"/>
          <w:sz w:val="22"/>
        </w:rPr>
        <w:t xml:space="preserve">结论： </w:t>
      </w:r>
      <w:r>
        <w:rPr>
          <w:rFonts w:ascii="Arial Unicode MS" w:hAnsi="Arial Unicode MS" w:eastAsia="Arial Unicode MS"/>
          <w:color w:val="1F2328"/>
          <w:sz w:val="22"/>
        </w:rPr>
        <w:t>没有发现可稳定增加QQQ预测、再通过策略或时间点稳健性检验的新因子。主要本地计算链通过；数据资格、样本量与信号表现分别有未过门槛之处。</w:t>
      </w:r>
    </w:p>
    <w:p>
      <w:r>
        <w:rPr>
          <w:rFonts w:ascii="Arial Unicode MS" w:hAnsi="Arial Unicode MS" w:eastAsia="Arial Unicode MS"/>
          <w:b w:val="0"/>
          <w:i w:val="0"/>
          <w:color w:val="1F2328"/>
          <w:sz w:val="22"/>
        </w:rPr>
        <w:t>研究先要求直接Nasdaq-100/QQQ总体EPS、Forward EPS或revision具备2009年至今、可导出、方法明确且保留历史vintage。免费来源未通过，官方同口径锚点仅6个，低于冻结要求8个；用户随后只授权用免费代理做探索。〔C01–C03〕</w:t>
      </w:r>
    </w:p>
    <w:p>
      <w:r>
        <w:rPr>
          <w:rFonts w:ascii="Arial Unicode MS" w:hAnsi="Arial Unicode MS" w:eastAsia="Arial Unicode MS"/>
          <w:b w:val="0"/>
          <w:i w:val="0"/>
          <w:color w:val="1F2328"/>
          <w:sz w:val="22"/>
        </w:rPr>
        <w:t>代理研究采用隐含NTM EPS、估值、实际利率、风险、流动性、市场宽度、全球资金、商品、供应链、半导体、需求、Carry与拥挤等渠道。少数变量在历史单因素或增量关通过，但所有固定策略失败。12因子季度组合虽比动量基准好5.56%，却输VIX 4.46%、路径误差恶化6.58%，且合法样本39低于40；四相位月度复测更只有1/4组通过，合并回报与路径误差分别比基准差6.33%和12.40%。〔C05–C11〕</w:t>
      </w:r>
    </w:p>
    <w:p>
      <w:r>
        <w:rPr>
          <w:rFonts w:ascii="Arial Unicode MS" w:hAnsi="Arial Unicode MS" w:eastAsia="Arial Unicode MS"/>
          <w:b w:val="0"/>
          <w:i w:val="0"/>
          <w:color w:val="1F2328"/>
          <w:sz w:val="22"/>
        </w:rPr>
        <w:t>因此本研究只能得出：当前免费代理没有形成稳健可上线证据；不能据此推断真正PIT的官方分析师revision无效。历史分支停止，生产策略未修改；只保留已冻结的真正未来EPS与实际利率记录。〔C12–C13〕</w:t>
      </w:r>
    </w:p>
    <w:p>
      <w:pPr>
        <w:pStyle w:val="Heading1"/>
      </w:pPr>
      <w:r>
        <w:t>1. 问题、范围与决策链</w:t>
      </w:r>
    </w:p>
    <w:p>
      <w:r>
        <w:rPr>
          <w:rFonts w:ascii="Arial Unicode MS" w:hAnsi="Arial Unicode MS" w:eastAsia="Arial Unicode MS"/>
          <w:b w:val="0"/>
          <w:i w:val="0"/>
          <w:color w:val="1F2328"/>
          <w:sz w:val="22"/>
        </w:rPr>
        <w:t>研究问题：在预测时点已知的盈利变化、折现率、风险溢价、融资条件与市场结构，能否在过去63日QQQ价格和VIX等简单信息之外，稳定预测未来63个交易日终点回报R63及同期最差回报W63？</w:t>
      </w:r>
    </w:p>
    <w:p>
      <w:pPr>
        <w:spacing w:before="80" w:after="160" w:line="252" w:lineRule="auto"/>
        <w:ind w:left="288" w:right="173"/>
        <w:shd w:fill="F7F8FA"/>
      </w:pPr>
      <w:r>
        <w:rPr>
          <w:rFonts w:ascii="Menlo" w:hAnsi="Menlo" w:eastAsia="Arial Unicode MS"/>
          <w:color w:val="0B2545"/>
          <w:sz w:val="18"/>
        </w:rPr>
        <w:t>直接aggregate PIT盈利数据？</w:t>
      </w:r>
      <w:r>
        <w:rPr>
          <w:rFonts w:ascii="Menlo" w:hAnsi="Menlo" w:eastAsia="Arial Unicode MS"/>
          <w:color w:val="0B2545"/>
          <w:sz w:val="18"/>
        </w:rPr>
        <w:br/>
        <w:t xml:space="preserve">  └─ 没有 → 用户授权免费代理（不升级为真值）</w:t>
      </w:r>
      <w:r>
        <w:rPr>
          <w:rFonts w:ascii="Menlo" w:hAnsi="Menlo" w:eastAsia="Arial Unicode MS"/>
          <w:color w:val="0B2545"/>
          <w:sz w:val="18"/>
        </w:rPr>
        <w:br/>
        <w:t xml:space="preserve">       └─ 单因素方向与跨时期稳定性</w:t>
      </w:r>
      <w:r>
        <w:rPr>
          <w:rFonts w:ascii="Menlo" w:hAnsi="Menlo" w:eastAsia="Arial Unicode MS"/>
          <w:color w:val="0B2545"/>
          <w:sz w:val="18"/>
        </w:rPr>
        <w:br/>
        <w:t xml:space="preserve">            └─ 过线才做增量重放</w:t>
      </w:r>
      <w:r>
        <w:rPr>
          <w:rFonts w:ascii="Menlo" w:hAnsi="Menlo" w:eastAsia="Arial Unicode MS"/>
          <w:color w:val="0B2545"/>
          <w:sz w:val="18"/>
        </w:rPr>
        <w:br/>
        <w:t xml:space="preserve">                 └─ 过线才做T+1含成本策略</w:t>
      </w:r>
      <w:r>
        <w:rPr>
          <w:rFonts w:ascii="Menlo" w:hAnsi="Menlo" w:eastAsia="Arial Unicode MS"/>
          <w:color w:val="0B2545"/>
          <w:sz w:val="18"/>
        </w:rPr>
        <w:br/>
        <w:t xml:space="preserve">                      └─ 扩展上游／Carry／拥挤／网络缺口</w:t>
      </w:r>
      <w:r>
        <w:rPr>
          <w:rFonts w:ascii="Menlo" w:hAnsi="Menlo" w:eastAsia="Arial Unicode MS"/>
          <w:color w:val="0B2545"/>
          <w:sz w:val="18"/>
        </w:rPr>
        <w:br/>
        <w:t xml:space="preserve">                           └─ 固定复杂挑战仍失败</w:t>
      </w:r>
      <w:r>
        <w:rPr>
          <w:rFonts w:ascii="Menlo" w:hAnsi="Menlo" w:eastAsia="Arial Unicode MS"/>
          <w:color w:val="0B2545"/>
          <w:sz w:val="18"/>
        </w:rPr>
        <w:br/>
        <w:t xml:space="preserve">                                └─ 12因子季度组合样本不足</w:t>
      </w:r>
      <w:r>
        <w:rPr>
          <w:rFonts w:ascii="Menlo" w:hAnsi="Menlo" w:eastAsia="Arial Unicode MS"/>
          <w:color w:val="0B2545"/>
          <w:sz w:val="18"/>
        </w:rPr>
        <w:br/>
        <w:t xml:space="preserve">                                     └─ 月度四相位正式失败</w:t>
      </w:r>
      <w:r>
        <w:rPr>
          <w:rFonts w:ascii="Menlo" w:hAnsi="Menlo" w:eastAsia="Arial Unicode MS"/>
          <w:color w:val="0B2545"/>
          <w:sz w:val="18"/>
        </w:rPr>
        <w:br/>
        <w:t xml:space="preserve">                                          └─ 历史关闭，只等live OOS</w:t>
      </w:r>
    </w:p>
    <w:p>
      <w:r>
        <w:rPr>
          <w:rFonts w:ascii="Arial Unicode MS" w:hAnsi="Arial Unicode MS" w:eastAsia="Arial Unicode MS"/>
          <w:b w:val="0"/>
          <w:i w:val="0"/>
          <w:color w:val="1F2328"/>
          <w:sz w:val="22"/>
        </w:rPr>
        <w:t>非目标：不继续2,745行公司身份重建；不把公司样本冒充指数总体；不修改qqq-dashboard或v2-sealed；不把数据QA、相关、增量、策略和真正未来验证混为一件事。〔C01〕</w:t>
      </w:r>
    </w:p>
    <w:p>
      <w:pPr>
        <w:pStyle w:val="Heading1"/>
      </w:pPr>
      <w:r>
        <w:t>2. 数据与时点完整性</w:t>
      </w:r>
    </w:p>
    <w:p>
      <w:pPr>
        <w:pStyle w:val="Heading2"/>
      </w:pPr>
      <w:r>
        <w:t>2.1 精确盈利数据闸门</w:t>
      </w:r>
    </w:p>
    <w:p>
      <w:r>
        <w:rPr>
          <w:rFonts w:ascii="Arial Unicode MS" w:hAnsi="Arial Unicode MS" w:eastAsia="Arial Unicode MS"/>
          <w:b w:val="0"/>
          <w:i w:val="0"/>
          <w:color w:val="1F2328"/>
          <w:sz w:val="22"/>
        </w:rPr>
        <w:t>本地持仓资料只有38个QQQ快照，2008–2018主要为年度、2019Q3后才季度；同时缺少完整公司级分析师估计vintage。SEC文件可以支持滞后realized earnings，不能重建历史分析师revision。公开Nasdaq有界搜索冻结6,435条CDX记录并检查全部同口径候选，新增合格锚点为0，最终6/8，故精确免费aggregate数据仍BLOCK。〔C01–C02〕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5DAE1"/>
          <w:left w:val="single" w:sz="4" w:color="D5DAE1"/>
          <w:bottom w:val="single" w:sz="4" w:color="D5DAE1"/>
          <w:right w:val="single" w:sz="4" w:color="D5DAE1"/>
          <w:insideH w:val="single" w:sz="4" w:color="D5DAE1"/>
          <w:insideV w:val="single" w:sz="4" w:color="D5DAE1"/>
        </w:tblBorders>
      </w:tblPr>
      <w:tblGrid>
        <w:gridCol w:w="1600"/>
        <w:gridCol w:w="2700"/>
        <w:gridCol w:w="3300"/>
        <w:gridCol w:w="1760"/>
      </w:tblGrid>
      <w:tr>
        <w:trPr>
          <w:tblHeader w:val="true"/>
        </w:trPr>
        <w:tc>
          <w:tcPr>
            <w:tcW w:type="dxa" w:w="16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候选</w:t>
            </w:r>
          </w:p>
        </w:tc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能提供什么</w:t>
            </w:r>
          </w:p>
        </w:tc>
        <w:tc>
          <w:tcPr>
            <w:tcW w:type="dxa" w:w="3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关键缺口</w:t>
            </w:r>
          </w:p>
        </w:tc>
        <w:tc>
          <w:tcPr>
            <w:tcW w:type="dxa" w:w="17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判定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LSEG Global Aggregates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最接近指数级预测/估值/revision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NDX entitlement、vintage规则、报价未确认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BLOCK / 待商业确认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GuruFocus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Nasdaq-100 actual EPS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非forward/revision；下载收费；方法/vintage不透明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PROXY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MacroMicro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Nasdaq-100 Forward P/E图形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上游与历史版本不披露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PROXY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History of Market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2001–2026周频Forward P/E JSON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字段供应商、许可与历史重写未知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PROXY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Nasdaq公开报告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少量官方同口径锚点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无连续可导出序列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REJECT作数据集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Zacks/Data Link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公司级共识历史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不是指数aggregate；重开公司级工程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REJECT本闸门</w:t>
            </w:r>
          </w:p>
        </w:tc>
      </w:tr>
    </w:tbl>
    <w:p>
      <w:pPr>
        <w:spacing w:after="40"/>
      </w:pPr>
    </w:p>
    <w:p>
      <w:pPr>
        <w:spacing w:before="80" w:after="80"/>
      </w:pPr>
      <w:r>
        <w:rPr>
          <w:rFonts w:ascii="Arial Unicode MS" w:hAnsi="Arial Unicode MS" w:eastAsia="Arial Unicode MS"/>
          <w:b w:val="0"/>
          <w:i/>
          <w:color w:val="5B6573"/>
          <w:sz w:val="17"/>
        </w:rPr>
        <w:t>表1｜数据源判定。精确免费数据BLOCK与后续代理研究并不矛盾：后者来自用户明确降级授权。</w:t>
      </w:r>
    </w:p>
    <w:p>
      <w:pPr>
        <w:pStyle w:val="Heading2"/>
      </w:pPr>
      <w:r>
        <w:t>2.2 实际使用的数据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5DAE1"/>
          <w:left w:val="single" w:sz="4" w:color="D5DAE1"/>
          <w:bottom w:val="single" w:sz="4" w:color="D5DAE1"/>
          <w:right w:val="single" w:sz="4" w:color="D5DAE1"/>
          <w:insideH w:val="single" w:sz="4" w:color="D5DAE1"/>
          <w:insideV w:val="single" w:sz="4" w:color="D5DAE1"/>
        </w:tblBorders>
      </w:tblPr>
      <w:tblGrid>
        <w:gridCol w:w="1350"/>
        <w:gridCol w:w="2550"/>
        <w:gridCol w:w="1500"/>
        <w:gridCol w:w="2250"/>
        <w:gridCol w:w="1710"/>
      </w:tblGrid>
      <w:tr>
        <w:trPr>
          <w:tblHeader w:val="true"/>
        </w:trPr>
        <w:tc>
          <w:tcPr>
            <w:tcW w:type="dxa" w:w="13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5"/>
              </w:rPr>
              <w:t>渠道</w:t>
            </w:r>
          </w:p>
        </w:tc>
        <w:tc>
          <w:tcPr>
            <w:tcW w:type="dxa" w:w="25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5"/>
              </w:rPr>
              <w:t>代表数据</w:t>
            </w:r>
          </w:p>
        </w:tc>
        <w:tc>
          <w:tcPr>
            <w:tcW w:type="dxa" w:w="15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5"/>
              </w:rPr>
              <w:t>频率/覆盖</w:t>
            </w:r>
          </w:p>
        </w:tc>
        <w:tc>
          <w:tcPr>
            <w:tcW w:type="dxa" w:w="22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5"/>
              </w:rPr>
              <w:t>历史时点质量</w:t>
            </w:r>
          </w:p>
        </w:tc>
        <w:tc>
          <w:tcPr>
            <w:tcW w:type="dxa" w:w="171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5"/>
              </w:rPr>
              <w:t>用途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5"/>
              </w:rPr>
              <w:t>市场/估值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5"/>
              </w:rPr>
              <w:t>NDX、NDXE、QQQ、Forward P/E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5"/>
              </w:rPr>
              <w:t>日/周；2001/2009–2026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5"/>
              </w:rPr>
              <w:t>市场close较直接；FPE为二级快照</w:t>
            </w:r>
          </w:p>
        </w:tc>
        <w:tc>
          <w:tcPr>
            <w:tcW w:type="dxa" w:w="1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5"/>
              </w:rPr>
              <w:t>目标、动量、宽度、估值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5"/>
              </w:rPr>
              <w:t>盈利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5"/>
              </w:rPr>
              <w:t>NDX÷Forward P/E；forwardOwn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5"/>
              </w:rPr>
              <w:t>周频919点；sidecar仅17点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5"/>
              </w:rPr>
              <w:t>无旧vintage；sidecar从现在冻结</w:t>
            </w:r>
          </w:p>
        </w:tc>
        <w:tc>
          <w:tcPr>
            <w:tcW w:type="dxa" w:w="1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5"/>
              </w:rPr>
              <w:t>EPS方向代理/live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5"/>
              </w:rPr>
              <w:t>利率/风险/流动性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5"/>
              </w:rPr>
              <w:t>DFII10、VIX、Baa、2Y、T10YIE、NFCI、Fed资产负债表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5"/>
              </w:rPr>
              <w:t>日/周；多为2009–2026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5"/>
              </w:rPr>
              <w:t>FRED当前快照；多数非ALFRED</w:t>
            </w:r>
          </w:p>
        </w:tc>
        <w:tc>
          <w:tcPr>
            <w:tcW w:type="dxa" w:w="1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5"/>
              </w:rPr>
              <w:t>折现率与风险状态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5"/>
              </w:rPr>
              <w:t>全球资金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5"/>
              </w:rPr>
              <w:t>美/欧/日/英/加短率、USDJPY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5"/>
              </w:rPr>
              <w:t>月/日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5"/>
              </w:rPr>
              <w:t>保守发布日期滞后；current-vintage</w:t>
            </w:r>
          </w:p>
        </w:tc>
        <w:tc>
          <w:tcPr>
            <w:tcW w:type="dxa" w:w="1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5"/>
              </w:rPr>
              <w:t>降息广度、利差、Carry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5"/>
              </w:rPr>
              <w:t>产业/需求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5"/>
              </w:rPr>
              <w:t>铜油气、GSCPI、TSMC、台湾订单、KOSIS、PMI、CLI、BLS空运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5"/>
              </w:rPr>
              <w:t>月/季；68个成熟季度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5"/>
              </w:rPr>
              <w:t>韩国CLI revisions最强；其余多current-vintage</w:t>
            </w:r>
          </w:p>
        </w:tc>
        <w:tc>
          <w:tcPr>
            <w:tcW w:type="dxa" w:w="1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5"/>
              </w:rPr>
              <w:t>上游early signal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5"/>
              </w:rPr>
              <w:t>融资/拥挤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5"/>
              </w:rPr>
              <w:t>CFTC、FINRA、BIS、MOF、EBP、VIX/VIX3M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5"/>
              </w:rPr>
              <w:t>周/月/季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5"/>
              </w:rPr>
              <w:t>官方免费代理；特殊发布延迟已修正</w:t>
            </w:r>
          </w:p>
        </w:tc>
        <w:tc>
          <w:tcPr>
            <w:tcW w:type="dxa" w:w="1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5"/>
              </w:rPr>
              <w:t>未来20日路径风险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5"/>
              </w:rPr>
              <w:t>网络补漏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5"/>
              </w:rPr>
              <w:t>VXN、BEA、DSR、SCOOS、M3、SLOOS、Z.1、QFR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5"/>
              </w:rPr>
              <w:t>季/月；58–69季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5"/>
              </w:rPr>
              <w:t>current-vintage；个别定义/断点限制</w:t>
            </w:r>
          </w:p>
        </w:tc>
        <w:tc>
          <w:tcPr>
            <w:tcW w:type="dxa" w:w="1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5"/>
              </w:rPr>
              <w:t>遗漏渠道与new4</w:t>
            </w:r>
          </w:p>
        </w:tc>
      </w:tr>
    </w:tbl>
    <w:p>
      <w:pPr>
        <w:spacing w:after="40"/>
      </w:pPr>
    </w:p>
    <w:p>
      <w:pPr>
        <w:spacing w:before="80" w:after="80"/>
      </w:pPr>
      <w:r>
        <w:rPr>
          <w:rFonts w:ascii="Arial Unicode MS" w:hAnsi="Arial Unicode MS" w:eastAsia="Arial Unicode MS"/>
          <w:b w:val="0"/>
          <w:i/>
          <w:color w:val="5B6573"/>
          <w:sz w:val="17"/>
        </w:rPr>
        <w:t>表2｜主要输入。完整来源URL、原始字节与SHA记录在各证据包及附录审计索引。</w:t>
      </w:r>
    </w:p>
    <w:p>
      <w:r>
        <w:rPr>
          <w:rFonts w:ascii="Arial Unicode MS" w:hAnsi="Arial Unicode MS" w:eastAsia="Arial Unicode MS"/>
          <w:b w:val="0"/>
          <w:i w:val="0"/>
          <w:color w:val="1F2328"/>
          <w:sz w:val="22"/>
        </w:rPr>
        <w:t>盈利代理公式为：隐含NTM EPS = NDX收盘 ÷ NDX Forward P/E。2009-01-02至2026-08-05共919周点；跨源形状检查为MacroMicro与主FPE形状相关0.940、GuruFocus actual EPS与同季隐含EPS相关0.968。这只能排除明显画错，不能证明历史PIT。〔C03〕</w:t>
      </w:r>
    </w:p>
    <w:p>
      <w:pPr>
        <w:pStyle w:val="Heading1"/>
      </w:pPr>
      <w:r>
        <w:t>3. 方法与冻结门槛</w:t>
      </w:r>
    </w:p>
    <w:p>
      <w:r>
        <w:rPr>
          <w:rFonts w:ascii="Arial Unicode MS" w:hAnsi="Arial Unicode MS" w:eastAsia="Arial Unicode MS"/>
          <w:b w:val="0"/>
          <w:i w:val="0"/>
          <w:color w:val="1F2328"/>
          <w:sz w:val="22"/>
        </w:rPr>
        <w:t>主目标：R63 = close[i+63]/close[i] − 1；路径目标：W63 = min(close[j]/close[i] − 1)，j=i…i+63。主诊断取每个真实季度末，月度稳健性取每个自然月最后一个QQQ交易日。主月度合同允许市场close的date≤origin；只有日期无时间的宏观发布要求available&lt;origin。较早分支按各自冻结的发布滞后或≤规则执行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5DAE1"/>
          <w:left w:val="single" w:sz="4" w:color="D5DAE1"/>
          <w:bottom w:val="single" w:sz="4" w:color="D5DAE1"/>
          <w:right w:val="single" w:sz="4" w:color="D5DAE1"/>
          <w:insideH w:val="single" w:sz="4" w:color="D5DAE1"/>
          <w:insideV w:val="single" w:sz="4" w:color="D5DAE1"/>
        </w:tblBorders>
      </w:tblPr>
      <w:tblGrid>
        <w:gridCol w:w="1500"/>
        <w:gridCol w:w="4300"/>
        <w:gridCol w:w="3560"/>
      </w:tblGrid>
      <w:tr>
        <w:trPr>
          <w:tblHeader w:val="true"/>
        </w:trPr>
        <w:tc>
          <w:tcPr>
            <w:tcW w:type="dxa" w:w="15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Gate</w:t>
            </w:r>
          </w:p>
        </w:tc>
        <w:tc>
          <w:tcPr>
            <w:tcW w:type="dxa" w:w="4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测试</w:t>
            </w:r>
          </w:p>
        </w:tc>
        <w:tc>
          <w:tcPr>
            <w:tcW w:type="dxa" w:w="35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结果前通过线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数据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宇宙、定义、历史、vintage、方法、导出、许可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全部清楚才PASS；否则PROXY/BLOCK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Standalone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Spearman、三分组、2009–18/2019+、特殊年剔除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|rho|约≥0.15且两时期同向、符合事前机制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Incremental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expanding replay；92日purge；基线含past63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RMSE约≥2%改善、≥60%年份改善、非单一危机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Strategy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季度收盘信号；T+1开盘；25/200bps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Sharpe/MDD改善且CAGR不得落后&gt;2pp；压力成本仍过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Complex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同容量Logit/浅树对照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固定结构、固定门槛；不以更大容量冒充新增信息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Ensemble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base、12 singles、old8、all12；Ridge α=10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胜base、VIX、old8且路径不差；跨时间组复现</w:t>
            </w:r>
          </w:p>
        </w:tc>
      </w:tr>
    </w:tbl>
    <w:p>
      <w:pPr>
        <w:spacing w:after="40"/>
      </w:pPr>
    </w:p>
    <w:p>
      <w:pPr>
        <w:spacing w:before="80" w:after="80"/>
      </w:pPr>
      <w:r>
        <w:rPr>
          <w:rFonts w:ascii="Arial Unicode MS" w:hAnsi="Arial Unicode MS" w:eastAsia="Arial Unicode MS"/>
          <w:b w:val="0"/>
          <w:i/>
          <w:color w:val="5B6573"/>
          <w:sz w:val="17"/>
        </w:rPr>
        <w:t>表3｜核心冻结门。历史已被查看，因此expanding replay只叫historical pseudo-OOS；真正OOS另行登记。</w:t>
      </w:r>
    </w:p>
    <w:p>
      <w:r>
        <w:rPr>
          <w:rFonts w:ascii="Arial Unicode MS" w:hAnsi="Arial Unicode MS" w:eastAsia="Arial Unicode MS"/>
          <w:b w:val="0"/>
          <w:i w:val="0"/>
          <w:color w:val="1F2328"/>
          <w:sz w:val="22"/>
        </w:rPr>
        <w:t>所有标准化只在当时训练折完成；训练目标必须在测试origin前结束。主组合固定Ridge α=10，不搜索超参数；复杂挑战只在用户质疑后另立post-hoc合同，不能改写旧单因素结论。</w:t>
      </w:r>
    </w:p>
    <w:p>
      <w:pPr>
        <w:pStyle w:val="Heading1"/>
      </w:pPr>
      <w:r>
        <w:t>4. 研究过程与结果</w:t>
      </w:r>
    </w:p>
    <w:p>
      <w:pPr>
        <w:pStyle w:val="Heading2"/>
      </w:pPr>
      <w:r>
        <w:t>4.1 盈利与估值代理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5DAE1"/>
          <w:left w:val="single" w:sz="4" w:color="D5DAE1"/>
          <w:bottom w:val="single" w:sz="4" w:color="D5DAE1"/>
          <w:right w:val="single" w:sz="4" w:color="D5DAE1"/>
          <w:insideH w:val="single" w:sz="4" w:color="D5DAE1"/>
          <w:insideV w:val="single" w:sz="4" w:color="D5DAE1"/>
        </w:tblBorders>
      </w:tblPr>
      <w:tblGrid>
        <w:gridCol w:w="2100"/>
        <w:gridCol w:w="2150"/>
        <w:gridCol w:w="3350"/>
        <w:gridCol w:w="1760"/>
      </w:tblGrid>
      <w:tr>
        <w:trPr>
          <w:tblHeader w:val="true"/>
        </w:trPr>
        <w:tc>
          <w:tcPr>
            <w:tcW w:type="dxa" w:w="21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7"/>
              </w:rPr>
              <w:t>测试</w:t>
            </w:r>
          </w:p>
        </w:tc>
        <w:tc>
          <w:tcPr>
            <w:tcW w:type="dxa" w:w="21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7"/>
              </w:rPr>
              <w:t>样本/规则</w:t>
            </w:r>
          </w:p>
        </w:tc>
        <w:tc>
          <w:tcPr>
            <w:tcW w:type="dxa" w:w="33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7"/>
              </w:rPr>
              <w:t>核心结果</w:t>
            </w:r>
          </w:p>
        </w:tc>
        <w:tc>
          <w:tcPr>
            <w:tcW w:type="dxa" w:w="17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7"/>
              </w:rPr>
              <w:t>决定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EPS 13周方向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69季度；未来63日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rho −0.126；2009–18 −0.242，2019+ −0.011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REJECT standalone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EPS周方向预测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1W/4W/12W；1191/1189/1183点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12W命中63.06%，ALWAYS_UP 70.41%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REJECT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EPS方向日策略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2001–2026；10bps换向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CAGR 3.96%，QQQ 12.09%；MDD更差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REJECT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Forward P/E择时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5年分位；低25%持有/高25%现金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CAGR 7.91%，QQQ 15.07%；全期MDD同为−53.41%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REJECT</w:t>
            </w:r>
          </w:p>
        </w:tc>
      </w:tr>
    </w:tbl>
    <w:p>
      <w:pPr>
        <w:spacing w:after="40"/>
      </w:pPr>
    </w:p>
    <w:p>
      <w:pPr>
        <w:spacing w:before="80" w:after="80"/>
      </w:pPr>
      <w:r>
        <w:rPr>
          <w:rFonts w:ascii="Arial Unicode MS" w:hAnsi="Arial Unicode MS" w:eastAsia="Arial Unicode MS"/>
          <w:b w:val="0"/>
          <w:i/>
          <w:color w:val="5B6573"/>
          <w:sz w:val="17"/>
        </w:rPr>
        <w:t>表4｜盈利与估值结果。这里否定的是免费代理和固定规则，不是正式分析师revision真值。〔C04〕</w:t>
      </w:r>
    </w:p>
    <w:p>
      <w:pPr>
        <w:pStyle w:val="Heading2"/>
      </w:pPr>
      <w:r>
        <w:t>4.2 原六家族、增量与策略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5DAE1"/>
          <w:left w:val="single" w:sz="4" w:color="D5DAE1"/>
          <w:bottom w:val="single" w:sz="4" w:color="D5DAE1"/>
          <w:right w:val="single" w:sz="4" w:color="D5DAE1"/>
          <w:insideH w:val="single" w:sz="4" w:color="D5DAE1"/>
          <w:insideV w:val="single" w:sz="4" w:color="D5DAE1"/>
        </w:tblBorders>
      </w:tblPr>
      <w:tblGrid>
        <w:gridCol w:w="1900"/>
        <w:gridCol w:w="2150"/>
        <w:gridCol w:w="2750"/>
        <w:gridCol w:w="2560"/>
      </w:tblGrid>
      <w:tr>
        <w:trPr>
          <w:tblHeader w:val="true"/>
        </w:trPr>
        <w:tc>
          <w:tcPr>
            <w:tcW w:type="dxa" w:w="19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因素</w:t>
            </w:r>
          </w:p>
        </w:tc>
        <w:tc>
          <w:tcPr>
            <w:tcW w:type="dxa" w:w="21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Standalone</w:t>
            </w:r>
          </w:p>
        </w:tc>
        <w:tc>
          <w:tcPr>
            <w:tcW w:type="dxa" w:w="27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加入简单基准</w:t>
            </w:r>
          </w:p>
        </w:tc>
        <w:tc>
          <w:tcPr>
            <w:tcW w:type="dxa" w:w="25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固定策略/最终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实际利率91日变化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rho −0.214；PASS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R63 RMSE改善2.3%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CAGR 14.9% vs 20.5%；REJECT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NDXE/NDX宽度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rho +0.246；PASS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RMSE −0.3%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REJECT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VIX水平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rho +0.455；反向候选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RMSE改善7.8%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CAGR 13.9% vs 21.2%；REJECT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2年率91日变化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rho −0.249；PASS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RMSE −2.7%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REJECT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Baa信用水平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rho +0.265；反向候选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RMSE改善2.3%，年份仅50%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REJECT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全球降息广度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rho +0.237；PASS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完整基线改善3.4%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CAGR 17.5% vs 21.2%；REJECT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G20 CLI路径风险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W63 rho +0.184；PASS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W63 RMSE −7.4%；Brier −14.3%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REJECT</w:t>
            </w:r>
          </w:p>
        </w:tc>
      </w:tr>
    </w:tbl>
    <w:p>
      <w:pPr>
        <w:spacing w:after="40"/>
      </w:pPr>
    </w:p>
    <w:p>
      <w:pPr>
        <w:spacing w:before="80" w:after="80"/>
      </w:pPr>
      <w:r>
        <w:rPr>
          <w:rFonts w:ascii="Arial Unicode MS" w:hAnsi="Arial Unicode MS" w:eastAsia="Arial Unicode MS"/>
          <w:b w:val="0"/>
          <w:i/>
          <w:color w:val="5B6573"/>
          <w:sz w:val="17"/>
        </w:rPr>
        <w:t>表5｜正数改善指误差下降；“反向候选”表示压力高后反弹，不等于提前避险。〔C05–C07〕</w:t>
      </w:r>
    </w:p>
    <w:p>
      <w:pPr>
        <w:pStyle w:val="Heading2"/>
      </w:pPr>
      <w:r>
        <w:t>4.3 上游、Carry、拥挤与网络补漏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5DAE1"/>
          <w:left w:val="single" w:sz="4" w:color="D5DAE1"/>
          <w:bottom w:val="single" w:sz="4" w:color="D5DAE1"/>
          <w:right w:val="single" w:sz="4" w:color="D5DAE1"/>
          <w:insideH w:val="single" w:sz="4" w:color="D5DAE1"/>
          <w:insideV w:val="single" w:sz="4" w:color="D5DAE1"/>
        </w:tblBorders>
      </w:tblPr>
      <w:tblGrid>
        <w:gridCol w:w="1650"/>
        <w:gridCol w:w="2800"/>
        <w:gridCol w:w="3300"/>
        <w:gridCol w:w="1610"/>
      </w:tblGrid>
      <w:tr>
        <w:trPr>
          <w:tblHeader w:val="true"/>
        </w:trPr>
        <w:tc>
          <w:tcPr>
            <w:tcW w:type="dxa" w:w="16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分支</w:t>
            </w:r>
          </w:p>
        </w:tc>
        <w:tc>
          <w:tcPr>
            <w:tcW w:type="dxa" w:w="28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代表变量</w:t>
            </w:r>
          </w:p>
        </w:tc>
        <w:tc>
          <w:tcPr>
            <w:tcW w:type="dxa" w:w="3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核心结果</w:t>
            </w:r>
          </w:p>
        </w:tc>
        <w:tc>
          <w:tcPr>
            <w:tcW w:type="dxa" w:w="161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结论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商品/供应链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铜、WTI、天然气、GSCPI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rho +0.073/+0.078/−0.083/+0.145；弱、反向或时期翻转</w:t>
            </w:r>
          </w:p>
        </w:tc>
        <w:tc>
          <w:tcPr>
            <w:tcW w:type="dxa" w:w="1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4/4 REJECT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半导体/电子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TSMC、台湾订单、韩国出口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rho −0.066/−0.118/−0.095</w:t>
            </w:r>
          </w:p>
        </w:tc>
        <w:tc>
          <w:tcPr>
            <w:tcW w:type="dxa" w:w="1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3/3 REJECT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中国/全球/运输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PMI、韩国CLI、G20 CLI、BLS空运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仅G20路径过单因素，增量失败</w:t>
            </w:r>
          </w:p>
        </w:tc>
        <w:tc>
          <w:tcPr>
            <w:tcW w:type="dxa" w:w="1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REJECT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Carry综合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利差、USDJPY、CFTC日元、波动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未来20日损失rho +0.060；危险格1.21x</w:t>
            </w:r>
          </w:p>
        </w:tc>
        <w:tc>
          <w:tcPr>
            <w:tcW w:type="dxa" w:w="1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REJECT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仓位拥挤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CFTC Nasdaq、FINRA、BIS×MOF、EBP、VIX曲线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5条rho均&lt;0.10且危险格均&lt;1.5x</w:t>
            </w:r>
          </w:p>
        </w:tc>
        <w:tc>
          <w:tcPr>
            <w:tcW w:type="dxa" w:w="1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5/5 REJECT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固定复杂挑战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三重交互Logit、深度2浅树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拥挤Logit +0.188%(&lt;5%)、浅树−0.102%；Carry浅树+5.72%但父门失败且63日RMSE恶化</w:t>
            </w:r>
          </w:p>
        </w:tc>
        <w:tc>
          <w:tcPr>
            <w:tcW w:type="dxa" w:w="1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REJECT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网络缺口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VXN、利润率、DSR、SCOOS、M3/SLOOS/Z.1/QFR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弱、方向相反或定义有缺陷；ACM/NDX期权数据BLOCK</w:t>
            </w:r>
          </w:p>
        </w:tc>
        <w:tc>
          <w:tcPr>
            <w:tcW w:type="dxa" w:w="1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全部不升级</w:t>
            </w:r>
          </w:p>
        </w:tc>
      </w:tr>
    </w:tbl>
    <w:p>
      <w:pPr>
        <w:spacing w:after="40"/>
      </w:pPr>
    </w:p>
    <w:p>
      <w:pPr>
        <w:spacing w:before="80" w:after="80"/>
      </w:pPr>
      <w:r>
        <w:rPr>
          <w:rFonts w:ascii="Arial Unicode MS" w:hAnsi="Arial Unicode MS" w:eastAsia="Arial Unicode MS"/>
          <w:b w:val="0"/>
          <w:i/>
          <w:color w:val="5B6573"/>
          <w:sz w:val="17"/>
        </w:rPr>
        <w:t>表6｜完整扩展分支。新增生产因子0、生产策略0。〔C07–C09〕</w:t>
      </w:r>
    </w:p>
    <w:p>
      <w:pPr>
        <w:pStyle w:val="Heading1"/>
      </w:pPr>
      <w:r>
        <w:t>5. 弱信号组合与时间点稳健性</w:t>
      </w:r>
    </w:p>
    <w:p>
      <w:r>
        <w:rPr>
          <w:rFonts w:ascii="Arial Unicode MS" w:hAnsi="Arial Unicode MS" w:eastAsia="Arial Unicode MS"/>
          <w:b w:val="0"/>
          <w:i w:val="0"/>
          <w:color w:val="1F2328"/>
          <w:sz w:val="22"/>
        </w:rPr>
        <w:t>为避免同一个故事重复投票，最终按因果渠道去重为old8（EPS、FPE、实际利率、VIX、Baa、宽度、全球降息、G20 CLI）与new4（M3、SLOOS、Z.1、QFR）。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5DAE1"/>
          <w:left w:val="single" w:sz="4" w:color="D5DAE1"/>
          <w:bottom w:val="single" w:sz="4" w:color="D5DAE1"/>
          <w:right w:val="single" w:sz="4" w:color="D5DAE1"/>
          <w:insideH w:val="single" w:sz="4" w:color="D5DAE1"/>
          <w:insideV w:val="single" w:sz="4" w:color="D5DAE1"/>
        </w:tblBorders>
      </w:tblPr>
      <w:tblGrid>
        <w:gridCol w:w="1700"/>
        <w:gridCol w:w="1300"/>
        <w:gridCol w:w="1200"/>
        <w:gridCol w:w="2400"/>
        <w:gridCol w:w="1100"/>
        <w:gridCol w:w="1660"/>
      </w:tblGrid>
      <w:tr>
        <w:trPr>
          <w:tblHeader w:val="true"/>
        </w:trPr>
        <w:tc>
          <w:tcPr>
            <w:tcW w:type="dxa" w:w="1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实验</w:t>
            </w:r>
          </w:p>
        </w:tc>
        <w:tc>
          <w:tcPr>
            <w:tcW w:type="dxa" w:w="1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样本</w:t>
            </w:r>
          </w:p>
        </w:tc>
        <w:tc>
          <w:tcPr>
            <w:tcW w:type="dxa" w:w="12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R63相对base</w:t>
            </w:r>
          </w:p>
        </w:tc>
        <w:tc>
          <w:tcPr>
            <w:tcW w:type="dxa" w:w="24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相对对手</w:t>
            </w:r>
          </w:p>
        </w:tc>
        <w:tc>
          <w:tcPr>
            <w:tcW w:type="dxa" w:w="11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W63</w:t>
            </w:r>
          </w:p>
        </w:tc>
        <w:tc>
          <w:tcPr>
            <w:tcW w:type="dxa" w:w="16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正式决定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new4季度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41折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+2.69%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比最好single差1.51%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−1.38%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REJECT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all12季度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39合法折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+5.56%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比VIX差4.46%；年份胜率50%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−6.58%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BLOCK_SAMPLE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all12月度合并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A31/B31/C31/D30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−6.33%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比VIX差8.59%；比old8好4.33%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−12.40%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REJECT</w:t>
            </w:r>
          </w:p>
        </w:tc>
      </w:tr>
    </w:tbl>
    <w:p>
      <w:pPr>
        <w:spacing w:after="40"/>
      </w:pPr>
    </w:p>
    <w:p>
      <w:pPr>
        <w:spacing w:before="80" w:after="80"/>
      </w:pPr>
      <w:r>
        <w:rPr>
          <w:rFonts w:ascii="Arial Unicode MS" w:hAnsi="Arial Unicode MS" w:eastAsia="Arial Unicode MS"/>
          <w:b w:val="0"/>
          <w:i/>
          <w:color w:val="5B6573"/>
          <w:sz w:val="17"/>
        </w:rPr>
        <w:t>表7｜组合结果。季度all12正式样本门要求40，实际39；月度合并仅作描述。〔C09–C11〕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5DAE1"/>
          <w:left w:val="single" w:sz="4" w:color="D5DAE1"/>
          <w:bottom w:val="single" w:sz="4" w:color="D5DAE1"/>
          <w:right w:val="single" w:sz="4" w:color="D5DAE1"/>
          <w:insideH w:val="single" w:sz="4" w:color="D5DAE1"/>
          <w:insideV w:val="single" w:sz="4" w:color="D5DAE1"/>
        </w:tblBorders>
      </w:tblPr>
      <w:tblGrid>
        <w:gridCol w:w="950"/>
        <w:gridCol w:w="1050"/>
        <w:gridCol w:w="1000"/>
        <w:gridCol w:w="1150"/>
        <w:gridCol w:w="1150"/>
        <w:gridCol w:w="1150"/>
        <w:gridCol w:w="1150"/>
        <w:gridCol w:w="1760"/>
      </w:tblGrid>
      <w:tr>
        <w:trPr>
          <w:tblHeader w:val="true"/>
        </w:trPr>
        <w:tc>
          <w:tcPr>
            <w:tcW w:type="dxa" w:w="9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5"/>
              </w:rPr>
              <w:t>月度相位</w:t>
            </w:r>
          </w:p>
        </w:tc>
        <w:tc>
          <w:tcPr>
            <w:tcW w:type="dxa" w:w="10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5"/>
              </w:rPr>
              <w:t>月份</w:t>
            </w:r>
          </w:p>
        </w:tc>
        <w:tc>
          <w:tcPr>
            <w:tcW w:type="dxa" w:w="10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5"/>
              </w:rPr>
              <w:t>OOS折数</w:t>
            </w:r>
          </w:p>
        </w:tc>
        <w:tc>
          <w:tcPr>
            <w:tcW w:type="dxa" w:w="11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5"/>
              </w:rPr>
              <w:t>R/base</w:t>
            </w:r>
          </w:p>
        </w:tc>
        <w:tc>
          <w:tcPr>
            <w:tcW w:type="dxa" w:w="11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5"/>
              </w:rPr>
              <w:t>R/VIX</w:t>
            </w:r>
          </w:p>
        </w:tc>
        <w:tc>
          <w:tcPr>
            <w:tcW w:type="dxa" w:w="11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5"/>
              </w:rPr>
              <w:t>R/old8</w:t>
            </w:r>
          </w:p>
        </w:tc>
        <w:tc>
          <w:tcPr>
            <w:tcW w:type="dxa" w:w="11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5"/>
              </w:rPr>
              <w:t>W/base</w:t>
            </w:r>
          </w:p>
        </w:tc>
        <w:tc>
          <w:tcPr>
            <w:tcW w:type="dxa" w:w="17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5"/>
              </w:rPr>
              <w:t>组门</w:t>
            </w:r>
          </w:p>
        </w:tc>
      </w:tr>
      <w:tr>
        <w:trPr>
          <w:cantSplit/>
        </w:trPr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5"/>
              </w:rPr>
              <w:t>A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5"/>
              </w:rPr>
              <w:t>1/5/9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5"/>
              </w:rPr>
              <w:t>31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5"/>
              </w:rPr>
              <w:t>−27.89%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5"/>
              </w:rPr>
              <w:t>−28.66%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5"/>
              </w:rPr>
              <w:t>+3.46%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5"/>
              </w:rPr>
              <w:t>−23.69%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5"/>
              </w:rPr>
              <w:t>FAIL</w:t>
            </w:r>
          </w:p>
        </w:tc>
      </w:tr>
      <w:tr>
        <w:trPr>
          <w:cantSplit/>
        </w:trPr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5"/>
              </w:rPr>
              <w:t>B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5"/>
              </w:rPr>
              <w:t>2/6/10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5"/>
              </w:rPr>
              <w:t>31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5"/>
              </w:rPr>
              <w:t>+5.18%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5"/>
              </w:rPr>
              <w:t>+4.47%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5"/>
              </w:rPr>
              <w:t>+8.84%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5"/>
              </w:rPr>
              <w:t>−14.25%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5"/>
              </w:rPr>
              <w:t>FAIL</w:t>
            </w:r>
          </w:p>
        </w:tc>
      </w:tr>
      <w:tr>
        <w:trPr>
          <w:cantSplit/>
        </w:trPr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5"/>
              </w:rPr>
              <w:t>C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5"/>
              </w:rPr>
              <w:t>3/7/11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5"/>
              </w:rPr>
              <w:t>31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5"/>
              </w:rPr>
              <w:t>+5.64%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5"/>
              </w:rPr>
              <w:t>+1.30%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5"/>
              </w:rPr>
              <w:t>+5.54%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5"/>
              </w:rPr>
              <w:t>+1.86%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5"/>
              </w:rPr>
              <w:t>D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5"/>
              </w:rPr>
              <w:t>4/8/12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5"/>
              </w:rPr>
              <w:t>30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5"/>
              </w:rPr>
              <w:t>−12.03%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5"/>
              </w:rPr>
              <w:t>−13.11%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5"/>
              </w:rPr>
              <w:t>+0.42%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5"/>
              </w:rPr>
              <w:t>−7.87%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5"/>
              </w:rPr>
              <w:t>FAIL</w:t>
            </w:r>
          </w:p>
        </w:tc>
      </w:tr>
    </w:tbl>
    <w:p>
      <w:pPr>
        <w:spacing w:after="40"/>
      </w:pPr>
    </w:p>
    <w:p>
      <w:pPr>
        <w:spacing w:before="80" w:after="80"/>
      </w:pPr>
      <w:r>
        <w:rPr>
          <w:rFonts w:ascii="Arial Unicode MS" w:hAnsi="Arial Unicode MS" w:eastAsia="Arial Unicode MS"/>
          <w:b w:val="0"/>
          <w:i/>
          <w:color w:val="5B6573"/>
          <w:sz w:val="17"/>
        </w:rPr>
        <w:t>表8｜四相位分别训练，组内未来63日窗口重叠为0。通过线为至少3/4组；实际1/4。</w:t>
      </w:r>
    </w:p>
    <w:p>
      <w:pPr>
        <w:spacing w:before="80" w:after="180" w:line="269" w:lineRule="auto"/>
        <w:ind w:left="173" w:right="115"/>
        <w:shd w:fill="FFF3F2"/>
      </w:pPr>
      <w:r>
        <w:rPr>
          <w:rFonts w:ascii="Arial Unicode MS" w:hAnsi="Arial Unicode MS" w:eastAsia="Arial Unicode MS"/>
          <w:b/>
          <w:color w:val="9B1C1C"/>
          <w:sz w:val="22"/>
        </w:rPr>
        <w:t xml:space="preserve">最强稳健性结论： </w:t>
      </w:r>
      <w:r>
        <w:rPr>
          <w:rFonts w:ascii="Arial Unicode MS" w:hAnsi="Arial Unicode MS" w:eastAsia="Arial Unicode MS"/>
          <w:color w:val="1F2328"/>
          <w:sz w:val="22"/>
        </w:rPr>
        <w:t>季度末看见的少量优势没有在其他月末复现。程序审计通过，研究结论是REJECT_TIMING_ROBUSTNESS。</w:t>
      </w:r>
    </w:p>
    <w:p>
      <w:pPr>
        <w:pStyle w:val="Heading1"/>
      </w:pPr>
      <w:r>
        <w:t>6. 推理：为什么不能升级复杂模型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1F2328"/>
          <w:sz w:val="22"/>
        </w:rPr>
        <w:t>相关不等于增量：市场宽度、2年率等单独有排序关系，但加入past63后失去价值。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1F2328"/>
          <w:sz w:val="22"/>
        </w:rPr>
        <w:t>增量不等于可交易：实际利率、VIX、全球降息广度曾降低历史RMSE，但固定T+1策略没有同时满足CAGR、风险与压力成本的全部门槛。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1F2328"/>
          <w:sz w:val="22"/>
        </w:rPr>
        <w:t>压力变量常是事后反弹状态：高VIX、高Baa、贷款收紧后的较高未来回报，更接近恐慌后反弹，而非提前躲避下跌。此解释是推断，不是因果证明。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1F2328"/>
          <w:sz w:val="22"/>
        </w:rPr>
        <w:t>复杂度没有形成正式门槛优势：拥挤Logit只改善Brier 0.188%而门槛为5%，拥挤浅树恶化；Carry浅树虽局部改善5.72%，但父信号门失败且63日模型更差。继续换模型只增加从已看历史中挑结果的空间。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1F2328"/>
          <w:sz w:val="22"/>
        </w:rPr>
        <w:t>季度组合的正结果证据较弱：样本门未过、输VIX、路径更差；月度四相位进一步显示时间点不稳健。</w:t>
      </w:r>
    </w:p>
    <w:p>
      <w:r>
        <w:rPr>
          <w:rFonts w:ascii="Arial Unicode MS" w:hAnsi="Arial Unicode MS" w:eastAsia="Arial Unicode MS"/>
          <w:b w:val="0"/>
          <w:i w:val="0"/>
          <w:color w:val="1F2328"/>
          <w:sz w:val="22"/>
        </w:rPr>
        <w:t>因此已验证的是：现有免费代理没有形成通过全部冻结门槛、可上线的稳定增量价值；“真正分析师revision无效”“所有复杂模型永远无用”都没有被证明。</w:t>
      </w:r>
    </w:p>
    <w:p>
      <w:pPr>
        <w:pStyle w:val="Heading1"/>
      </w:pPr>
      <w:r>
        <w:t>7. 审计结果</w:t>
      </w:r>
    </w:p>
    <w:p>
      <w:pPr>
        <w:pStyle w:val="Heading2"/>
      </w:pPr>
      <w:r>
        <w:t>7.1 两种审计状态必须分开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5DAE1"/>
          <w:left w:val="single" w:sz="4" w:color="D5DAE1"/>
          <w:bottom w:val="single" w:sz="4" w:color="D5DAE1"/>
          <w:right w:val="single" w:sz="4" w:color="D5DAE1"/>
          <w:insideH w:val="single" w:sz="4" w:color="D5DAE1"/>
          <w:insideV w:val="single" w:sz="4" w:color="D5DAE1"/>
        </w:tblBorders>
      </w:tblPr>
      <w:tblGrid>
        <w:gridCol w:w="2200"/>
        <w:gridCol w:w="3300"/>
        <w:gridCol w:w="3860"/>
      </w:tblGrid>
      <w:tr>
        <w:trPr>
          <w:tblHeader w:val="true"/>
        </w:trPr>
        <w:tc>
          <w:tcPr>
            <w:tcW w:type="dxa" w:w="22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7"/>
              </w:rPr>
              <w:t>状态</w:t>
            </w:r>
          </w:p>
        </w:tc>
        <w:tc>
          <w:tcPr>
            <w:tcW w:type="dxa" w:w="3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7"/>
              </w:rPr>
              <w:t>问题</w:t>
            </w:r>
          </w:p>
        </w:tc>
        <w:tc>
          <w:tcPr>
            <w:tcW w:type="dxa" w:w="38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7"/>
              </w:rPr>
              <w:t>本研究结论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LOCAL_REPRODUCIBILITY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同一冻结输入和合同能否得到同一特征与结果？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主月度链PASS；主要扩展分支有独立重算/manifest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HISTORICAL_PIT_VALIDITY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过去日期上是否真是当时可见、后来未改写的版本？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EPS/FPE及多条宏观不完整；精确aggregate仍BLOCK</w:t>
            </w:r>
          </w:p>
        </w:tc>
      </w:tr>
    </w:tbl>
    <w:p>
      <w:pPr>
        <w:spacing w:after="40"/>
      </w:pPr>
    </w:p>
    <w:p>
      <w:pPr>
        <w:spacing w:before="80" w:after="80"/>
      </w:pPr>
      <w:r>
        <w:rPr>
          <w:rFonts w:ascii="Arial Unicode MS" w:hAnsi="Arial Unicode MS" w:eastAsia="Arial Unicode MS"/>
          <w:b w:val="0"/>
          <w:i/>
          <w:color w:val="5B6573"/>
          <w:sz w:val="17"/>
        </w:rPr>
        <w:t>表9｜可复跑的current-vintage快照不等于真正历史PIT。</w:t>
      </w:r>
    </w:p>
    <w:p>
      <w:r>
        <w:rPr>
          <w:rFonts w:ascii="Arial Unicode MS" w:hAnsi="Arial Unicode MS" w:eastAsia="Arial Unicode MS"/>
          <w:b w:val="0"/>
          <w:i w:val="0"/>
          <w:color w:val="1F2328"/>
          <w:sz w:val="22"/>
        </w:rPr>
        <w:t>月度12因子实验的本地链最完整：20个冻结输入aggregate SHA-256为a293f9ca…edfb；合同17f91180…774e；SOURCE_MAP 7bc941c3…567e；204条完整月末特征a07d8dec…c189；3,690个预测2cc021a0…d5fd；结果a63f72ac…c6e6。独立重建211个月末，value/reference/available/age逐行0差异；as-of、stale、组内重叠与双purge违规均为0；15,252条系数复算一致；三次核心输出逐字节相同。〔C11〕</w:t>
      </w:r>
    </w:p>
    <w:p>
      <w:r>
        <w:rPr>
          <w:rFonts w:ascii="Arial Unicode MS" w:hAnsi="Arial Unicode MS" w:eastAsia="Arial Unicode MS"/>
          <w:b w:val="0"/>
          <w:i w:val="0"/>
          <w:color w:val="1F2328"/>
          <w:sz w:val="22"/>
        </w:rPr>
        <w:t>这证明负面计算结论可复现，不证明输入是完美PIT，也不是外部学术复现。原始研究目录不是Git仓库；本GitHub副本主要依赖合同哈希、选定输入/输出manifest与独立审计记录。</w:t>
      </w:r>
    </w:p>
    <w:p>
      <w:pPr>
        <w:pStyle w:val="Heading2"/>
      </w:pPr>
      <w:r>
        <w:t>7.2 已知限制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1F2328"/>
          <w:sz w:val="22"/>
        </w:rPr>
        <w:t>多数历史宏观/业务序列是current-vintage；只有韩国CLI逐版资料较强。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1F2328"/>
          <w:sz w:val="22"/>
        </w:rPr>
        <w:t>History of Market、MacroMicro和GuruFocus的来源、方法、许可或历史重写规则不完整。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1F2328"/>
          <w:sz w:val="22"/>
        </w:rPr>
        <w:t>2009–2026历史已反复查看；pseudo-OOS不能替代真正未来验证。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1F2328"/>
          <w:sz w:val="22"/>
        </w:rPr>
        <w:t>月度四组内部不重叠，但组间经历同一市场事件；合并123折不是123次独立危机。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1F2328"/>
          <w:sz w:val="22"/>
        </w:rPr>
        <w:t>QQQ历史价格按拆股调整、不含股息；现金收益在部分策略中保守设为0。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1F2328"/>
          <w:sz w:val="22"/>
        </w:rPr>
        <w:t>部分早期Batch合同可证明结果前存在，但不能仅凭当前mtime证明最终字节从未修改。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1F2328"/>
          <w:sz w:val="22"/>
        </w:rPr>
        <w:t>未做HAC或多重检验校正；周度EPS与Carry标签高度重叠。本研究是冻结门槛筛查，不是证明所有候选无效的完整统计检验。</w:t>
      </w:r>
    </w:p>
    <w:p>
      <w:pPr>
        <w:pStyle w:val="Heading1"/>
      </w:pPr>
      <w:r>
        <w:t>8. 真正未来OOS与最终决定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5DAE1"/>
          <w:left w:val="single" w:sz="4" w:color="D5DAE1"/>
          <w:bottom w:val="single" w:sz="4" w:color="D5DAE1"/>
          <w:right w:val="single" w:sz="4" w:color="D5DAE1"/>
          <w:insideH w:val="single" w:sz="4" w:color="D5DAE1"/>
          <w:insideV w:val="single" w:sz="4" w:color="D5DAE1"/>
        </w:tblBorders>
      </w:tblPr>
      <w:tblGrid>
        <w:gridCol w:w="2050"/>
        <w:gridCol w:w="3300"/>
        <w:gridCol w:w="2400"/>
        <w:gridCol w:w="1610"/>
      </w:tblGrid>
      <w:tr>
        <w:trPr>
          <w:tblHeader w:val="true"/>
        </w:trPr>
        <w:tc>
          <w:tcPr>
            <w:tcW w:type="dxa" w:w="20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7"/>
              </w:rPr>
              <w:t>路线</w:t>
            </w:r>
          </w:p>
        </w:tc>
        <w:tc>
          <w:tcPr>
            <w:tcW w:type="dxa" w:w="3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7"/>
              </w:rPr>
              <w:t>已冻结</w:t>
            </w:r>
          </w:p>
        </w:tc>
        <w:tc>
          <w:tcPr>
            <w:tcW w:type="dxa" w:w="24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7"/>
              </w:rPr>
              <w:t>当前状态</w:t>
            </w:r>
          </w:p>
        </w:tc>
        <w:tc>
          <w:tcPr>
            <w:tcW w:type="dxa" w:w="161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7"/>
              </w:rPr>
              <w:t>正式判断线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旧 .forward EPS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协议与预测内容未发布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未来研究文件未发布</w:t>
            </w:r>
          </w:p>
        </w:tc>
        <w:tc>
          <w:tcPr>
            <w:tcW w:type="dxa" w:w="1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正式规则未发布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forwardOwn sidecar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协议与预测内容未发布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未来研究文件未发布</w:t>
            </w:r>
          </w:p>
        </w:tc>
        <w:tc>
          <w:tcPr>
            <w:tcW w:type="dxa" w:w="1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正式规则未发布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实际利率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协议与预测内容未发布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未来研究文件未发布</w:t>
            </w:r>
          </w:p>
        </w:tc>
        <w:tc>
          <w:tcPr>
            <w:tcW w:type="dxa" w:w="1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7"/>
              </w:rPr>
              <w:t>正式规则未发布</w:t>
            </w:r>
          </w:p>
        </w:tc>
      </w:tr>
    </w:tbl>
    <w:p>
      <w:pPr>
        <w:spacing w:after="40"/>
      </w:pPr>
    </w:p>
    <w:p>
      <w:pPr>
        <w:spacing w:before="80" w:after="80"/>
      </w:pPr>
      <w:r>
        <w:rPr>
          <w:rFonts w:ascii="Arial Unicode MS" w:hAnsi="Arial Unicode MS" w:eastAsia="Arial Unicode MS"/>
          <w:b w:val="0"/>
          <w:i/>
          <w:color w:val="5B6573"/>
          <w:sz w:val="17"/>
        </w:rPr>
        <w:t>表10｜截止本论文证据时间，所有未来结果均未成熟。〔C12〕</w:t>
      </w:r>
    </w:p>
    <w:p>
      <w:r>
        <w:rPr>
          <w:rFonts w:ascii="Arial Unicode MS" w:hAnsi="Arial Unicode MS" w:eastAsia="Arial Unicode MS"/>
          <w:b w:val="0"/>
          <w:i w:val="0"/>
          <w:color w:val="1F2328"/>
          <w:sz w:val="22"/>
        </w:rPr>
        <w:t>全部真正未来OOS协议、预测和账本只保存在本机，未向GitHub发布；GitHub清单仅保留省略文件的原始哈希与原因。历史研究结论不依赖这些未成熟未来结果。〔C12〕</w:t>
      </w:r>
    </w:p>
    <w:p>
      <w:r>
        <w:rPr>
          <w:rFonts w:ascii="Arial Unicode MS" w:hAnsi="Arial Unicode MS" w:eastAsia="Arial Unicode MS"/>
          <w:b w:val="0"/>
          <w:i w:val="0"/>
          <w:color w:val="1F2328"/>
          <w:sz w:val="22"/>
        </w:rPr>
        <w:t>最终决定：不修改生产策略；不继续历史择优；不把代理叫官方EPS；只按协议追加未来结果。若要重开正式盈利研究，先向LSEG/FactSet/Bloomberg等取得直接Nasdaq-100 aggregate PIT样本、字段定义、vintage与使用许可；否则停止。〔C12–C13〕</w:t>
      </w:r>
    </w:p>
    <w:p>
      <w:pPr>
        <w:spacing w:before="80" w:after="180" w:line="269" w:lineRule="auto"/>
        <w:ind w:left="173" w:right="115"/>
        <w:shd w:fill="EDF4FF"/>
      </w:pPr>
      <w:r>
        <w:rPr>
          <w:rFonts w:ascii="Arial Unicode MS" w:hAnsi="Arial Unicode MS" w:eastAsia="Arial Unicode MS"/>
          <w:b/>
          <w:color w:val="0B2545"/>
          <w:sz w:val="22"/>
        </w:rPr>
        <w:t xml:space="preserve">一句话： </w:t>
      </w:r>
      <w:r>
        <w:rPr>
          <w:rFonts w:ascii="Arial Unicode MS" w:hAnsi="Arial Unicode MS" w:eastAsia="Arial Unicode MS"/>
          <w:color w:val="1F2328"/>
          <w:sz w:val="22"/>
        </w:rPr>
        <w:t>我们审清了“现有免费代理怎么算”，也确认它没有形成稳定优势；但最核心的历史盈利真值仍拿不到，所以结论是停止历史代理优化，而不是宣称盈利永远无法预测QQQ。</w:t>
      </w:r>
    </w:p>
    <w:p>
      <w:pPr>
        <w:pStyle w:val="Heading1"/>
        <w:pageBreakBefore/>
      </w:pPr>
      <w:r>
        <w:t>附录A｜完整因素覆盖（压缩版）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5DAE1"/>
          <w:left w:val="single" w:sz="4" w:color="D5DAE1"/>
          <w:bottom w:val="single" w:sz="4" w:color="D5DAE1"/>
          <w:right w:val="single" w:sz="4" w:color="D5DAE1"/>
          <w:insideH w:val="single" w:sz="4" w:color="D5DAE1"/>
          <w:insideV w:val="single" w:sz="4" w:color="D5DAE1"/>
        </w:tblBorders>
      </w:tblPr>
      <w:tblGrid>
        <w:gridCol w:w="1900"/>
        <w:gridCol w:w="5000"/>
        <w:gridCol w:w="2460"/>
      </w:tblGrid>
      <w:tr>
        <w:trPr>
          <w:tblHeader w:val="true"/>
        </w:trPr>
        <w:tc>
          <w:tcPr>
            <w:tcW w:type="dxa" w:w="19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因果渠道</w:t>
            </w:r>
          </w:p>
        </w:tc>
        <w:tc>
          <w:tcPr>
            <w:tcW w:type="dxa" w:w="50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已测试变量</w:t>
            </w:r>
          </w:p>
        </w:tc>
        <w:tc>
          <w:tcPr>
            <w:tcW w:type="dxa" w:w="24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最终状态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盈利/估值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隐含EPS方向、Forward P/E水平/变化/分位策略、forwardOwn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历史代理REJECT；sidecar live-only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折现率/通胀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10年实际利率水平/91日变化、2年率、T10YIE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仅实际利率增量PASS；策略REJECT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风险/金融条件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VIX、Baa/HY、NFCI、Fed净流动性、VIX曲线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VIX增量PASS；策略REJECT；其余REJECT/BLOCK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市场结构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NDXE/NDX宽度、集中度代理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standalone PASS；增量REJECT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全球资金/Carry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G7降息、利差、日元、USDJPY、跨境日元债务×资金流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降息增量PASS；策略REJECT；Carry REJECT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商品/供应链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铜、WTI、天然气、GSCPI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全部standalone REJECT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半导体/需求/运输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TSMC、台湾/韩国出口、PMI、CLI、BLS空运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仅G20路径standalone PASS；增量REJECT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拥挤/融资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CFTC Nasdaq、FINRA margin、EBP、SCOOS、dealer类代理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单因素与固定交互REJECT；gamma/basis BLOCK_FREE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公司/行业基本面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BEA利润率、BIS DSR、M3、SLOOS、Z.1、QFR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弱、反向或定义缺陷；全部不升级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组合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new4、old8+new4、月度四相位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6"/>
              </w:rPr>
              <w:t>REJECT / BLOCK_SAMPLE / REJECT_TIMING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附录B｜主张—证据索引</w:t>
      </w:r>
    </w:p>
    <w:p>
      <w:r>
        <w:rPr>
          <w:rFonts w:ascii="Arial Unicode MS" w:hAnsi="Arial Unicode MS" w:eastAsia="Arial Unicode MS"/>
          <w:b w:val="0"/>
          <w:i w:val="0"/>
          <w:color w:val="1F2328"/>
          <w:sz w:val="22"/>
        </w:rPr>
        <w:t>原始本机证据根目录使用P、S两个别名；具体绝对路径未向GitHub发布。原始机器清单选定49份证据，aggregate SHA-256 = e3b758dbb560ae0e1b83ffa5834f12bec6a3a168d5172a0fbfd6134c8c4e5b83。GitHub审计包分发39份证据，另10份只保留原始哈希与省略原因；下表SHA为原始文件完整SHA-256前12位。底层raw与完整source manifests由相应审计/终报继续追溯，本清单不是所有原始字节的全集。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5DAE1"/>
          <w:left w:val="single" w:sz="4" w:color="D5DAE1"/>
          <w:bottom w:val="single" w:sz="4" w:color="D5DAE1"/>
          <w:right w:val="single" w:sz="4" w:color="D5DAE1"/>
          <w:insideH w:val="single" w:sz="4" w:color="D5DAE1"/>
          <w:insideV w:val="single" w:sz="4" w:color="D5DAE1"/>
        </w:tblBorders>
      </w:tblPr>
      <w:tblGrid>
        <w:gridCol w:w="900"/>
        <w:gridCol w:w="3300"/>
        <w:gridCol w:w="5160"/>
      </w:tblGrid>
      <w:tr>
        <w:trPr>
          <w:tblHeader w:val="true"/>
        </w:trPr>
        <w:tc>
          <w:tcPr>
            <w:tcW w:type="dxa" w:w="9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主张</w:t>
            </w:r>
          </w:p>
        </w:tc>
        <w:tc>
          <w:tcPr>
            <w:tcW w:type="dxa" w:w="3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可核对结论</w:t>
            </w:r>
          </w:p>
        </w:tc>
        <w:tc>
          <w:tcPr>
            <w:tcW w:type="dxa" w:w="51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4"/>
              </w:rPr>
              <w:t>证据文件与SHA前缀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4"/>
              </w:rPr>
              <w:t>C01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4"/>
              </w:rPr>
              <w:t>研究从直接aggregate EPS数据门开始，并禁止继续2,745行重建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4"/>
              </w:rPr>
              <w:t>E01 S/PROJECT_STATE.md [8006ee49f195]</w:t>
              <w:br/>
              <w:t>E02 S/NORTH_STAR.md [e09064188f29]</w:t>
              <w:br/>
              <w:t>E03 S/RESTART_PROMPT.md [58df05f69e15]</w:t>
              <w:br/>
              <w:t>E04 S/artifacts/eps-feasibility-old/FEASIBILITY_REPORT.md [b0ac0892224d]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4"/>
              </w:rPr>
              <w:t>C02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4"/>
              </w:rPr>
              <w:t>免费精确NDX/QQQ aggregate EPS/Forward EPS/revision数据门为BLOCK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4"/>
              </w:rPr>
              <w:t>E05 S/artifacts/nasdaq-anchor-evidence/verdict.json [5ffeaf5c6920]</w:t>
              <w:br/>
              <w:t>E06 S/artifacts/nasdaq-anchor-evidence/audit_report.md [0f9a4fdbe13b]</w:t>
              <w:br/>
              <w:t>E07 P/outputs/QQQ_EPS_DATA_SOURCE_FEASIBILITY.md [8ce78dbf9f00]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4"/>
              </w:rPr>
              <w:t>C03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4"/>
              </w:rPr>
              <w:t>免费Forward P/E及隐含EPS只能标PROXY，形状核验不能解决vintage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4"/>
              </w:rPr>
              <w:t>E08 P/outputs/QQQ_FORWARD_PE_DATA_REALITY_CHECK.md [27b9213b894c]</w:t>
              <w:br/>
              <w:t>E09 P/outputs/NDX_EPS_PROXY_SHAPE_COMPARISON.md [2fe11dabd53c]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4"/>
              </w:rPr>
              <w:t>C04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4"/>
              </w:rPr>
              <w:t>隐含EPS方向与Forward P/E固定历史策略均未胜过QQQ简单基准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4"/>
              </w:rPr>
              <w:t>E10 P/outputs/QQQ_PROXY_BACKTEST_RESULTS.md [83f4f5d19f72]</w:t>
              <w:br/>
              <w:t>E11 P/work/evidence/qqq-proxy-backtest/AUDIT.json [61897879dbbf]</w:t>
              <w:br/>
              <w:t>E12 P/outputs/QQQ_FORWARD_PE_AUDIT.md [c1b693a8e169]</w:t>
              <w:br/>
              <w:t>E13 P/work/evidence/forward-pe-valuation-backtest/AUDIT.json [794454c431ce]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4"/>
              </w:rPr>
              <w:t>C05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4"/>
              </w:rPr>
              <w:t>统一63日合同、单因素与增量测试按冻结门槛执行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4"/>
              </w:rPr>
              <w:t>E14 P/outputs/QQQ_UNIFIED_TEST_CONTRACT.md [64e522b5db1c]</w:t>
              <w:br/>
              <w:t>E15 P/outputs/QQQ_EPS_DIRECTION_DIAGNOSTIC.md [7c8bb8144932]</w:t>
              <w:br/>
              <w:t>E16 P/outputs/QQQ_PE_REAL_YIELD_UNIFORM_DIAGNOSTIC.md [0a8282fd1cf5]</w:t>
              <w:br/>
              <w:t>E17 P/outputs/QQQ_NFCI_BREADTH_DIAGNOSTIC.md [d3c9f1486154]</w:t>
              <w:br/>
              <w:t>E18 P/outputs/QQQ_MISSING_FACTOR_DIAGNOSTIC.md [c4f6b57f245f]</w:t>
              <w:br/>
              <w:t>E19 P/outputs/QQQ_INCREMENTAL_OOS_RESULTS.json [c9d9cc97f34c]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4"/>
              </w:rPr>
              <w:t>C06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4"/>
              </w:rPr>
              <w:t>实际利率、VIX与全球降息广度的固定策略均REJECT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4"/>
              </w:rPr>
              <w:t>E20 P/outputs/QQQ_REAL_YIELD_CHALLENGER_RESULTS.json [0629e0a88fd8]</w:t>
              <w:br/>
              <w:t>E21 P/outputs/QQQ_VIX_CONTRARIAN_RESULTS.json [b2c70ef42c66]</w:t>
              <w:br/>
              <w:t>E22 P/outputs/QQQ_G7_FUNDING_AUDIT.md [463d7f7f74ba]</w:t>
              <w:br/>
              <w:t>E23 P/outputs/QQQ_G7_EASING_CHALLENGER_RESULTS.json [1035ccfd1b55]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4"/>
              </w:rPr>
              <w:t>C07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4"/>
              </w:rPr>
              <w:t>商品、供应链、半导体、需求与运输没有新增生产因子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4"/>
              </w:rPr>
              <w:t>E24 P/outputs/QQQ_UPSTREAM_FINAL_VERDICT.md [3d64eeb3c1ff]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4"/>
              </w:rPr>
              <w:t>C08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4"/>
              </w:rPr>
              <w:t>Carry、拥挤及固定复杂交互没有稳定增量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4"/>
              </w:rPr>
              <w:t>E25 P/outputs/QQQ_CARRY_COMPLEX_INDEPENDENT_AUDIT.md [a0449f748c37]</w:t>
              <w:br/>
              <w:t>E26 P/outputs/QQQ_CROWDING_DIAGNOSTIC_FINAL_AUDIT.md [e9802553b4ad]</w:t>
              <w:br/>
              <w:t>E27 P/outputs/QQQ_CROWDING_INTERACTION_INDEPENDENT_AUDIT.md [85e609ba6972]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4"/>
              </w:rPr>
              <w:t>C09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4"/>
              </w:rPr>
              <w:t>网络补漏的新基本面、融资与杠杆候选均未过正式门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4"/>
              </w:rPr>
              <w:t>E28 P/work/new-factor-audit/NETWORK_GAP_AUDIT.md [bc5411284c84]</w:t>
              <w:br/>
              <w:t>E29 P/work/new-factor-audit/NETWORK_BATCH2_INDEPENDENT_AUDIT.md [036601f2a121]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4"/>
              </w:rPr>
              <w:t>C10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4"/>
              </w:rPr>
              <w:t>old8+new4季度组合因39&lt;40而BLOCK_SAMPLE且实质门失败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4"/>
              </w:rPr>
              <w:t>E30 P/work/network-reaudit-batch2/broad-ensemble/PREREGISTRATION.md [feeab5db5be0]</w:t>
              <w:br/>
              <w:t>E31 P/work/network-reaudit-batch2/broad-ensemble/results/results.json [c39acda6b50e]</w:t>
              <w:br/>
              <w:t>E32 P/work/new-factor-audit/BROAD_ENSEMBLE_INDEPENDENT_AUDIT.md [5d211fb3140d]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4"/>
              </w:rPr>
              <w:t>C11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4"/>
              </w:rPr>
              <w:t>月度四相位仅1/4组通过，正式REJECT_TIMING_ROBUSTNESS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4"/>
              </w:rPr>
              <w:t>E33 P/work/monthly-staggered-sensitivity/PREREGISTRATION.md [17f911803112]</w:t>
              <w:br/>
              <w:t>E34 P/work/monthly-staggered-sensitivity/SOURCE_MAP.md [7bc941c37ac0]</w:t>
              <w:br/>
              <w:t>E35 P/work/monthly-staggered-sensitivity/artifacts/final/sources.json [2cd48b3242f4]</w:t>
              <w:br/>
              <w:t>E36 P/work/monthly-staggered-sensitivity/artifacts/final/monthly_features.csv [a07d8dec07b9]</w:t>
              <w:br/>
              <w:t>E37 P/work/monthly-staggered-sensitivity/artifacts/final/predictions.csv [2cc021a04dc0]</w:t>
              <w:br/>
              <w:t>E38 P/work/monthly-staggered-sensitivity/artifacts/final/results.json [a63f72ac2540]</w:t>
              <w:br/>
              <w:t>E39 P/work/new-factor-audit/MONTHLY_STAGGERED_INDEPENDENT_AUDIT.md [95b8d056ec29]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4"/>
              </w:rPr>
              <w:t>C12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4"/>
              </w:rPr>
              <w:t>真正未来EPS与实际利率路线已冻结但尚无成熟结果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4"/>
              </w:rPr>
              <w:t>E40 P/outputs/QQQ_EPS_LIVE_OOS_PROTOCOL.md [58f5df1fa470]</w:t>
              <w:br/>
              <w:t>E41 P/outputs/QQQ_EPS_LIVE_OOS_HEARTBEAT.csv [9351ea15b2d8]</w:t>
              <w:br/>
              <w:t>E42 P/outputs/QQQ_PROSPECTIVE_DIRECTION_TEST.csv [28760b2c7f6e]</w:t>
              <w:br/>
              <w:t>E43 P/outputs/QQQ_FORWARD_OWN_PROSPECTIVE_TEST.csv [209a5d4ae12d]</w:t>
              <w:br/>
              <w:t>E44 P/outputs/QQQ_LIVE_OOS_PROTOCOL.md [33158201b62f]</w:t>
              <w:br/>
              <w:t>E45 P/outputs/QQQ_LIVE_OOS_LEDGER.csv [e789ba8d840b]</w:t>
              <w:br/>
              <w:t>E47 P/work/evidence/prospective-qqq-nowcast/2026-08-28T100037Z/qa-report.md [1ae656673463]</w:t>
              <w:br/>
              <w:t>E48 P/work/evidence/prospective-qqq-nowcast/2026-08-28T100037Z/late-capture/sources.json [9ca638f2f6ad]</w:t>
              <w:br/>
              <w:t>E49 P/work/evidence/forward-own-live-sidecar/2026-08-28T161103Z/transformation.json [10f30879cd06]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4"/>
              </w:rPr>
              <w:t>C13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4"/>
              </w:rPr>
              <w:t>全部历史路线最终没有新增生产因子或策略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F2328"/>
                <w:sz w:val="14"/>
              </w:rPr>
              <w:t>E46 P/outputs/QQQ_FACTOR_STATUS_MATRIX.md [698b0fd884da]</w:t>
            </w:r>
          </w:p>
        </w:tc>
      </w:tr>
    </w:tbl>
    <w:p>
      <w:pPr>
        <w:spacing w:after="40"/>
      </w:pPr>
    </w:p>
    <w:p>
      <w:pPr>
        <w:spacing w:before="80" w:after="80"/>
      </w:pPr>
      <w:r>
        <w:rPr>
          <w:rFonts w:ascii="Arial Unicode MS" w:hAnsi="Arial Unicode MS" w:eastAsia="Arial Unicode MS"/>
          <w:b w:val="0"/>
          <w:i/>
          <w:color w:val="5B6573"/>
          <w:sz w:val="17"/>
        </w:rPr>
        <w:t>表11｜主张索引。审计先验证清单全哈希，再从结果文件回到合同、特征、规范化数据与原始source manifest。</w:t>
      </w:r>
    </w:p>
    <w:p>
      <w:pPr>
        <w:pStyle w:val="Heading1"/>
        <w:pageBreakBefore/>
      </w:pPr>
      <w:r>
        <w:t>附录C｜审计复现入口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/>
          <w:b w:val="0"/>
          <w:i w:val="0"/>
          <w:color w:val="1F2328"/>
          <w:sz w:val="22"/>
        </w:rPr>
        <w:t>运行 scripts/verify_evidence_manifest.py，确认39份已分发证据及aggregate hash；10份省略项只核对原始哈希和原因。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/>
          <w:b w:val="0"/>
          <w:i w:val="0"/>
          <w:color w:val="1F2328"/>
          <w:sz w:val="22"/>
        </w:rPr>
        <w:t>数据门：读取evidence/S/artifacts/nasdaq-anchor-evidence/verdict.json与audit_report.md，核对6/8 BLOCK和排除理由。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/>
          <w:b w:val="0"/>
          <w:i w:val="0"/>
          <w:color w:val="1F2328"/>
          <w:sz w:val="22"/>
        </w:rPr>
        <w:t>季度组合：读取evidence/P/work/network-reaudit-batch2/broad-ensemble/PREREGISTRATION.md、results/results.json和独立审计。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/>
          <w:b w:val="0"/>
          <w:i w:val="0"/>
          <w:color w:val="1F2328"/>
          <w:sz w:val="22"/>
        </w:rPr>
        <w:t>月度主实验：在evidence/P/work/monthly-staggered-sensitivity/依次读取PREREGISTRATION.md、SOURCE_MAP.md、sources.json、predictions.csv、results.json与独立审计；monthly_features.csv未分发，只保留原始哈希。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/>
          <w:b w:val="0"/>
          <w:i w:val="0"/>
          <w:color w:val="1F2328"/>
          <w:sz w:val="22"/>
        </w:rPr>
        <w:t>真正未来：全部协议、预测与账本均未向GitHub发布；清单只保留E40–E45与E47–E49的原始哈希和省略原因。</w:t>
      </w:r>
    </w:p>
    <w:p>
      <w:r>
        <w:rPr>
          <w:rFonts w:ascii="Arial Unicode MS" w:hAnsi="Arial Unicode MS" w:eastAsia="Arial Unicode MS"/>
          <w:b w:val="0"/>
          <w:i w:val="0"/>
          <w:color w:val="1F2328"/>
          <w:sz w:val="22"/>
        </w:rPr>
        <w:t>主要外部来源类别：Nasdaq Global Index Watch；FRED/Chicago Fed/New York Fed/Federal Reserve；OECD；Census M3/QFR；CFTC；FINRA；BIS；日本MOF；TSMC；台湾MOEA；韩国KOSIS；BLS。第三方/商业候选：History of Market、MacroMicro、GuruFocus、LSEG。准确URL与检索元数据保存在各sources.json。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Arial Unicode MS" w:hAnsi="Arial Unicode MS" w:eastAsia="Arial Unicode MS"/>
        <w:b w:val="0"/>
        <w:i w:val="0"/>
        <w:color w:val="5B6573"/>
        <w:sz w:val="17"/>
      </w:rPr>
      <w:t xml:space="preserve">v1.0 · 2026-08-29 · 第 </w:t>
    </w:r>
    <w:r>
      <w:rPr>
        <w:rFonts w:ascii="Arial Unicode MS" w:hAnsi="Arial Unicode MS" w:eastAsia="Arial Unicode MS"/>
        <w:color w:val="5B6573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Arial Unicode MS" w:hAnsi="Arial Unicode MS" w:eastAsia="Arial Unicode MS"/>
        <w:b w:val="0"/>
        <w:i w:val="0"/>
        <w:color w:val="5B65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5" w:space="4" w:color="D7DEE8"/>
      </w:pBdr>
    </w:pPr>
    <w:r>
      <w:rPr>
        <w:rFonts w:ascii="Arial Unicode MS" w:hAnsi="Arial Unicode MS" w:eastAsia="Arial Unicode MS"/>
        <w:b/>
        <w:i w:val="0"/>
        <w:color w:val="5B6573"/>
        <w:sz w:val="17"/>
      </w:rPr>
      <w:t>QQQ因子研究｜可审计负面研究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 Unicode MS" w:hAnsi="Arial Unicode MS" w:eastAsia="Arial Unicode MS"/>
      <w:color w:val="1F23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GitHub redacted derivative; see REDACTIONS.md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