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2EC33" w14:textId="4C738D1B" w:rsidR="00A1032F" w:rsidRDefault="00A1032F">
      <w:pPr>
        <w:rPr>
          <w:rFonts w:ascii="Times New Roman" w:eastAsia="Times New Roman" w:hAnsi="Times New Roman" w:cs="Times New Roman"/>
        </w:rPr>
      </w:pPr>
    </w:p>
    <w:p w14:paraId="435C417C" w14:textId="77777777" w:rsidR="00A1032F" w:rsidRDefault="00A1032F">
      <w:pPr>
        <w:rPr>
          <w:rFonts w:ascii="Times New Roman" w:eastAsia="Times New Roman" w:hAnsi="Times New Roman" w:cs="Times New Roman"/>
        </w:rPr>
      </w:pPr>
    </w:p>
    <w:p w14:paraId="45490D89" w14:textId="77777777" w:rsidR="00A1032F" w:rsidRDefault="0078137F">
      <w:pPr>
        <w:rPr>
          <w:rFonts w:ascii="Times New Roman" w:eastAsia="Times New Roman" w:hAnsi="Times New Roman" w:cs="Times New Roman"/>
          <w:u w:val="single"/>
        </w:rPr>
      </w:pPr>
      <w:r>
        <w:rPr>
          <w:rFonts w:ascii="Times New Roman" w:eastAsia="Times New Roman" w:hAnsi="Times New Roman" w:cs="Times New Roman"/>
          <w:u w:val="single"/>
        </w:rPr>
        <w:t>Variable Codebook</w:t>
      </w:r>
    </w:p>
    <w:p w14:paraId="1E99124B" w14:textId="77777777" w:rsidR="00A1032F" w:rsidRDefault="00A1032F">
      <w:pPr>
        <w:rPr>
          <w:rFonts w:ascii="Times New Roman" w:eastAsia="Times New Roman" w:hAnsi="Times New Roman" w:cs="Times New Roman"/>
          <w:u w:val="single"/>
        </w:rPr>
      </w:pPr>
    </w:p>
    <w:p w14:paraId="715F92B2" w14:textId="77777777" w:rsidR="00A1032F" w:rsidRDefault="0078137F">
      <w:pPr>
        <w:numPr>
          <w:ilvl w:val="0"/>
          <w:numId w:val="2"/>
        </w:numPr>
        <w:rPr>
          <w:rFonts w:ascii="Times New Roman" w:eastAsia="Times New Roman" w:hAnsi="Times New Roman" w:cs="Times New Roman"/>
        </w:rPr>
      </w:pPr>
      <w:r>
        <w:rPr>
          <w:rFonts w:ascii="Times New Roman" w:eastAsia="Times New Roman" w:hAnsi="Times New Roman" w:cs="Times New Roman"/>
        </w:rPr>
        <w:t>Net Assets - This variable represents the market value of all the fund’s financial assets (stocks, bonds, derivatives, and cash). It is quantitative and is measured in dollars ($). However, in our actual analysis, we may transform this variable to “million</w:t>
      </w:r>
      <w:r>
        <w:rPr>
          <w:rFonts w:ascii="Times New Roman" w:eastAsia="Times New Roman" w:hAnsi="Times New Roman" w:cs="Times New Roman"/>
        </w:rPr>
        <w:t>s of $” or “billions of $” for convenience and more friendly coefficients.</w:t>
      </w:r>
    </w:p>
    <w:p w14:paraId="7A8BB37E" w14:textId="77777777" w:rsidR="00A1032F" w:rsidRDefault="00A1032F">
      <w:pPr>
        <w:rPr>
          <w:rFonts w:ascii="Times New Roman" w:eastAsia="Times New Roman" w:hAnsi="Times New Roman" w:cs="Times New Roman"/>
        </w:rPr>
      </w:pPr>
    </w:p>
    <w:p w14:paraId="5C71DA4A" w14:textId="77777777" w:rsidR="00A1032F" w:rsidRDefault="0078137F">
      <w:pPr>
        <w:numPr>
          <w:ilvl w:val="0"/>
          <w:numId w:val="2"/>
        </w:numPr>
        <w:rPr>
          <w:rFonts w:ascii="Times New Roman" w:eastAsia="Times New Roman" w:hAnsi="Times New Roman" w:cs="Times New Roman"/>
        </w:rPr>
      </w:pPr>
      <w:r>
        <w:rPr>
          <w:rFonts w:ascii="Times New Roman" w:eastAsia="Times New Roman" w:hAnsi="Times New Roman" w:cs="Times New Roman"/>
        </w:rPr>
        <w:t>Investment type (Value, growth, blend, bond, commodity, currency) - This categorical variable indicates what type of investment strategy the fund uses when determining what stocks/</w:t>
      </w:r>
      <w:r>
        <w:rPr>
          <w:rFonts w:ascii="Times New Roman" w:eastAsia="Times New Roman" w:hAnsi="Times New Roman" w:cs="Times New Roman"/>
        </w:rPr>
        <w:t xml:space="preserve">bonds to buy. Value refers to investment in securities that trade at lower multiples and are associated with longevity and stability. Growth means investing in stocks whose prices are projected to rise rapidly due to the technologically advanced nature of </w:t>
      </w:r>
      <w:r>
        <w:rPr>
          <w:rFonts w:ascii="Times New Roman" w:eastAsia="Times New Roman" w:hAnsi="Times New Roman" w:cs="Times New Roman"/>
        </w:rPr>
        <w:t>the business (high risk, high reward). Blend refers to a mix of the 2 investment strategies. Bond indicates investment in bonds (can refer to any type of bond - municipal, treasury, corporate, sovereign). Commodity refers to investment in futures contracts</w:t>
      </w:r>
      <w:r>
        <w:rPr>
          <w:rFonts w:ascii="Times New Roman" w:eastAsia="Times New Roman" w:hAnsi="Times New Roman" w:cs="Times New Roman"/>
        </w:rPr>
        <w:t xml:space="preserve"> of a certain commodity (which tend to be physical assets like precious metals, energy resources, and food items). Currency means investing in certain types of currencies, or even betting for or against one currency relative to another currency.</w:t>
      </w:r>
    </w:p>
    <w:p w14:paraId="16D029EB" w14:textId="77777777" w:rsidR="00A1032F" w:rsidRDefault="00A1032F">
      <w:pPr>
        <w:rPr>
          <w:rFonts w:ascii="Times New Roman" w:eastAsia="Times New Roman" w:hAnsi="Times New Roman" w:cs="Times New Roman"/>
        </w:rPr>
      </w:pPr>
    </w:p>
    <w:p w14:paraId="4AE4D877" w14:textId="77777777" w:rsidR="00A1032F" w:rsidRDefault="0078137F">
      <w:pPr>
        <w:numPr>
          <w:ilvl w:val="0"/>
          <w:numId w:val="2"/>
        </w:numPr>
        <w:rPr>
          <w:rFonts w:ascii="Times New Roman" w:eastAsia="Times New Roman" w:hAnsi="Times New Roman" w:cs="Times New Roman"/>
        </w:rPr>
      </w:pPr>
      <w:r>
        <w:rPr>
          <w:rFonts w:ascii="Times New Roman" w:eastAsia="Times New Roman" w:hAnsi="Times New Roman" w:cs="Times New Roman"/>
        </w:rPr>
        <w:t>Investmen</w:t>
      </w:r>
      <w:r>
        <w:rPr>
          <w:rFonts w:ascii="Times New Roman" w:eastAsia="Times New Roman" w:hAnsi="Times New Roman" w:cs="Times New Roman"/>
        </w:rPr>
        <w:t>t Size (Large, medium, small) - This categorical variable refers to how big the fund is. Small usually means that the fund’s net assets are under $20 million. Large usually refers to funds whose net assets number in the billions, if not tens of billions. M</w:t>
      </w:r>
      <w:r>
        <w:rPr>
          <w:rFonts w:ascii="Times New Roman" w:eastAsia="Times New Roman" w:hAnsi="Times New Roman" w:cs="Times New Roman"/>
        </w:rPr>
        <w:t>edium, as you can guess, indicates somewhere in the middle. This variable is hard to define because its classification is determined by the fund issuer, rather than by a central governing authority.</w:t>
      </w:r>
    </w:p>
    <w:p w14:paraId="48511AA2" w14:textId="77777777" w:rsidR="00A1032F" w:rsidRDefault="00A1032F">
      <w:pPr>
        <w:rPr>
          <w:rFonts w:ascii="Times New Roman" w:eastAsia="Times New Roman" w:hAnsi="Times New Roman" w:cs="Times New Roman"/>
        </w:rPr>
      </w:pPr>
    </w:p>
    <w:p w14:paraId="6A7784AD" w14:textId="77777777" w:rsidR="00A1032F" w:rsidRDefault="0078137F">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Net annual expense ratio - </w:t>
      </w:r>
      <w:proofErr w:type="gramStart"/>
      <w:r>
        <w:rPr>
          <w:rFonts w:ascii="Times New Roman" w:eastAsia="Times New Roman" w:hAnsi="Times New Roman" w:cs="Times New Roman"/>
        </w:rPr>
        <w:t>This variable measures</w:t>
      </w:r>
      <w:proofErr w:type="gramEnd"/>
      <w:r>
        <w:rPr>
          <w:rFonts w:ascii="Times New Roman" w:eastAsia="Times New Roman" w:hAnsi="Times New Roman" w:cs="Times New Roman"/>
        </w:rPr>
        <w:t xml:space="preserve"> what p</w:t>
      </w:r>
      <w:r>
        <w:rPr>
          <w:rFonts w:ascii="Times New Roman" w:eastAsia="Times New Roman" w:hAnsi="Times New Roman" w:cs="Times New Roman"/>
        </w:rPr>
        <w:t>roportion of a fund’s net assets are recouped by the fund managers every year as compensation or as a maintenance fee. It is given as a percent.</w:t>
      </w:r>
    </w:p>
    <w:p w14:paraId="0629DA29" w14:textId="77777777" w:rsidR="00A1032F" w:rsidRDefault="00A1032F">
      <w:pPr>
        <w:rPr>
          <w:rFonts w:ascii="Times New Roman" w:eastAsia="Times New Roman" w:hAnsi="Times New Roman" w:cs="Times New Roman"/>
        </w:rPr>
      </w:pPr>
    </w:p>
    <w:p w14:paraId="0EA30D4C" w14:textId="77777777" w:rsidR="00A1032F" w:rsidRDefault="0078137F">
      <w:pPr>
        <w:numPr>
          <w:ilvl w:val="0"/>
          <w:numId w:val="2"/>
        </w:numPr>
        <w:rPr>
          <w:rFonts w:ascii="Times New Roman" w:eastAsia="Times New Roman" w:hAnsi="Times New Roman" w:cs="Times New Roman"/>
        </w:rPr>
      </w:pPr>
      <w:r>
        <w:rPr>
          <w:rFonts w:ascii="Times New Roman" w:eastAsia="Times New Roman" w:hAnsi="Times New Roman" w:cs="Times New Roman"/>
        </w:rPr>
        <w:t>Fund Yield - For ETFs, fund yield is a measure of the annual cash flow to the shareholders resulting from bond</w:t>
      </w:r>
      <w:r>
        <w:rPr>
          <w:rFonts w:ascii="Times New Roman" w:eastAsia="Times New Roman" w:hAnsi="Times New Roman" w:cs="Times New Roman"/>
        </w:rPr>
        <w:t xml:space="preserve"> interest payments, or dividend payments from stocks in the fund’s portfolio. This variable is quantitative and also given as a percent.</w:t>
      </w:r>
    </w:p>
    <w:p w14:paraId="2041CB24" w14:textId="77777777" w:rsidR="00A1032F" w:rsidRDefault="00A1032F">
      <w:pPr>
        <w:rPr>
          <w:rFonts w:ascii="Times New Roman" w:eastAsia="Times New Roman" w:hAnsi="Times New Roman" w:cs="Times New Roman"/>
        </w:rPr>
      </w:pPr>
    </w:p>
    <w:p w14:paraId="171AF634" w14:textId="77777777" w:rsidR="00A1032F" w:rsidRDefault="0078137F">
      <w:pPr>
        <w:numPr>
          <w:ilvl w:val="0"/>
          <w:numId w:val="2"/>
        </w:numPr>
        <w:rPr>
          <w:rFonts w:ascii="Times New Roman" w:eastAsia="Times New Roman" w:hAnsi="Times New Roman" w:cs="Times New Roman"/>
        </w:rPr>
      </w:pPr>
      <w:r>
        <w:rPr>
          <w:rFonts w:ascii="Times New Roman" w:eastAsia="Times New Roman" w:hAnsi="Times New Roman" w:cs="Times New Roman"/>
        </w:rPr>
        <w:t>Percent of portfolio in stocks - As you can guess, this variable gives the percent of the fund’s assets invested in st</w:t>
      </w:r>
      <w:r>
        <w:rPr>
          <w:rFonts w:ascii="Times New Roman" w:eastAsia="Times New Roman" w:hAnsi="Times New Roman" w:cs="Times New Roman"/>
        </w:rPr>
        <w:t>ocks as a whole (as opposed to bonds or derivatives).</w:t>
      </w:r>
    </w:p>
    <w:p w14:paraId="0063DF5E" w14:textId="77777777" w:rsidR="00A1032F" w:rsidRDefault="00A1032F">
      <w:pPr>
        <w:rPr>
          <w:rFonts w:ascii="Times New Roman" w:eastAsia="Times New Roman" w:hAnsi="Times New Roman" w:cs="Times New Roman"/>
        </w:rPr>
      </w:pPr>
    </w:p>
    <w:p w14:paraId="127CCEA6" w14:textId="77777777" w:rsidR="00A1032F" w:rsidRDefault="0078137F">
      <w:pPr>
        <w:numPr>
          <w:ilvl w:val="0"/>
          <w:numId w:val="2"/>
        </w:numPr>
        <w:rPr>
          <w:rFonts w:ascii="Times New Roman" w:eastAsia="Times New Roman" w:hAnsi="Times New Roman" w:cs="Times New Roman"/>
        </w:rPr>
      </w:pPr>
      <w:r>
        <w:rPr>
          <w:rFonts w:ascii="Times New Roman" w:eastAsia="Times New Roman" w:hAnsi="Times New Roman" w:cs="Times New Roman"/>
        </w:rPr>
        <w:t>Percent of portfolio in Financial industry - This quantitative variable gives the percent of the fund’s assets invested in stocks of companies in the finance/financial services industry.</w:t>
      </w:r>
    </w:p>
    <w:p w14:paraId="5910844E" w14:textId="77777777" w:rsidR="00A1032F" w:rsidRDefault="00A1032F">
      <w:pPr>
        <w:rPr>
          <w:rFonts w:ascii="Times New Roman" w:eastAsia="Times New Roman" w:hAnsi="Times New Roman" w:cs="Times New Roman"/>
        </w:rPr>
      </w:pPr>
    </w:p>
    <w:p w14:paraId="69B08FE9" w14:textId="77777777" w:rsidR="00A1032F" w:rsidRDefault="0078137F">
      <w:pPr>
        <w:numPr>
          <w:ilvl w:val="0"/>
          <w:numId w:val="2"/>
        </w:numPr>
        <w:rPr>
          <w:rFonts w:ascii="Times New Roman" w:eastAsia="Times New Roman" w:hAnsi="Times New Roman" w:cs="Times New Roman"/>
        </w:rPr>
      </w:pPr>
      <w:r>
        <w:rPr>
          <w:rFonts w:ascii="Times New Roman" w:eastAsia="Times New Roman" w:hAnsi="Times New Roman" w:cs="Times New Roman"/>
        </w:rPr>
        <w:t>Percent of po</w:t>
      </w:r>
      <w:r>
        <w:rPr>
          <w:rFonts w:ascii="Times New Roman" w:eastAsia="Times New Roman" w:hAnsi="Times New Roman" w:cs="Times New Roman"/>
        </w:rPr>
        <w:t>rtfolio in Technology industry - This quantitative variable gives the percent of the fund’s assets invested in stocks of companies in the technology industry.</w:t>
      </w:r>
    </w:p>
    <w:p w14:paraId="358DDF6C" w14:textId="77777777" w:rsidR="00A1032F" w:rsidRDefault="00A1032F">
      <w:pPr>
        <w:rPr>
          <w:rFonts w:ascii="Times New Roman" w:eastAsia="Times New Roman" w:hAnsi="Times New Roman" w:cs="Times New Roman"/>
        </w:rPr>
      </w:pPr>
    </w:p>
    <w:p w14:paraId="1EC0FCCA" w14:textId="77777777" w:rsidR="00A1032F" w:rsidRDefault="0078137F">
      <w:pPr>
        <w:numPr>
          <w:ilvl w:val="0"/>
          <w:numId w:val="2"/>
        </w:numPr>
        <w:rPr>
          <w:rFonts w:ascii="Times New Roman" w:eastAsia="Times New Roman" w:hAnsi="Times New Roman" w:cs="Times New Roman"/>
        </w:rPr>
      </w:pPr>
      <w:r>
        <w:rPr>
          <w:rFonts w:ascii="Times New Roman" w:eastAsia="Times New Roman" w:hAnsi="Times New Roman" w:cs="Times New Roman"/>
        </w:rPr>
        <w:lastRenderedPageBreak/>
        <w:t>Percent of portfolio in Energy industry - This quantitative variable gives the percent of the fu</w:t>
      </w:r>
      <w:r>
        <w:rPr>
          <w:rFonts w:ascii="Times New Roman" w:eastAsia="Times New Roman" w:hAnsi="Times New Roman" w:cs="Times New Roman"/>
        </w:rPr>
        <w:t>nd’s assets invested in stocks of companies in the energy (oil &amp; gas, renewables) industry.</w:t>
      </w:r>
    </w:p>
    <w:p w14:paraId="6CAEA0F4" w14:textId="77777777" w:rsidR="00A1032F" w:rsidRDefault="00A1032F">
      <w:pPr>
        <w:rPr>
          <w:rFonts w:ascii="Times New Roman" w:eastAsia="Times New Roman" w:hAnsi="Times New Roman" w:cs="Times New Roman"/>
        </w:rPr>
      </w:pPr>
    </w:p>
    <w:p w14:paraId="0261AD1A" w14:textId="77777777" w:rsidR="00A1032F" w:rsidRDefault="0078137F">
      <w:pPr>
        <w:numPr>
          <w:ilvl w:val="0"/>
          <w:numId w:val="2"/>
        </w:numPr>
        <w:rPr>
          <w:rFonts w:ascii="Times New Roman" w:eastAsia="Times New Roman" w:hAnsi="Times New Roman" w:cs="Times New Roman"/>
        </w:rPr>
      </w:pPr>
      <w:r>
        <w:rPr>
          <w:rFonts w:ascii="Times New Roman" w:eastAsia="Times New Roman" w:hAnsi="Times New Roman" w:cs="Times New Roman"/>
        </w:rPr>
        <w:t>Percent of portfolio in Industrial industry - This quantitative variable gives the percent of the fund’s assets invested in stocks of companies in the manufacturin</w:t>
      </w:r>
      <w:r>
        <w:rPr>
          <w:rFonts w:ascii="Times New Roman" w:eastAsia="Times New Roman" w:hAnsi="Times New Roman" w:cs="Times New Roman"/>
        </w:rPr>
        <w:t>g, construction, or defense industries.</w:t>
      </w:r>
    </w:p>
    <w:p w14:paraId="783A66AE" w14:textId="77777777" w:rsidR="00A1032F" w:rsidRDefault="00A1032F">
      <w:pPr>
        <w:rPr>
          <w:rFonts w:ascii="Times New Roman" w:eastAsia="Times New Roman" w:hAnsi="Times New Roman" w:cs="Times New Roman"/>
        </w:rPr>
      </w:pPr>
    </w:p>
    <w:p w14:paraId="73820FCE" w14:textId="77777777" w:rsidR="00A1032F" w:rsidRDefault="0078137F">
      <w:pPr>
        <w:numPr>
          <w:ilvl w:val="0"/>
          <w:numId w:val="2"/>
        </w:numPr>
        <w:rPr>
          <w:rFonts w:ascii="Times New Roman" w:eastAsia="Times New Roman" w:hAnsi="Times New Roman" w:cs="Times New Roman"/>
        </w:rPr>
      </w:pPr>
      <w:r>
        <w:rPr>
          <w:rFonts w:ascii="Times New Roman" w:eastAsia="Times New Roman" w:hAnsi="Times New Roman" w:cs="Times New Roman"/>
        </w:rPr>
        <w:t>Percent of portfolio in Healthcare industry - This quantitative variable gives the percent of the fund’s assets invested in stocks of companies in the health insurance, pharmaceutical, and biotech industries.</w:t>
      </w:r>
    </w:p>
    <w:p w14:paraId="5FA546A6" w14:textId="77777777" w:rsidR="00A1032F" w:rsidRDefault="00A1032F">
      <w:pPr>
        <w:rPr>
          <w:rFonts w:ascii="Times New Roman" w:eastAsia="Times New Roman" w:hAnsi="Times New Roman" w:cs="Times New Roman"/>
        </w:rPr>
      </w:pPr>
    </w:p>
    <w:p w14:paraId="62942F09" w14:textId="77777777" w:rsidR="00A1032F" w:rsidRDefault="0078137F">
      <w:pPr>
        <w:numPr>
          <w:ilvl w:val="0"/>
          <w:numId w:val="2"/>
        </w:numPr>
        <w:rPr>
          <w:rFonts w:ascii="Times New Roman" w:eastAsia="Times New Roman" w:hAnsi="Times New Roman" w:cs="Times New Roman"/>
        </w:rPr>
      </w:pPr>
      <w:r>
        <w:rPr>
          <w:rFonts w:ascii="Times New Roman" w:eastAsia="Times New Roman" w:hAnsi="Times New Roman" w:cs="Times New Roman"/>
        </w:rPr>
        <w:t>Perce</w:t>
      </w:r>
      <w:r>
        <w:rPr>
          <w:rFonts w:ascii="Times New Roman" w:eastAsia="Times New Roman" w:hAnsi="Times New Roman" w:cs="Times New Roman"/>
        </w:rPr>
        <w:t>nt of portfolio in Consumer Cyclical industry - This quantitative variable gives the percent of the fund’s assets invested in stocks of companies that make products affected by changes in the economic/business cycle.</w:t>
      </w:r>
    </w:p>
    <w:p w14:paraId="69DD5937" w14:textId="77777777" w:rsidR="00A1032F" w:rsidRDefault="00A1032F">
      <w:pPr>
        <w:rPr>
          <w:rFonts w:ascii="Times New Roman" w:eastAsia="Times New Roman" w:hAnsi="Times New Roman" w:cs="Times New Roman"/>
        </w:rPr>
      </w:pPr>
    </w:p>
    <w:p w14:paraId="6BB470DD" w14:textId="77777777" w:rsidR="00A1032F" w:rsidRDefault="0078137F">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Price/Earnings ratio - This variable divides the share price of the ETF by the “earnings” per share (usually the earnings of stocks held by the fund). It is </w:t>
      </w:r>
      <w:proofErr w:type="gramStart"/>
      <w:r>
        <w:rPr>
          <w:rFonts w:ascii="Times New Roman" w:eastAsia="Times New Roman" w:hAnsi="Times New Roman" w:cs="Times New Roman"/>
        </w:rPr>
        <w:t>quantitative, but</w:t>
      </w:r>
      <w:proofErr w:type="gramEnd"/>
      <w:r>
        <w:rPr>
          <w:rFonts w:ascii="Times New Roman" w:eastAsia="Times New Roman" w:hAnsi="Times New Roman" w:cs="Times New Roman"/>
        </w:rPr>
        <w:t xml:space="preserve"> does not have any units since it is a ratio of 2 numbers which both have $ as the</w:t>
      </w:r>
      <w:r>
        <w:rPr>
          <w:rFonts w:ascii="Times New Roman" w:eastAsia="Times New Roman" w:hAnsi="Times New Roman" w:cs="Times New Roman"/>
        </w:rPr>
        <w:t xml:space="preserve"> unit. One can interpret this ratio as the number of dollars that investors are willing to pay (per share) for one dollar of earnings (per share).</w:t>
      </w:r>
    </w:p>
    <w:p w14:paraId="045ABEFB" w14:textId="77777777" w:rsidR="00A1032F" w:rsidRDefault="00A1032F">
      <w:pPr>
        <w:rPr>
          <w:rFonts w:ascii="Times New Roman" w:eastAsia="Times New Roman" w:hAnsi="Times New Roman" w:cs="Times New Roman"/>
        </w:rPr>
      </w:pPr>
    </w:p>
    <w:p w14:paraId="285D5DDB" w14:textId="77777777" w:rsidR="00A1032F" w:rsidRDefault="0078137F">
      <w:pPr>
        <w:numPr>
          <w:ilvl w:val="0"/>
          <w:numId w:val="2"/>
        </w:numPr>
        <w:rPr>
          <w:rFonts w:ascii="Times New Roman" w:eastAsia="Times New Roman" w:hAnsi="Times New Roman" w:cs="Times New Roman"/>
        </w:rPr>
      </w:pPr>
      <w:r>
        <w:rPr>
          <w:rFonts w:ascii="Times New Roman" w:eastAsia="Times New Roman" w:hAnsi="Times New Roman" w:cs="Times New Roman"/>
        </w:rPr>
        <w:t>Price/Cash flow ratio - Similar to the variable above, this one divides the price of one share of the ETF by</w:t>
      </w:r>
      <w:r>
        <w:rPr>
          <w:rFonts w:ascii="Times New Roman" w:eastAsia="Times New Roman" w:hAnsi="Times New Roman" w:cs="Times New Roman"/>
        </w:rPr>
        <w:t xml:space="preserve"> the operating cash flow (OCF) per share (in this case, OCF refers to net income plus non-cash expenses, minus the change in non-cash assets; this number is calculated using the OCF of the individual stocks in the fund). This variable is quantitative and a</w:t>
      </w:r>
      <w:r>
        <w:rPr>
          <w:rFonts w:ascii="Times New Roman" w:eastAsia="Times New Roman" w:hAnsi="Times New Roman" w:cs="Times New Roman"/>
        </w:rPr>
        <w:t>lso does not have any units for the reason mentioned in the previous variable’s explanation. Interpret this variable as the number of dollars that investors are willing to pay (per share) for every dollar of OCF.</w:t>
      </w:r>
    </w:p>
    <w:p w14:paraId="20E656A7" w14:textId="77777777" w:rsidR="00A1032F" w:rsidRDefault="00A1032F">
      <w:pPr>
        <w:rPr>
          <w:rFonts w:ascii="Times New Roman" w:eastAsia="Times New Roman" w:hAnsi="Times New Roman" w:cs="Times New Roman"/>
        </w:rPr>
      </w:pPr>
    </w:p>
    <w:p w14:paraId="3F971212" w14:textId="77777777" w:rsidR="00A1032F" w:rsidRDefault="0078137F">
      <w:pPr>
        <w:numPr>
          <w:ilvl w:val="0"/>
          <w:numId w:val="2"/>
        </w:numPr>
        <w:rPr>
          <w:rFonts w:ascii="Times New Roman" w:eastAsia="Times New Roman" w:hAnsi="Times New Roman" w:cs="Times New Roman"/>
        </w:rPr>
      </w:pPr>
      <w:r>
        <w:rPr>
          <w:rFonts w:ascii="Times New Roman" w:eastAsia="Times New Roman" w:hAnsi="Times New Roman" w:cs="Times New Roman"/>
        </w:rPr>
        <w:t>Price/Book ratio - This variable divides t</w:t>
      </w:r>
      <w:r>
        <w:rPr>
          <w:rFonts w:ascii="Times New Roman" w:eastAsia="Times New Roman" w:hAnsi="Times New Roman" w:cs="Times New Roman"/>
        </w:rPr>
        <w:t xml:space="preserve">he price of one share of the ETF by the book value of one share of the ETF. Book value refers to the difference between net assets per share and net liabilities per share (more accurately, to the book value of each stock in the fund). Like the 2 preceding </w:t>
      </w:r>
      <w:r>
        <w:rPr>
          <w:rFonts w:ascii="Times New Roman" w:eastAsia="Times New Roman" w:hAnsi="Times New Roman" w:cs="Times New Roman"/>
        </w:rPr>
        <w:t>variables, this variable is unitless (for the same reason as well) and quantitative, and can be seen as the number of dollars investors are willing to pay (per share) for every dollar of equity (per share).</w:t>
      </w:r>
    </w:p>
    <w:p w14:paraId="219D085E" w14:textId="77777777" w:rsidR="00A1032F" w:rsidRDefault="00A1032F">
      <w:pPr>
        <w:rPr>
          <w:rFonts w:ascii="Times New Roman" w:eastAsia="Times New Roman" w:hAnsi="Times New Roman" w:cs="Times New Roman"/>
        </w:rPr>
      </w:pPr>
    </w:p>
    <w:p w14:paraId="2056D119" w14:textId="77777777" w:rsidR="00A1032F" w:rsidRDefault="0078137F">
      <w:pPr>
        <w:numPr>
          <w:ilvl w:val="0"/>
          <w:numId w:val="2"/>
        </w:numPr>
        <w:rPr>
          <w:rFonts w:ascii="Times New Roman" w:eastAsia="Times New Roman" w:hAnsi="Times New Roman" w:cs="Times New Roman"/>
        </w:rPr>
      </w:pPr>
      <w:proofErr w:type="gramStart"/>
      <w:r>
        <w:rPr>
          <w:rFonts w:ascii="Times New Roman" w:eastAsia="Times New Roman" w:hAnsi="Times New Roman" w:cs="Times New Roman"/>
        </w:rPr>
        <w:t>5 year</w:t>
      </w:r>
      <w:proofErr w:type="gramEnd"/>
      <w:r>
        <w:rPr>
          <w:rFonts w:ascii="Times New Roman" w:eastAsia="Times New Roman" w:hAnsi="Times New Roman" w:cs="Times New Roman"/>
        </w:rPr>
        <w:t xml:space="preserve"> Fund beta - This variable measures how mu</w:t>
      </w:r>
      <w:r>
        <w:rPr>
          <w:rFonts w:ascii="Times New Roman" w:eastAsia="Times New Roman" w:hAnsi="Times New Roman" w:cs="Times New Roman"/>
        </w:rPr>
        <w:t>ch the ETF moves relative to the market as a whole. Think of it as a “movement multiplier” that you can use to predict how much the share price went up or down based on the movement of the S&amp;P 500. This quantitative variable is unitless.</w:t>
      </w:r>
    </w:p>
    <w:p w14:paraId="3DA0627B" w14:textId="77777777" w:rsidR="00A1032F" w:rsidRDefault="00A1032F">
      <w:pPr>
        <w:rPr>
          <w:rFonts w:ascii="Times New Roman" w:eastAsia="Times New Roman" w:hAnsi="Times New Roman" w:cs="Times New Roman"/>
        </w:rPr>
      </w:pPr>
    </w:p>
    <w:p w14:paraId="4CEEDD94" w14:textId="77777777" w:rsidR="00A1032F" w:rsidRDefault="0078137F">
      <w:pPr>
        <w:numPr>
          <w:ilvl w:val="0"/>
          <w:numId w:val="2"/>
        </w:numPr>
        <w:rPr>
          <w:rFonts w:ascii="Times New Roman" w:eastAsia="Times New Roman" w:hAnsi="Times New Roman" w:cs="Times New Roman"/>
        </w:rPr>
      </w:pPr>
      <w:r>
        <w:rPr>
          <w:rFonts w:ascii="Times New Roman" w:eastAsia="Times New Roman" w:hAnsi="Times New Roman" w:cs="Times New Roman"/>
        </w:rPr>
        <w:t>5 year Fund R^2 -</w:t>
      </w:r>
      <w:r>
        <w:rPr>
          <w:rFonts w:ascii="Times New Roman" w:eastAsia="Times New Roman" w:hAnsi="Times New Roman" w:cs="Times New Roman"/>
        </w:rPr>
        <w:t xml:space="preserve"> Like its namesake in normal statistics, this variable measures how much of a security’s movement/performance can be accounted for by the performance/movement of the benchmark it tracks (in this case, the S&amp;P 500). It is unitless and quantitative, just lik</w:t>
      </w:r>
      <w:r>
        <w:rPr>
          <w:rFonts w:ascii="Times New Roman" w:eastAsia="Times New Roman" w:hAnsi="Times New Roman" w:cs="Times New Roman"/>
        </w:rPr>
        <w:t>e the R^2 we use in class.</w:t>
      </w:r>
    </w:p>
    <w:p w14:paraId="02B748E4" w14:textId="77777777" w:rsidR="00A1032F" w:rsidRDefault="00A1032F">
      <w:pPr>
        <w:rPr>
          <w:rFonts w:ascii="Times New Roman" w:eastAsia="Times New Roman" w:hAnsi="Times New Roman" w:cs="Times New Roman"/>
        </w:rPr>
      </w:pPr>
    </w:p>
    <w:p w14:paraId="4C74094D" w14:textId="77777777" w:rsidR="00A1032F" w:rsidRDefault="0078137F">
      <w:pPr>
        <w:numPr>
          <w:ilvl w:val="0"/>
          <w:numId w:val="2"/>
        </w:numPr>
        <w:rPr>
          <w:rFonts w:ascii="Times New Roman" w:eastAsia="Times New Roman" w:hAnsi="Times New Roman" w:cs="Times New Roman"/>
        </w:rPr>
      </w:pPr>
      <w:proofErr w:type="gramStart"/>
      <w:r>
        <w:rPr>
          <w:rFonts w:ascii="Times New Roman" w:eastAsia="Times New Roman" w:hAnsi="Times New Roman" w:cs="Times New Roman"/>
        </w:rPr>
        <w:t>5 year</w:t>
      </w:r>
      <w:proofErr w:type="gramEnd"/>
      <w:r>
        <w:rPr>
          <w:rFonts w:ascii="Times New Roman" w:eastAsia="Times New Roman" w:hAnsi="Times New Roman" w:cs="Times New Roman"/>
        </w:rPr>
        <w:t xml:space="preserve"> Sharpe ratio - This quantitative, unitless variable measures the fund’s rate of return relative to the rate of return of a “risk free asset” (Treasuries), while adjusting for risk. </w:t>
      </w:r>
      <w:proofErr w:type="gramStart"/>
      <w:r>
        <w:rPr>
          <w:rFonts w:ascii="Times New Roman" w:eastAsia="Times New Roman" w:hAnsi="Times New Roman" w:cs="Times New Roman"/>
        </w:rPr>
        <w:t>It’s</w:t>
      </w:r>
      <w:proofErr w:type="gramEnd"/>
      <w:r>
        <w:rPr>
          <w:rFonts w:ascii="Times New Roman" w:eastAsia="Times New Roman" w:hAnsi="Times New Roman" w:cs="Times New Roman"/>
        </w:rPr>
        <w:t xml:space="preserve"> formula is given by the difference </w:t>
      </w:r>
      <w:r>
        <w:rPr>
          <w:rFonts w:ascii="Times New Roman" w:eastAsia="Times New Roman" w:hAnsi="Times New Roman" w:cs="Times New Roman"/>
        </w:rPr>
        <w:t>between the fund’s return and the risk-free rate, divided by the volatility (standard deviation) of the fund. A high Sharpe ratio indicates a better investment.</w:t>
      </w:r>
    </w:p>
    <w:p w14:paraId="1A95AAD7" w14:textId="77777777" w:rsidR="00A1032F" w:rsidRDefault="00A1032F">
      <w:pPr>
        <w:rPr>
          <w:rFonts w:ascii="Times New Roman" w:eastAsia="Times New Roman" w:hAnsi="Times New Roman" w:cs="Times New Roman"/>
        </w:rPr>
      </w:pPr>
    </w:p>
    <w:p w14:paraId="7AC7B8BE" w14:textId="77777777" w:rsidR="00A1032F" w:rsidRDefault="0078137F">
      <w:pPr>
        <w:numPr>
          <w:ilvl w:val="0"/>
          <w:numId w:val="2"/>
        </w:numPr>
        <w:rPr>
          <w:rFonts w:ascii="Times New Roman" w:eastAsia="Times New Roman" w:hAnsi="Times New Roman" w:cs="Times New Roman"/>
        </w:rPr>
      </w:pPr>
      <w:proofErr w:type="gramStart"/>
      <w:r>
        <w:rPr>
          <w:rFonts w:ascii="Times New Roman" w:eastAsia="Times New Roman" w:hAnsi="Times New Roman" w:cs="Times New Roman"/>
        </w:rPr>
        <w:t>5 year</w:t>
      </w:r>
      <w:proofErr w:type="gramEnd"/>
      <w:r>
        <w:rPr>
          <w:rFonts w:ascii="Times New Roman" w:eastAsia="Times New Roman" w:hAnsi="Times New Roman" w:cs="Times New Roman"/>
        </w:rPr>
        <w:t xml:space="preserve"> Treynor ratio - Like the Sharpe ratio, the Treynor ratio also measures the fund’s retur</w:t>
      </w:r>
      <w:r>
        <w:rPr>
          <w:rFonts w:ascii="Times New Roman" w:eastAsia="Times New Roman" w:hAnsi="Times New Roman" w:cs="Times New Roman"/>
        </w:rPr>
        <w:t xml:space="preserve">n relative to an asset with zero or near-zero risk (Treasury security). However, it is different in that it divides the excess return by the beta of the fund, rather than the standard deviation of its returns. This difference only </w:t>
      </w:r>
      <w:proofErr w:type="gramStart"/>
      <w:r>
        <w:rPr>
          <w:rFonts w:ascii="Times New Roman" w:eastAsia="Times New Roman" w:hAnsi="Times New Roman" w:cs="Times New Roman"/>
        </w:rPr>
        <w:t>takes into account</w:t>
      </w:r>
      <w:proofErr w:type="gramEnd"/>
      <w:r>
        <w:rPr>
          <w:rFonts w:ascii="Times New Roman" w:eastAsia="Times New Roman" w:hAnsi="Times New Roman" w:cs="Times New Roman"/>
        </w:rPr>
        <w:t xml:space="preserve"> the sy</w:t>
      </w:r>
      <w:r>
        <w:rPr>
          <w:rFonts w:ascii="Times New Roman" w:eastAsia="Times New Roman" w:hAnsi="Times New Roman" w:cs="Times New Roman"/>
        </w:rPr>
        <w:t>stemic risk of the fund, rather than the total risk (systemic + non systemic). This variable is quantitative and unitless.</w:t>
      </w:r>
    </w:p>
    <w:p w14:paraId="5B074B88" w14:textId="77777777" w:rsidR="00A1032F" w:rsidRDefault="00A1032F">
      <w:pPr>
        <w:ind w:left="720"/>
        <w:rPr>
          <w:rFonts w:ascii="Times New Roman" w:eastAsia="Times New Roman" w:hAnsi="Times New Roman" w:cs="Times New Roman"/>
        </w:rPr>
      </w:pPr>
    </w:p>
    <w:p w14:paraId="41E979A5" w14:textId="77777777" w:rsidR="00A1032F" w:rsidRDefault="0078137F">
      <w:pPr>
        <w:numPr>
          <w:ilvl w:val="0"/>
          <w:numId w:val="2"/>
        </w:numPr>
        <w:rPr>
          <w:rFonts w:ascii="Times New Roman" w:eastAsia="Times New Roman" w:hAnsi="Times New Roman" w:cs="Times New Roman"/>
        </w:rPr>
      </w:pPr>
      <w:r>
        <w:rPr>
          <w:rFonts w:ascii="Times New Roman" w:eastAsia="Times New Roman" w:hAnsi="Times New Roman" w:cs="Times New Roman"/>
        </w:rPr>
        <w:t>Inverse - This categorical variable indicates whether or not the ETF in question is an “inverse” ETF. An inverse ETF is an ETF whose</w:t>
      </w:r>
      <w:r>
        <w:rPr>
          <w:rFonts w:ascii="Times New Roman" w:eastAsia="Times New Roman" w:hAnsi="Times New Roman" w:cs="Times New Roman"/>
        </w:rPr>
        <w:t xml:space="preserve"> performance is inversely related to the benchmark/commodity/index it is tracking. Theoretically, it will have a perfectly negative correlation with a “normal” ETF that tracks the same underlying asset. It has 2 levels, Yes and No (you can probably figure </w:t>
      </w:r>
      <w:r>
        <w:rPr>
          <w:rFonts w:ascii="Times New Roman" w:eastAsia="Times New Roman" w:hAnsi="Times New Roman" w:cs="Times New Roman"/>
        </w:rPr>
        <w:t>out what those levels mean). This would be a good variable to consider since we expect inverse ETFs to go up when most other ETFs go down and vice versa; this variable would be able to capture that relationship.</w:t>
      </w:r>
    </w:p>
    <w:p w14:paraId="34EC9598" w14:textId="77777777" w:rsidR="00A1032F" w:rsidRDefault="00A1032F">
      <w:pPr>
        <w:rPr>
          <w:rFonts w:ascii="Times New Roman" w:eastAsia="Times New Roman" w:hAnsi="Times New Roman" w:cs="Times New Roman"/>
        </w:rPr>
      </w:pPr>
    </w:p>
    <w:p w14:paraId="7333BC36" w14:textId="77777777" w:rsidR="00A1032F" w:rsidRDefault="00A1032F">
      <w:pPr>
        <w:rPr>
          <w:rFonts w:ascii="Times New Roman" w:eastAsia="Times New Roman" w:hAnsi="Times New Roman" w:cs="Times New Roman"/>
        </w:rPr>
      </w:pPr>
    </w:p>
    <w:p w14:paraId="22C85536" w14:textId="77777777" w:rsidR="00A1032F" w:rsidRDefault="0078137F">
      <w:pPr>
        <w:rPr>
          <w:rFonts w:ascii="Times New Roman" w:eastAsia="Times New Roman" w:hAnsi="Times New Roman" w:cs="Times New Roman"/>
          <w:u w:val="single"/>
        </w:rPr>
      </w:pPr>
      <w:r>
        <w:rPr>
          <w:rFonts w:ascii="Times New Roman" w:eastAsia="Times New Roman" w:hAnsi="Times New Roman" w:cs="Times New Roman"/>
          <w:u w:val="single"/>
        </w:rPr>
        <w:t xml:space="preserve">Variables </w:t>
      </w:r>
      <w:proofErr w:type="gramStart"/>
      <w:r>
        <w:rPr>
          <w:rFonts w:ascii="Times New Roman" w:eastAsia="Times New Roman" w:hAnsi="Times New Roman" w:cs="Times New Roman"/>
          <w:u w:val="single"/>
        </w:rPr>
        <w:t>To</w:t>
      </w:r>
      <w:proofErr w:type="gramEnd"/>
      <w:r>
        <w:rPr>
          <w:rFonts w:ascii="Times New Roman" w:eastAsia="Times New Roman" w:hAnsi="Times New Roman" w:cs="Times New Roman"/>
          <w:u w:val="single"/>
        </w:rPr>
        <w:t xml:space="preserve"> Consider in Our Analysis</w:t>
      </w:r>
    </w:p>
    <w:p w14:paraId="7A79BA2D" w14:textId="77777777" w:rsidR="00A1032F" w:rsidRDefault="00A1032F">
      <w:pPr>
        <w:rPr>
          <w:rFonts w:ascii="Times New Roman" w:eastAsia="Times New Roman" w:hAnsi="Times New Roman" w:cs="Times New Roman"/>
          <w:u w:val="single"/>
        </w:rPr>
      </w:pPr>
    </w:p>
    <w:p w14:paraId="2AE84E14" w14:textId="77777777" w:rsidR="00A1032F" w:rsidRDefault="0078137F">
      <w:pPr>
        <w:rPr>
          <w:rFonts w:ascii="Times New Roman" w:eastAsia="Times New Roman" w:hAnsi="Times New Roman" w:cs="Times New Roman"/>
        </w:rPr>
      </w:pPr>
      <w:r>
        <w:rPr>
          <w:rFonts w:ascii="Times New Roman" w:eastAsia="Times New Roman" w:hAnsi="Times New Roman" w:cs="Times New Roman"/>
        </w:rPr>
        <w:t>Bef</w:t>
      </w:r>
      <w:r>
        <w:rPr>
          <w:rFonts w:ascii="Times New Roman" w:eastAsia="Times New Roman" w:hAnsi="Times New Roman" w:cs="Times New Roman"/>
        </w:rPr>
        <w:t xml:space="preserve">ore we start our preliminary analysis, let’s first define what the purpose of our model should be: the model should be able to take inputs that are known at the moment to predict 5 year returns for the past and the future; this means that we don’t want to </w:t>
      </w:r>
      <w:r>
        <w:rPr>
          <w:rFonts w:ascii="Times New Roman" w:eastAsia="Times New Roman" w:hAnsi="Times New Roman" w:cs="Times New Roman"/>
        </w:rPr>
        <w:t>use variables that are derived from calculations made in the future using the response variable.</w:t>
      </w:r>
    </w:p>
    <w:p w14:paraId="2D082750" w14:textId="77777777" w:rsidR="00A1032F" w:rsidRDefault="00A1032F">
      <w:pPr>
        <w:rPr>
          <w:rFonts w:ascii="Times New Roman" w:eastAsia="Times New Roman" w:hAnsi="Times New Roman" w:cs="Times New Roman"/>
          <w:u w:val="single"/>
        </w:rPr>
      </w:pPr>
    </w:p>
    <w:p w14:paraId="2CD8FDEF" w14:textId="77777777" w:rsidR="00A1032F" w:rsidRDefault="0078137F">
      <w:pPr>
        <w:rPr>
          <w:rFonts w:ascii="Times New Roman" w:eastAsia="Times New Roman" w:hAnsi="Times New Roman" w:cs="Times New Roman"/>
        </w:rPr>
      </w:pPr>
      <w:r>
        <w:rPr>
          <w:rFonts w:ascii="Times New Roman" w:eastAsia="Times New Roman" w:hAnsi="Times New Roman" w:cs="Times New Roman"/>
        </w:rPr>
        <w:t>We will be leaving out the following variables out of our preliminary analysis:</w:t>
      </w:r>
    </w:p>
    <w:p w14:paraId="1B927372" w14:textId="77777777" w:rsidR="00A1032F" w:rsidRDefault="00A1032F">
      <w:pPr>
        <w:rPr>
          <w:rFonts w:ascii="Times New Roman" w:eastAsia="Times New Roman" w:hAnsi="Times New Roman" w:cs="Times New Roman"/>
        </w:rPr>
      </w:pPr>
    </w:p>
    <w:p w14:paraId="5C63AA0A" w14:textId="77777777" w:rsidR="00A1032F" w:rsidRDefault="0078137F">
      <w:pPr>
        <w:numPr>
          <w:ilvl w:val="0"/>
          <w:numId w:val="3"/>
        </w:numPr>
        <w:rPr>
          <w:rFonts w:ascii="Times New Roman" w:eastAsia="Times New Roman" w:hAnsi="Times New Roman" w:cs="Times New Roman"/>
        </w:rPr>
      </w:pPr>
      <w:r>
        <w:rPr>
          <w:rFonts w:ascii="Times New Roman" w:eastAsia="Times New Roman" w:hAnsi="Times New Roman" w:cs="Times New Roman"/>
        </w:rPr>
        <w:t>Investment Size (variable #3)</w:t>
      </w:r>
    </w:p>
    <w:p w14:paraId="767F225D" w14:textId="77777777" w:rsidR="00A1032F" w:rsidRDefault="0078137F">
      <w:pPr>
        <w:numPr>
          <w:ilvl w:val="1"/>
          <w:numId w:val="3"/>
        </w:numPr>
        <w:rPr>
          <w:rFonts w:ascii="Times New Roman" w:eastAsia="Times New Roman" w:hAnsi="Times New Roman" w:cs="Times New Roman"/>
        </w:rPr>
      </w:pPr>
      <w:r>
        <w:rPr>
          <w:rFonts w:ascii="Times New Roman" w:eastAsia="Times New Roman" w:hAnsi="Times New Roman" w:cs="Times New Roman"/>
        </w:rPr>
        <w:t>Reason: The definition for this variable is not</w:t>
      </w:r>
      <w:r>
        <w:rPr>
          <w:rFonts w:ascii="Times New Roman" w:eastAsia="Times New Roman" w:hAnsi="Times New Roman" w:cs="Times New Roman"/>
        </w:rPr>
        <w:t xml:space="preserve"> consistent and is dependent on the financial institution issuing this security, which could cause misleading results.</w:t>
      </w:r>
    </w:p>
    <w:p w14:paraId="065636BC" w14:textId="77777777" w:rsidR="00A1032F" w:rsidRDefault="0078137F">
      <w:pPr>
        <w:numPr>
          <w:ilvl w:val="0"/>
          <w:numId w:val="3"/>
        </w:numPr>
        <w:rPr>
          <w:rFonts w:ascii="Times New Roman" w:eastAsia="Times New Roman" w:hAnsi="Times New Roman" w:cs="Times New Roman"/>
        </w:rPr>
      </w:pPr>
      <w:r>
        <w:rPr>
          <w:rFonts w:ascii="Times New Roman" w:eastAsia="Times New Roman" w:hAnsi="Times New Roman" w:cs="Times New Roman"/>
        </w:rPr>
        <w:t>Price/Cash-flow ratio (variable #14)</w:t>
      </w:r>
    </w:p>
    <w:p w14:paraId="347E81F8" w14:textId="77777777" w:rsidR="00A1032F" w:rsidRDefault="0078137F">
      <w:pPr>
        <w:numPr>
          <w:ilvl w:val="1"/>
          <w:numId w:val="3"/>
        </w:numPr>
        <w:rPr>
          <w:rFonts w:ascii="Times New Roman" w:eastAsia="Times New Roman" w:hAnsi="Times New Roman" w:cs="Times New Roman"/>
        </w:rPr>
      </w:pPr>
      <w:r>
        <w:rPr>
          <w:rFonts w:ascii="Times New Roman" w:eastAsia="Times New Roman" w:hAnsi="Times New Roman" w:cs="Times New Roman"/>
        </w:rPr>
        <w:t>Reason: Highly correlated with price-to-earnings ratio variable</w:t>
      </w:r>
    </w:p>
    <w:p w14:paraId="744CDF5B" w14:textId="77777777" w:rsidR="00A1032F" w:rsidRDefault="0078137F">
      <w:pPr>
        <w:numPr>
          <w:ilvl w:val="0"/>
          <w:numId w:val="3"/>
        </w:numPr>
        <w:rPr>
          <w:rFonts w:ascii="Times New Roman" w:eastAsia="Times New Roman" w:hAnsi="Times New Roman" w:cs="Times New Roman"/>
        </w:rPr>
      </w:pPr>
      <w:r>
        <w:rPr>
          <w:rFonts w:ascii="Times New Roman" w:eastAsia="Times New Roman" w:hAnsi="Times New Roman" w:cs="Times New Roman"/>
        </w:rPr>
        <w:t>Price/Book ratio (variable #15)</w:t>
      </w:r>
    </w:p>
    <w:p w14:paraId="4421A536" w14:textId="77777777" w:rsidR="00A1032F" w:rsidRDefault="0078137F">
      <w:pPr>
        <w:numPr>
          <w:ilvl w:val="1"/>
          <w:numId w:val="3"/>
        </w:numPr>
        <w:rPr>
          <w:rFonts w:ascii="Times New Roman" w:eastAsia="Times New Roman" w:hAnsi="Times New Roman" w:cs="Times New Roman"/>
        </w:rPr>
      </w:pPr>
      <w:r>
        <w:rPr>
          <w:rFonts w:ascii="Times New Roman" w:eastAsia="Times New Roman" w:hAnsi="Times New Roman" w:cs="Times New Roman"/>
        </w:rPr>
        <w:t>Reason: Highly correlated with price-to-earnings ratio variable</w:t>
      </w:r>
    </w:p>
    <w:p w14:paraId="59CBEBE5" w14:textId="77777777" w:rsidR="00A1032F" w:rsidRDefault="0078137F">
      <w:pPr>
        <w:rPr>
          <w:rFonts w:ascii="Times New Roman" w:eastAsia="Times New Roman" w:hAnsi="Times New Roman" w:cs="Times New Roman"/>
        </w:rPr>
      </w:pPr>
      <w:r>
        <w:rPr>
          <w:noProof/>
        </w:rPr>
        <w:drawing>
          <wp:anchor distT="114300" distB="114300" distL="114300" distR="114300" simplePos="0" relativeHeight="251658240" behindDoc="0" locked="0" layoutInCell="1" hidden="0" allowOverlap="1" wp14:anchorId="539EE2DC" wp14:editId="1171FBCC">
            <wp:simplePos x="0" y="0"/>
            <wp:positionH relativeFrom="column">
              <wp:posOffset>1</wp:posOffset>
            </wp:positionH>
            <wp:positionV relativeFrom="paragraph">
              <wp:posOffset>114300</wp:posOffset>
            </wp:positionV>
            <wp:extent cx="5943600" cy="584200"/>
            <wp:effectExtent l="0" t="0" r="0" b="0"/>
            <wp:wrapSquare wrapText="bothSides" distT="114300" distB="114300" distL="114300" distR="11430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5943600" cy="584200"/>
                    </a:xfrm>
                    <a:prstGeom prst="rect">
                      <a:avLst/>
                    </a:prstGeom>
                    <a:ln/>
                  </pic:spPr>
                </pic:pic>
              </a:graphicData>
            </a:graphic>
          </wp:anchor>
        </w:drawing>
      </w:r>
    </w:p>
    <w:p w14:paraId="7F25A3E1" w14:textId="77777777" w:rsidR="00A1032F" w:rsidRDefault="0078137F">
      <w:pPr>
        <w:rPr>
          <w:rFonts w:ascii="Times New Roman" w:eastAsia="Times New Roman" w:hAnsi="Times New Roman" w:cs="Times New Roman"/>
        </w:rPr>
      </w:pPr>
      <w:r>
        <w:rPr>
          <w:rFonts w:ascii="Times New Roman" w:eastAsia="Times New Roman" w:hAnsi="Times New Roman" w:cs="Times New Roman"/>
        </w:rPr>
        <w:lastRenderedPageBreak/>
        <w:t>Since the collinearity between P/E and P/B &amp; P/E and P/CF is above 0.8 (considered an indicator of strong multicollinearity), we feel that the high values nec</w:t>
      </w:r>
      <w:r>
        <w:rPr>
          <w:rFonts w:ascii="Times New Roman" w:eastAsia="Times New Roman" w:hAnsi="Times New Roman" w:cs="Times New Roman"/>
        </w:rPr>
        <w:t>essitate the omission of the aforementioned variables.</w:t>
      </w:r>
    </w:p>
    <w:p w14:paraId="620CD9F5" w14:textId="77777777" w:rsidR="00A1032F" w:rsidRDefault="00A1032F">
      <w:pPr>
        <w:rPr>
          <w:rFonts w:ascii="Times New Roman" w:eastAsia="Times New Roman" w:hAnsi="Times New Roman" w:cs="Times New Roman"/>
        </w:rPr>
      </w:pPr>
    </w:p>
    <w:p w14:paraId="22128983" w14:textId="77777777" w:rsidR="00A1032F" w:rsidRDefault="0078137F">
      <w:pPr>
        <w:numPr>
          <w:ilvl w:val="0"/>
          <w:numId w:val="3"/>
        </w:numPr>
        <w:rPr>
          <w:rFonts w:ascii="Times New Roman" w:eastAsia="Times New Roman" w:hAnsi="Times New Roman" w:cs="Times New Roman"/>
        </w:rPr>
      </w:pPr>
      <w:r>
        <w:rPr>
          <w:rFonts w:ascii="Times New Roman" w:eastAsia="Times New Roman" w:hAnsi="Times New Roman" w:cs="Times New Roman"/>
        </w:rPr>
        <w:t>Sharpe ratio (variable #18)</w:t>
      </w:r>
    </w:p>
    <w:p w14:paraId="3C322395" w14:textId="77777777" w:rsidR="00A1032F" w:rsidRDefault="0078137F">
      <w:pPr>
        <w:numPr>
          <w:ilvl w:val="1"/>
          <w:numId w:val="3"/>
        </w:numPr>
        <w:rPr>
          <w:rFonts w:ascii="Times New Roman" w:eastAsia="Times New Roman" w:hAnsi="Times New Roman" w:cs="Times New Roman"/>
        </w:rPr>
      </w:pPr>
      <w:r>
        <w:rPr>
          <w:rFonts w:ascii="Times New Roman" w:eastAsia="Times New Roman" w:hAnsi="Times New Roman" w:cs="Times New Roman"/>
        </w:rPr>
        <w:t xml:space="preserve">Reason: The n-year Sharpe ratio is calculated using the return over the last n years. Therefore, we feel it is misleading to include this variable in our analysis since it </w:t>
      </w:r>
      <w:r>
        <w:rPr>
          <w:rFonts w:ascii="Times New Roman" w:eastAsia="Times New Roman" w:hAnsi="Times New Roman" w:cs="Times New Roman"/>
        </w:rPr>
        <w:t xml:space="preserve">would be akin to predicting </w:t>
      </w:r>
      <w:proofErr w:type="gramStart"/>
      <w:r>
        <w:rPr>
          <w:rFonts w:ascii="Times New Roman" w:eastAsia="Times New Roman" w:hAnsi="Times New Roman" w:cs="Times New Roman"/>
        </w:rPr>
        <w:t>5 year</w:t>
      </w:r>
      <w:proofErr w:type="gramEnd"/>
      <w:r>
        <w:rPr>
          <w:rFonts w:ascii="Times New Roman" w:eastAsia="Times New Roman" w:hAnsi="Times New Roman" w:cs="Times New Roman"/>
        </w:rPr>
        <w:t xml:space="preserve"> return from 3 year return. </w:t>
      </w:r>
    </w:p>
    <w:p w14:paraId="6A8BDF6C" w14:textId="77777777" w:rsidR="00A1032F" w:rsidRDefault="0078137F">
      <w:pPr>
        <w:numPr>
          <w:ilvl w:val="0"/>
          <w:numId w:val="3"/>
        </w:numPr>
        <w:rPr>
          <w:rFonts w:ascii="Times New Roman" w:eastAsia="Times New Roman" w:hAnsi="Times New Roman" w:cs="Times New Roman"/>
        </w:rPr>
      </w:pPr>
      <w:r>
        <w:rPr>
          <w:rFonts w:ascii="Times New Roman" w:eastAsia="Times New Roman" w:hAnsi="Times New Roman" w:cs="Times New Roman"/>
        </w:rPr>
        <w:t>Treynor ratio (variable #19)</w:t>
      </w:r>
    </w:p>
    <w:p w14:paraId="13071957" w14:textId="77777777" w:rsidR="00A1032F" w:rsidRDefault="0078137F">
      <w:pPr>
        <w:numPr>
          <w:ilvl w:val="1"/>
          <w:numId w:val="3"/>
        </w:numPr>
        <w:rPr>
          <w:rFonts w:ascii="Times New Roman" w:eastAsia="Times New Roman" w:hAnsi="Times New Roman" w:cs="Times New Roman"/>
        </w:rPr>
      </w:pPr>
      <w:r>
        <w:rPr>
          <w:rFonts w:ascii="Times New Roman" w:eastAsia="Times New Roman" w:hAnsi="Times New Roman" w:cs="Times New Roman"/>
        </w:rPr>
        <w:t>Reason: Same as Sharpe ratio. Also, this variable would be highly correlated with the Sharpe ratio, which is something we don’t want.</w:t>
      </w:r>
    </w:p>
    <w:p w14:paraId="1263CFB0" w14:textId="77777777" w:rsidR="00A1032F" w:rsidRDefault="0078137F">
      <w:pPr>
        <w:numPr>
          <w:ilvl w:val="0"/>
          <w:numId w:val="3"/>
        </w:numPr>
        <w:rPr>
          <w:rFonts w:ascii="Times New Roman" w:eastAsia="Times New Roman" w:hAnsi="Times New Roman" w:cs="Times New Roman"/>
        </w:rPr>
      </w:pPr>
      <w:r>
        <w:rPr>
          <w:rFonts w:ascii="Times New Roman" w:eastAsia="Times New Roman" w:hAnsi="Times New Roman" w:cs="Times New Roman"/>
        </w:rPr>
        <w:t>5 Year Fund R^2 (variable #17)</w:t>
      </w:r>
    </w:p>
    <w:p w14:paraId="1A234571" w14:textId="77777777" w:rsidR="00A1032F" w:rsidRDefault="0078137F">
      <w:pPr>
        <w:numPr>
          <w:ilvl w:val="1"/>
          <w:numId w:val="3"/>
        </w:numPr>
        <w:rPr>
          <w:rFonts w:ascii="Times New Roman" w:eastAsia="Times New Roman" w:hAnsi="Times New Roman" w:cs="Times New Roman"/>
        </w:rPr>
      </w:pPr>
      <w:r>
        <w:rPr>
          <w:rFonts w:ascii="Times New Roman" w:eastAsia="Times New Roman" w:hAnsi="Times New Roman" w:cs="Times New Roman"/>
        </w:rPr>
        <w:t>Reason: This variable is calculated after a time period. Since our analysis seeks to predict future returns as well as past ones, the inclusion of this variable does not seem appropriate since we cannot use a metric that is c</w:t>
      </w:r>
      <w:r>
        <w:rPr>
          <w:rFonts w:ascii="Times New Roman" w:eastAsia="Times New Roman" w:hAnsi="Times New Roman" w:cs="Times New Roman"/>
        </w:rPr>
        <w:t>alculated in the future to predict the future.</w:t>
      </w:r>
    </w:p>
    <w:p w14:paraId="562BC3DC" w14:textId="77777777" w:rsidR="00A1032F" w:rsidRDefault="00A1032F">
      <w:pPr>
        <w:ind w:left="1440"/>
        <w:rPr>
          <w:rFonts w:ascii="Times New Roman" w:eastAsia="Times New Roman" w:hAnsi="Times New Roman" w:cs="Times New Roman"/>
        </w:rPr>
      </w:pPr>
    </w:p>
    <w:p w14:paraId="6805B785" w14:textId="77777777" w:rsidR="00A1032F" w:rsidRDefault="00A1032F">
      <w:pPr>
        <w:rPr>
          <w:rFonts w:ascii="Times New Roman" w:eastAsia="Times New Roman" w:hAnsi="Times New Roman" w:cs="Times New Roman"/>
        </w:rPr>
      </w:pPr>
    </w:p>
    <w:p w14:paraId="3E5E5909" w14:textId="77777777" w:rsidR="00A1032F" w:rsidRDefault="0078137F">
      <w:pPr>
        <w:rPr>
          <w:rFonts w:ascii="Times New Roman" w:eastAsia="Times New Roman" w:hAnsi="Times New Roman" w:cs="Times New Roman"/>
          <w:u w:val="single"/>
        </w:rPr>
      </w:pPr>
      <w:r>
        <w:rPr>
          <w:rFonts w:ascii="Times New Roman" w:eastAsia="Times New Roman" w:hAnsi="Times New Roman" w:cs="Times New Roman"/>
          <w:u w:val="single"/>
        </w:rPr>
        <w:t>Cleaning the Data</w:t>
      </w:r>
    </w:p>
    <w:p w14:paraId="448A8171" w14:textId="77777777" w:rsidR="00A1032F" w:rsidRDefault="00A1032F">
      <w:pPr>
        <w:rPr>
          <w:rFonts w:ascii="Times New Roman" w:eastAsia="Times New Roman" w:hAnsi="Times New Roman" w:cs="Times New Roman"/>
        </w:rPr>
      </w:pPr>
    </w:p>
    <w:p w14:paraId="1094975B" w14:textId="77777777" w:rsidR="00A1032F" w:rsidRDefault="0078137F">
      <w:pPr>
        <w:rPr>
          <w:rFonts w:ascii="Times New Roman" w:eastAsia="Times New Roman" w:hAnsi="Times New Roman" w:cs="Times New Roman"/>
        </w:rPr>
      </w:pPr>
      <w:r>
        <w:rPr>
          <w:rFonts w:ascii="Times New Roman" w:eastAsia="Times New Roman" w:hAnsi="Times New Roman" w:cs="Times New Roman"/>
        </w:rPr>
        <w:t>The first thing we had to do was go into the csv file and add information under the investment column. Out of the original 1400 (approximate) cases, there were roughly 450 with missing dat</w:t>
      </w:r>
      <w:r>
        <w:rPr>
          <w:rFonts w:ascii="Times New Roman" w:eastAsia="Times New Roman" w:hAnsi="Times New Roman" w:cs="Times New Roman"/>
        </w:rPr>
        <w:t xml:space="preserve">a for investment type. We manually went through and filled in each cell with one of the following levels: Bond, Currency, Commodity (there were a few ETFs which didn’t belong to any of the buckets, so we decided to leave them blank). </w:t>
      </w:r>
    </w:p>
    <w:p w14:paraId="2F7F4697" w14:textId="77777777" w:rsidR="00A1032F" w:rsidRDefault="00A1032F">
      <w:pPr>
        <w:rPr>
          <w:rFonts w:ascii="Times New Roman" w:eastAsia="Times New Roman" w:hAnsi="Times New Roman" w:cs="Times New Roman"/>
        </w:rPr>
      </w:pPr>
    </w:p>
    <w:p w14:paraId="40C3E21A" w14:textId="77777777" w:rsidR="00A1032F" w:rsidRDefault="0078137F">
      <w:pPr>
        <w:rPr>
          <w:rFonts w:ascii="Times New Roman" w:eastAsia="Times New Roman" w:hAnsi="Times New Roman" w:cs="Times New Roman"/>
        </w:rPr>
      </w:pPr>
      <w:r>
        <w:rPr>
          <w:rFonts w:ascii="Times New Roman" w:eastAsia="Times New Roman" w:hAnsi="Times New Roman" w:cs="Times New Roman"/>
        </w:rPr>
        <w:t>The next thing we di</w:t>
      </w:r>
      <w:r>
        <w:rPr>
          <w:rFonts w:ascii="Times New Roman" w:eastAsia="Times New Roman" w:hAnsi="Times New Roman" w:cs="Times New Roman"/>
        </w:rPr>
        <w:t>d was create a new variable that indicated whether or not the ETF was an inverse ETF. The general methodology for doing this goes as follows</w:t>
      </w:r>
    </w:p>
    <w:p w14:paraId="35C5D1B8" w14:textId="77777777" w:rsidR="00A1032F" w:rsidRDefault="0078137F">
      <w:pPr>
        <w:numPr>
          <w:ilvl w:val="0"/>
          <w:numId w:val="4"/>
        </w:numPr>
        <w:rPr>
          <w:rFonts w:ascii="Times New Roman" w:eastAsia="Times New Roman" w:hAnsi="Times New Roman" w:cs="Times New Roman"/>
        </w:rPr>
      </w:pPr>
      <w:r>
        <w:rPr>
          <w:rFonts w:ascii="Times New Roman" w:eastAsia="Times New Roman" w:hAnsi="Times New Roman" w:cs="Times New Roman"/>
        </w:rPr>
        <w:t>Inverse = “Yes” if the ETF name has any of the following phrases</w:t>
      </w:r>
    </w:p>
    <w:p w14:paraId="010B4442" w14:textId="77777777" w:rsidR="00A1032F" w:rsidRDefault="0078137F">
      <w:pPr>
        <w:numPr>
          <w:ilvl w:val="1"/>
          <w:numId w:val="4"/>
        </w:numPr>
        <w:rPr>
          <w:rFonts w:ascii="Times New Roman" w:eastAsia="Times New Roman" w:hAnsi="Times New Roman" w:cs="Times New Roman"/>
        </w:rPr>
      </w:pPr>
      <w:r>
        <w:rPr>
          <w:rFonts w:ascii="Times New Roman" w:eastAsia="Times New Roman" w:hAnsi="Times New Roman" w:cs="Times New Roman"/>
        </w:rPr>
        <w:t>“Bear”</w:t>
      </w:r>
    </w:p>
    <w:p w14:paraId="2846453C" w14:textId="77777777" w:rsidR="00A1032F" w:rsidRDefault="0078137F">
      <w:pPr>
        <w:numPr>
          <w:ilvl w:val="1"/>
          <w:numId w:val="4"/>
        </w:numPr>
        <w:rPr>
          <w:rFonts w:ascii="Times New Roman" w:eastAsia="Times New Roman" w:hAnsi="Times New Roman" w:cs="Times New Roman"/>
        </w:rPr>
      </w:pPr>
      <w:r>
        <w:rPr>
          <w:rFonts w:ascii="Times New Roman" w:eastAsia="Times New Roman" w:hAnsi="Times New Roman" w:cs="Times New Roman"/>
        </w:rPr>
        <w:t>“Short” (but not “Short-term” or “short-dur</w:t>
      </w:r>
      <w:r>
        <w:rPr>
          <w:rFonts w:ascii="Times New Roman" w:eastAsia="Times New Roman" w:hAnsi="Times New Roman" w:cs="Times New Roman"/>
        </w:rPr>
        <w:t>ation” or any similar phrases)</w:t>
      </w:r>
    </w:p>
    <w:p w14:paraId="2ADADD8D" w14:textId="77777777" w:rsidR="00A1032F" w:rsidRDefault="0078137F">
      <w:pPr>
        <w:numPr>
          <w:ilvl w:val="1"/>
          <w:numId w:val="4"/>
        </w:numPr>
        <w:rPr>
          <w:rFonts w:ascii="Times New Roman" w:eastAsia="Times New Roman" w:hAnsi="Times New Roman" w:cs="Times New Roman"/>
        </w:rPr>
      </w:pPr>
      <w:r>
        <w:rPr>
          <w:rFonts w:ascii="Times New Roman" w:eastAsia="Times New Roman" w:hAnsi="Times New Roman" w:cs="Times New Roman"/>
        </w:rPr>
        <w:t>“Inverse”</w:t>
      </w:r>
    </w:p>
    <w:p w14:paraId="29722588" w14:textId="77777777" w:rsidR="00A1032F" w:rsidRDefault="0078137F">
      <w:pPr>
        <w:numPr>
          <w:ilvl w:val="1"/>
          <w:numId w:val="4"/>
        </w:numPr>
        <w:rPr>
          <w:rFonts w:ascii="Times New Roman" w:eastAsia="Times New Roman" w:hAnsi="Times New Roman" w:cs="Times New Roman"/>
        </w:rPr>
      </w:pPr>
      <w:r>
        <w:rPr>
          <w:rFonts w:ascii="Times New Roman" w:eastAsia="Times New Roman" w:hAnsi="Times New Roman" w:cs="Times New Roman"/>
        </w:rPr>
        <w:t>“-1x”, “-2x”, “-3x”</w:t>
      </w:r>
    </w:p>
    <w:p w14:paraId="1B169030" w14:textId="77777777" w:rsidR="00A1032F" w:rsidRDefault="00A1032F">
      <w:pPr>
        <w:rPr>
          <w:rFonts w:ascii="Times New Roman" w:eastAsia="Times New Roman" w:hAnsi="Times New Roman" w:cs="Times New Roman"/>
        </w:rPr>
      </w:pPr>
    </w:p>
    <w:p w14:paraId="4BA63EFE" w14:textId="77777777" w:rsidR="00A1032F" w:rsidRDefault="0078137F">
      <w:pPr>
        <w:rPr>
          <w:rFonts w:ascii="Times New Roman" w:eastAsia="Times New Roman" w:hAnsi="Times New Roman" w:cs="Times New Roman"/>
        </w:rPr>
      </w:pPr>
      <w:r>
        <w:rPr>
          <w:rFonts w:ascii="Times New Roman" w:eastAsia="Times New Roman" w:hAnsi="Times New Roman" w:cs="Times New Roman"/>
        </w:rPr>
        <w:t>After doing this, we imported the dataset into R Studio and did the following things to clean the data:</w:t>
      </w:r>
    </w:p>
    <w:p w14:paraId="43CB6549" w14:textId="77777777" w:rsidR="00A1032F" w:rsidRDefault="0078137F">
      <w:pPr>
        <w:numPr>
          <w:ilvl w:val="0"/>
          <w:numId w:val="1"/>
        </w:numPr>
        <w:rPr>
          <w:rFonts w:ascii="Times New Roman" w:eastAsia="Times New Roman" w:hAnsi="Times New Roman" w:cs="Times New Roman"/>
        </w:rPr>
      </w:pPr>
      <w:r>
        <w:rPr>
          <w:rFonts w:ascii="Times New Roman" w:eastAsia="Times New Roman" w:hAnsi="Times New Roman" w:cs="Times New Roman"/>
        </w:rPr>
        <w:t>Remove ETFs which did not fit into any of the investment categories (~30 rows)</w:t>
      </w:r>
    </w:p>
    <w:p w14:paraId="6CF97CEE" w14:textId="77777777" w:rsidR="00A1032F" w:rsidRDefault="0078137F">
      <w:pPr>
        <w:numPr>
          <w:ilvl w:val="0"/>
          <w:numId w:val="1"/>
        </w:numPr>
        <w:rPr>
          <w:rFonts w:ascii="Times New Roman" w:eastAsia="Times New Roman" w:hAnsi="Times New Roman" w:cs="Times New Roman"/>
        </w:rPr>
      </w:pPr>
      <w:r>
        <w:rPr>
          <w:rFonts w:ascii="Times New Roman" w:eastAsia="Times New Roman" w:hAnsi="Times New Roman" w:cs="Times New Roman"/>
        </w:rPr>
        <w:t>Remove ETFs that had more than 80% of their capital invested in a single economic sector (tech, industrials, energy, etc.) (~220 rows)</w:t>
      </w:r>
    </w:p>
    <w:p w14:paraId="3A3AA761" w14:textId="77777777" w:rsidR="00A1032F" w:rsidRDefault="0078137F">
      <w:pPr>
        <w:numPr>
          <w:ilvl w:val="0"/>
          <w:numId w:val="1"/>
        </w:numPr>
        <w:rPr>
          <w:rFonts w:ascii="Times New Roman" w:eastAsia="Times New Roman" w:hAnsi="Times New Roman" w:cs="Times New Roman"/>
        </w:rPr>
      </w:pPr>
      <w:r>
        <w:rPr>
          <w:rFonts w:ascii="Times New Roman" w:eastAsia="Times New Roman" w:hAnsi="Times New Roman" w:cs="Times New Roman"/>
        </w:rPr>
        <w:t>Get rid of extraneous columns</w:t>
      </w:r>
    </w:p>
    <w:p w14:paraId="773403E2" w14:textId="77777777" w:rsidR="00A1032F" w:rsidRDefault="0078137F">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For columns </w:t>
      </w:r>
      <w:r>
        <w:rPr>
          <w:rFonts w:ascii="Times New Roman" w:eastAsia="Times New Roman" w:hAnsi="Times New Roman" w:cs="Times New Roman"/>
        </w:rPr>
        <w:t>that had missing values for one column, replace fill in those fields with the mean of the column (14 rows)</w:t>
      </w:r>
    </w:p>
    <w:p w14:paraId="2185F887" w14:textId="77777777" w:rsidR="00A1032F" w:rsidRDefault="0078137F">
      <w:pPr>
        <w:numPr>
          <w:ilvl w:val="0"/>
          <w:numId w:val="1"/>
        </w:numPr>
        <w:rPr>
          <w:rFonts w:ascii="Times New Roman" w:eastAsia="Times New Roman" w:hAnsi="Times New Roman" w:cs="Times New Roman"/>
        </w:rPr>
      </w:pPr>
      <w:r>
        <w:rPr>
          <w:rFonts w:ascii="Times New Roman" w:eastAsia="Times New Roman" w:hAnsi="Times New Roman" w:cs="Times New Roman"/>
        </w:rPr>
        <w:t>Remove ETFs that had NA for every column (3 rows)</w:t>
      </w:r>
    </w:p>
    <w:p w14:paraId="2B9C1D99" w14:textId="77777777" w:rsidR="00A1032F" w:rsidRDefault="0078137F">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Rename some columns for convenience </w:t>
      </w:r>
    </w:p>
    <w:p w14:paraId="1F284629" w14:textId="77777777" w:rsidR="00A1032F" w:rsidRDefault="00A1032F">
      <w:pPr>
        <w:rPr>
          <w:rFonts w:ascii="Times New Roman" w:eastAsia="Times New Roman" w:hAnsi="Times New Roman" w:cs="Times New Roman"/>
        </w:rPr>
      </w:pPr>
    </w:p>
    <w:p w14:paraId="6718429F" w14:textId="77777777" w:rsidR="00A1032F" w:rsidRDefault="00A1032F">
      <w:pPr>
        <w:rPr>
          <w:rFonts w:ascii="Times New Roman" w:eastAsia="Times New Roman" w:hAnsi="Times New Roman" w:cs="Times New Roman"/>
        </w:rPr>
      </w:pPr>
    </w:p>
    <w:p w14:paraId="28C0C2A7" w14:textId="77777777" w:rsidR="00A1032F" w:rsidRDefault="0078137F">
      <w:pPr>
        <w:rPr>
          <w:rFonts w:ascii="Times New Roman" w:eastAsia="Times New Roman" w:hAnsi="Times New Roman" w:cs="Times New Roman"/>
          <w:u w:val="single"/>
        </w:rPr>
      </w:pPr>
      <w:r>
        <w:rPr>
          <w:rFonts w:ascii="Times New Roman" w:eastAsia="Times New Roman" w:hAnsi="Times New Roman" w:cs="Times New Roman"/>
          <w:u w:val="single"/>
        </w:rPr>
        <w:t>Model Selection</w:t>
      </w:r>
    </w:p>
    <w:p w14:paraId="05F841EF" w14:textId="77777777" w:rsidR="00A1032F" w:rsidRDefault="0078137F">
      <w:pPr>
        <w:rPr>
          <w:rFonts w:ascii="Times New Roman" w:eastAsia="Times New Roman" w:hAnsi="Times New Roman" w:cs="Times New Roman"/>
        </w:rPr>
      </w:pPr>
      <w:r>
        <w:rPr>
          <w:rFonts w:ascii="Times New Roman" w:eastAsia="Times New Roman" w:hAnsi="Times New Roman" w:cs="Times New Roman"/>
        </w:rPr>
        <w:t xml:space="preserve">We used the </w:t>
      </w:r>
      <w:proofErr w:type="spellStart"/>
      <w:r>
        <w:rPr>
          <w:rFonts w:ascii="Times New Roman" w:eastAsia="Times New Roman" w:hAnsi="Times New Roman" w:cs="Times New Roman"/>
        </w:rPr>
        <w:t>regsubsets</w:t>
      </w:r>
      <w:proofErr w:type="spellEnd"/>
      <w:r>
        <w:rPr>
          <w:rFonts w:ascii="Times New Roman" w:eastAsia="Times New Roman" w:hAnsi="Times New Roman" w:cs="Times New Roman"/>
        </w:rPr>
        <w:t xml:space="preserve"> function to help us d</w:t>
      </w:r>
      <w:r>
        <w:rPr>
          <w:rFonts w:ascii="Times New Roman" w:eastAsia="Times New Roman" w:hAnsi="Times New Roman" w:cs="Times New Roman"/>
        </w:rPr>
        <w:t xml:space="preserve">etermine which variables would be worth looking at for further analysis. Here is the output of the </w:t>
      </w:r>
      <w:proofErr w:type="spellStart"/>
      <w:r>
        <w:rPr>
          <w:rFonts w:ascii="Times New Roman" w:eastAsia="Times New Roman" w:hAnsi="Times New Roman" w:cs="Times New Roman"/>
        </w:rPr>
        <w:t>regsubsets</w:t>
      </w:r>
      <w:proofErr w:type="spellEnd"/>
      <w:r>
        <w:rPr>
          <w:rFonts w:ascii="Times New Roman" w:eastAsia="Times New Roman" w:hAnsi="Times New Roman" w:cs="Times New Roman"/>
        </w:rPr>
        <w:t xml:space="preserve"> plot:</w:t>
      </w:r>
    </w:p>
    <w:p w14:paraId="20062952" w14:textId="77777777" w:rsidR="00A1032F" w:rsidRDefault="0078137F">
      <w:pPr>
        <w:rPr>
          <w:rFonts w:ascii="Times New Roman" w:eastAsia="Times New Roman" w:hAnsi="Times New Roman" w:cs="Times New Roman"/>
        </w:rPr>
      </w:pPr>
      <w:r>
        <w:rPr>
          <w:noProof/>
        </w:rPr>
        <w:drawing>
          <wp:anchor distT="0" distB="0" distL="0" distR="0" simplePos="0" relativeHeight="251659264" behindDoc="0" locked="0" layoutInCell="1" hidden="0" allowOverlap="1" wp14:anchorId="5CD58DD6" wp14:editId="07AF2496">
            <wp:simplePos x="0" y="0"/>
            <wp:positionH relativeFrom="column">
              <wp:posOffset>-476249</wp:posOffset>
            </wp:positionH>
            <wp:positionV relativeFrom="paragraph">
              <wp:posOffset>95250</wp:posOffset>
            </wp:positionV>
            <wp:extent cx="6419850" cy="3324225"/>
            <wp:effectExtent l="0" t="0" r="0" b="0"/>
            <wp:wrapSquare wrapText="bothSides" distT="0" distB="0" distL="0" distR="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t="18457"/>
                    <a:stretch>
                      <a:fillRect/>
                    </a:stretch>
                  </pic:blipFill>
                  <pic:spPr>
                    <a:xfrm>
                      <a:off x="0" y="0"/>
                      <a:ext cx="6419850" cy="3324225"/>
                    </a:xfrm>
                    <a:prstGeom prst="rect">
                      <a:avLst/>
                    </a:prstGeom>
                    <a:ln/>
                  </pic:spPr>
                </pic:pic>
              </a:graphicData>
            </a:graphic>
          </wp:anchor>
        </w:drawing>
      </w:r>
    </w:p>
    <w:p w14:paraId="276BEACF" w14:textId="77777777" w:rsidR="00A1032F" w:rsidRDefault="00A1032F">
      <w:pPr>
        <w:rPr>
          <w:rFonts w:ascii="Times New Roman" w:eastAsia="Times New Roman" w:hAnsi="Times New Roman" w:cs="Times New Roman"/>
        </w:rPr>
      </w:pPr>
    </w:p>
    <w:p w14:paraId="721BCDA1" w14:textId="77777777" w:rsidR="00A1032F" w:rsidRDefault="0078137F">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2FAC8FCD" w14:textId="77777777" w:rsidR="00A1032F" w:rsidRDefault="0078137F">
      <w:pPr>
        <w:rPr>
          <w:rFonts w:ascii="Times New Roman" w:eastAsia="Times New Roman" w:hAnsi="Times New Roman" w:cs="Times New Roman"/>
        </w:rPr>
      </w:pPr>
      <w:r>
        <w:rPr>
          <w:rFonts w:ascii="Times New Roman" w:eastAsia="Times New Roman" w:hAnsi="Times New Roman" w:cs="Times New Roman"/>
        </w:rPr>
        <w:t xml:space="preserve">After looking at the output, the 4 variables we have chosen are investment, </w:t>
      </w:r>
      <w:proofErr w:type="spellStart"/>
      <w:r>
        <w:rPr>
          <w:rFonts w:ascii="Times New Roman" w:eastAsia="Times New Roman" w:hAnsi="Times New Roman" w:cs="Times New Roman"/>
        </w:rPr>
        <w:t>pct_stocks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consumer_cyclical</w:t>
      </w:r>
      <w:proofErr w:type="spellEnd"/>
      <w:r>
        <w:rPr>
          <w:rFonts w:ascii="Times New Roman" w:eastAsia="Times New Roman" w:hAnsi="Times New Roman" w:cs="Times New Roman"/>
        </w:rPr>
        <w:t xml:space="preserve"> (% of invested ca</w:t>
      </w:r>
      <w:r>
        <w:rPr>
          <w:rFonts w:ascii="Times New Roman" w:eastAsia="Times New Roman" w:hAnsi="Times New Roman" w:cs="Times New Roman"/>
        </w:rPr>
        <w:t xml:space="preserve">pital in the </w:t>
      </w:r>
      <w:proofErr w:type="spellStart"/>
      <w:r>
        <w:rPr>
          <w:rFonts w:ascii="Times New Roman" w:eastAsia="Times New Roman" w:hAnsi="Times New Roman" w:cs="Times New Roman"/>
        </w:rPr>
        <w:t>consumer_cyclical</w:t>
      </w:r>
      <w:proofErr w:type="spellEnd"/>
      <w:r>
        <w:rPr>
          <w:rFonts w:ascii="Times New Roman" w:eastAsia="Times New Roman" w:hAnsi="Times New Roman" w:cs="Times New Roman"/>
        </w:rPr>
        <w:t xml:space="preserve"> industry), and Inverse. The plot suggests that a model with these 4 variables could have an adjusted R</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as high as 0.49. While we could have eliminated Inverse and still had an adjusted R</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of 0.46, we felt that the extra 0.03</w:t>
      </w:r>
      <w:r>
        <w:rPr>
          <w:rFonts w:ascii="Times New Roman" w:eastAsia="Times New Roman" w:hAnsi="Times New Roman" w:cs="Times New Roman"/>
        </w:rPr>
        <w:t xml:space="preserve"> in predictive power was worth the inclusion of Inverse since we also expect inverse ETFs to generally perform worse than their non-inverse counterparts (since our data is from the time period 2013-18 during which there was a bull market).</w:t>
      </w:r>
    </w:p>
    <w:p w14:paraId="0A157E1F" w14:textId="77777777" w:rsidR="00A1032F" w:rsidRDefault="00A1032F">
      <w:pPr>
        <w:rPr>
          <w:rFonts w:ascii="Times New Roman" w:eastAsia="Times New Roman" w:hAnsi="Times New Roman" w:cs="Times New Roman"/>
        </w:rPr>
      </w:pPr>
    </w:p>
    <w:p w14:paraId="75942C26" w14:textId="77777777" w:rsidR="00A1032F" w:rsidRDefault="00A1032F">
      <w:pPr>
        <w:rPr>
          <w:rFonts w:ascii="Times New Roman" w:eastAsia="Times New Roman" w:hAnsi="Times New Roman" w:cs="Times New Roman"/>
        </w:rPr>
      </w:pPr>
    </w:p>
    <w:p w14:paraId="506E932F" w14:textId="77777777" w:rsidR="00A1032F" w:rsidRDefault="00A1032F">
      <w:pPr>
        <w:rPr>
          <w:rFonts w:ascii="Times New Roman" w:eastAsia="Times New Roman" w:hAnsi="Times New Roman" w:cs="Times New Roman"/>
        </w:rPr>
      </w:pPr>
    </w:p>
    <w:p w14:paraId="3D1142C6" w14:textId="77777777" w:rsidR="00A1032F" w:rsidRDefault="00A1032F">
      <w:pPr>
        <w:rPr>
          <w:rFonts w:ascii="Times New Roman" w:eastAsia="Times New Roman" w:hAnsi="Times New Roman" w:cs="Times New Roman"/>
          <w:u w:val="single"/>
        </w:rPr>
      </w:pPr>
    </w:p>
    <w:p w14:paraId="5A3B7175" w14:textId="77777777" w:rsidR="00A1032F" w:rsidRDefault="0078137F">
      <w:pPr>
        <w:rPr>
          <w:rFonts w:ascii="Times New Roman" w:eastAsia="Times New Roman" w:hAnsi="Times New Roman" w:cs="Times New Roman"/>
          <w:u w:val="single"/>
        </w:rPr>
      </w:pPr>
      <w:r>
        <w:rPr>
          <w:rFonts w:ascii="Times New Roman" w:eastAsia="Times New Roman" w:hAnsi="Times New Roman" w:cs="Times New Roman"/>
          <w:u w:val="single"/>
        </w:rPr>
        <w:t>Missing Data</w:t>
      </w:r>
    </w:p>
    <w:p w14:paraId="357C72F1" w14:textId="77777777" w:rsidR="00A1032F" w:rsidRDefault="00A1032F">
      <w:pPr>
        <w:rPr>
          <w:rFonts w:ascii="Times New Roman" w:eastAsia="Times New Roman" w:hAnsi="Times New Roman" w:cs="Times New Roman"/>
          <w:u w:val="single"/>
        </w:rPr>
      </w:pPr>
    </w:p>
    <w:p w14:paraId="02524E70" w14:textId="77777777" w:rsidR="00A1032F" w:rsidRDefault="0078137F">
      <w:pPr>
        <w:rPr>
          <w:rFonts w:ascii="Times New Roman" w:eastAsia="Times New Roman" w:hAnsi="Times New Roman" w:cs="Times New Roman"/>
        </w:rPr>
      </w:pPr>
      <w:r>
        <w:rPr>
          <w:rFonts w:ascii="Times New Roman" w:eastAsia="Times New Roman" w:hAnsi="Times New Roman" w:cs="Times New Roman"/>
        </w:rPr>
        <w:t xml:space="preserve">There are 17 rows with missing data. Out of these, there are 3 rows that have NA for every single column. We have deleted these rows from our dataset. Out of the remaining 14, 12 are missing data for </w:t>
      </w:r>
      <w:proofErr w:type="spellStart"/>
      <w:r>
        <w:rPr>
          <w:rFonts w:ascii="Times New Roman" w:eastAsia="Times New Roman" w:hAnsi="Times New Roman" w:cs="Times New Roman"/>
        </w:rPr>
        <w:t>net_assets</w:t>
      </w:r>
      <w:proofErr w:type="spellEnd"/>
      <w:r>
        <w:rPr>
          <w:rFonts w:ascii="Times New Roman" w:eastAsia="Times New Roman" w:hAnsi="Times New Roman" w:cs="Times New Roman"/>
        </w:rPr>
        <w:t xml:space="preserve"> while the remaining 2 are missing data for </w:t>
      </w:r>
      <w:proofErr w:type="spellStart"/>
      <w:r>
        <w:rPr>
          <w:rFonts w:ascii="Times New Roman" w:eastAsia="Times New Roman" w:hAnsi="Times New Roman" w:cs="Times New Roman"/>
        </w:rPr>
        <w:t>fund_yield</w:t>
      </w:r>
      <w:proofErr w:type="spellEnd"/>
      <w:r>
        <w:rPr>
          <w:rFonts w:ascii="Times New Roman" w:eastAsia="Times New Roman" w:hAnsi="Times New Roman" w:cs="Times New Roman"/>
        </w:rPr>
        <w:t>. Since the 14 rows comprise 1% of all rows in the dataset (uncleaned), we feel it is okay to replace the missing value in each row with the mean of the respective column.</w:t>
      </w:r>
    </w:p>
    <w:p w14:paraId="2A97CBB9" w14:textId="77777777" w:rsidR="00A1032F" w:rsidRDefault="00A1032F">
      <w:pPr>
        <w:rPr>
          <w:rFonts w:ascii="Times New Roman" w:eastAsia="Times New Roman" w:hAnsi="Times New Roman" w:cs="Times New Roman"/>
        </w:rPr>
      </w:pPr>
    </w:p>
    <w:p w14:paraId="1C6F320E" w14:textId="77777777" w:rsidR="00A1032F" w:rsidRDefault="0078137F">
      <w:pPr>
        <w:rPr>
          <w:rFonts w:ascii="Times New Roman" w:eastAsia="Times New Roman" w:hAnsi="Times New Roman" w:cs="Times New Roman"/>
        </w:rPr>
      </w:pPr>
      <w:r>
        <w:rPr>
          <w:rFonts w:ascii="Times New Roman" w:eastAsia="Times New Roman" w:hAnsi="Times New Roman" w:cs="Times New Roman"/>
          <w:u w:val="single"/>
        </w:rPr>
        <w:lastRenderedPageBreak/>
        <w:t>Outliers</w:t>
      </w:r>
      <w:r>
        <w:rPr>
          <w:rFonts w:ascii="Times New Roman" w:eastAsia="Times New Roman" w:hAnsi="Times New Roman" w:cs="Times New Roman"/>
        </w:rPr>
        <w:t xml:space="preserve"> </w:t>
      </w:r>
      <w:r>
        <w:rPr>
          <w:noProof/>
        </w:rPr>
        <w:drawing>
          <wp:anchor distT="114300" distB="114300" distL="114300" distR="114300" simplePos="0" relativeHeight="251660288" behindDoc="0" locked="0" layoutInCell="1" hidden="0" allowOverlap="1" wp14:anchorId="651B39CC" wp14:editId="608546DC">
            <wp:simplePos x="0" y="0"/>
            <wp:positionH relativeFrom="column">
              <wp:posOffset>1495425</wp:posOffset>
            </wp:positionH>
            <wp:positionV relativeFrom="paragraph">
              <wp:posOffset>295275</wp:posOffset>
            </wp:positionV>
            <wp:extent cx="2166789" cy="2957512"/>
            <wp:effectExtent l="395361" t="-395361" r="395361" b="-395361"/>
            <wp:wrapTopAndBottom distT="114300" distB="11430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rot="5400000">
                      <a:off x="0" y="0"/>
                      <a:ext cx="2166789" cy="2957512"/>
                    </a:xfrm>
                    <a:prstGeom prst="rect">
                      <a:avLst/>
                    </a:prstGeom>
                    <a:ln/>
                  </pic:spPr>
                </pic:pic>
              </a:graphicData>
            </a:graphic>
          </wp:anchor>
        </w:drawing>
      </w:r>
    </w:p>
    <w:p w14:paraId="70E01641" w14:textId="77777777" w:rsidR="00A1032F" w:rsidRDefault="0078137F">
      <w:pPr>
        <w:rPr>
          <w:rFonts w:ascii="Times New Roman" w:eastAsia="Times New Roman" w:hAnsi="Times New Roman" w:cs="Times New Roman"/>
        </w:rPr>
      </w:pPr>
      <w:r>
        <w:rPr>
          <w:rFonts w:ascii="Times New Roman" w:eastAsia="Times New Roman" w:hAnsi="Times New Roman" w:cs="Times New Roman"/>
        </w:rPr>
        <w:t>While it is difficult to find outliers in categorical variable</w:t>
      </w:r>
      <w:r>
        <w:rPr>
          <w:rFonts w:ascii="Times New Roman" w:eastAsia="Times New Roman" w:hAnsi="Times New Roman" w:cs="Times New Roman"/>
        </w:rPr>
        <w:t>s, such as investment types and inverse variables, we were able to find outliers in quantitative variables by constructing boxplots. For the percentage of assets invested in stocks, we noticed that there are no outliers. In the summary, the median is 98.55</w:t>
      </w:r>
      <w:r>
        <w:rPr>
          <w:rFonts w:ascii="Times New Roman" w:eastAsia="Times New Roman" w:hAnsi="Times New Roman" w:cs="Times New Roman"/>
        </w:rPr>
        <w:t xml:space="preserve"> and the mean is 60.58. While the 1st quarter is 0, the third quarter is 99.75. </w:t>
      </w:r>
    </w:p>
    <w:p w14:paraId="5FC2AD47" w14:textId="77777777" w:rsidR="00A1032F" w:rsidRDefault="0078137F">
      <w:pPr>
        <w:rPr>
          <w:rFonts w:ascii="Times New Roman" w:eastAsia="Times New Roman" w:hAnsi="Times New Roman" w:cs="Times New Roman"/>
        </w:rPr>
      </w:pPr>
      <w:r>
        <w:rPr>
          <w:rFonts w:ascii="Times New Roman" w:eastAsia="Times New Roman" w:hAnsi="Times New Roman" w:cs="Times New Roman"/>
        </w:rPr>
        <w:t xml:space="preserve">The other quantitative variable is the percent of portfolios in the consumer cyclical industry. In a box plot (left side image), we noticed that there are many outliers above </w:t>
      </w:r>
      <w:r>
        <w:rPr>
          <w:rFonts w:ascii="Times New Roman" w:eastAsia="Times New Roman" w:hAnsi="Times New Roman" w:cs="Times New Roman"/>
        </w:rPr>
        <w:t xml:space="preserve">the third quarter. These outliers are heavily impacting the median and mean percentages. For example, the median is 5.9 points greater than the median without the outliers and the mean is 4 points greater than the mean without outliers. These outliers can </w:t>
      </w:r>
      <w:r>
        <w:rPr>
          <w:rFonts w:ascii="Times New Roman" w:eastAsia="Times New Roman" w:hAnsi="Times New Roman" w:cs="Times New Roman"/>
        </w:rPr>
        <w:t xml:space="preserve">misdirect the users into making the wrong decision, therefore it is necessary to compare and contrast the variable with and without outliers.  </w:t>
      </w:r>
      <w:r>
        <w:rPr>
          <w:noProof/>
        </w:rPr>
        <w:drawing>
          <wp:anchor distT="114300" distB="114300" distL="114300" distR="114300" simplePos="0" relativeHeight="251661312" behindDoc="0" locked="0" layoutInCell="1" hidden="0" allowOverlap="1" wp14:anchorId="73FC5A82" wp14:editId="33291F58">
            <wp:simplePos x="0" y="0"/>
            <wp:positionH relativeFrom="column">
              <wp:posOffset>3238500</wp:posOffset>
            </wp:positionH>
            <wp:positionV relativeFrom="paragraph">
              <wp:posOffset>123825</wp:posOffset>
            </wp:positionV>
            <wp:extent cx="1871662" cy="3224448"/>
            <wp:effectExtent l="676393" t="-676392" r="676393" b="-676392"/>
            <wp:wrapTopAndBottom distT="114300" distB="11430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rot="5400000">
                      <a:off x="0" y="0"/>
                      <a:ext cx="1871662" cy="3224448"/>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4BA43F05" wp14:editId="77128AAA">
            <wp:simplePos x="0" y="0"/>
            <wp:positionH relativeFrom="column">
              <wp:posOffset>-533399</wp:posOffset>
            </wp:positionH>
            <wp:positionV relativeFrom="paragraph">
              <wp:posOffset>123825</wp:posOffset>
            </wp:positionV>
            <wp:extent cx="1957388" cy="3230171"/>
            <wp:effectExtent l="636391" t="-636391" r="636391" b="-636391"/>
            <wp:wrapTopAndBottom distT="114300" distB="11430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rot="5400000">
                      <a:off x="0" y="0"/>
                      <a:ext cx="1957388" cy="3230171"/>
                    </a:xfrm>
                    <a:prstGeom prst="rect">
                      <a:avLst/>
                    </a:prstGeom>
                    <a:ln/>
                  </pic:spPr>
                </pic:pic>
              </a:graphicData>
            </a:graphic>
          </wp:anchor>
        </w:drawing>
      </w:r>
    </w:p>
    <w:p w14:paraId="4A7E6BC3" w14:textId="77777777" w:rsidR="00A1032F" w:rsidRDefault="0078137F">
      <w:pPr>
        <w:rPr>
          <w:rFonts w:ascii="Times New Roman" w:eastAsia="Times New Roman" w:hAnsi="Times New Roman" w:cs="Times New Roman"/>
          <w:u w:val="single"/>
        </w:rPr>
      </w:pPr>
      <w:r>
        <w:rPr>
          <w:rFonts w:ascii="Times New Roman" w:eastAsia="Times New Roman" w:hAnsi="Times New Roman" w:cs="Times New Roman"/>
          <w:u w:val="single"/>
        </w:rPr>
        <w:t>Graphical and Numerical Summaries</w:t>
      </w:r>
    </w:p>
    <w:p w14:paraId="6EF8F20D" w14:textId="77777777" w:rsidR="00A1032F" w:rsidRDefault="00A1032F">
      <w:pPr>
        <w:rPr>
          <w:rFonts w:ascii="Times New Roman" w:eastAsia="Times New Roman" w:hAnsi="Times New Roman" w:cs="Times New Roman"/>
          <w:u w:val="single"/>
        </w:rPr>
      </w:pPr>
    </w:p>
    <w:p w14:paraId="5F6AD13C" w14:textId="77777777" w:rsidR="00A1032F" w:rsidRDefault="0078137F">
      <w:pPr>
        <w:rPr>
          <w:rFonts w:ascii="Times New Roman" w:eastAsia="Times New Roman" w:hAnsi="Times New Roman" w:cs="Times New Roman"/>
        </w:rPr>
      </w:pPr>
      <w:r>
        <w:rPr>
          <w:rFonts w:ascii="Times New Roman" w:eastAsia="Times New Roman" w:hAnsi="Times New Roman" w:cs="Times New Roman"/>
        </w:rPr>
        <w:t>Summaries for the Y variable:</w:t>
      </w:r>
    </w:p>
    <w:p w14:paraId="1FE9D606" w14:textId="77777777" w:rsidR="00A1032F" w:rsidRDefault="00A1032F">
      <w:pPr>
        <w:rPr>
          <w:rFonts w:ascii="Times New Roman" w:eastAsia="Times New Roman" w:hAnsi="Times New Roman" w:cs="Times New Roman"/>
        </w:rPr>
      </w:pPr>
    </w:p>
    <w:p w14:paraId="68C454E2" w14:textId="77777777" w:rsidR="00A1032F" w:rsidRDefault="0078137F">
      <w:pPr>
        <w:rPr>
          <w:rFonts w:ascii="Times New Roman" w:eastAsia="Times New Roman" w:hAnsi="Times New Roman" w:cs="Times New Roman"/>
          <w:i/>
        </w:rPr>
      </w:pPr>
      <w:r>
        <w:rPr>
          <w:rFonts w:ascii="Times New Roman" w:eastAsia="Times New Roman" w:hAnsi="Times New Roman" w:cs="Times New Roman"/>
          <w:i/>
        </w:rPr>
        <w:t>Net Assets</w:t>
      </w:r>
    </w:p>
    <w:p w14:paraId="4EF93E7D" w14:textId="77777777" w:rsidR="00A1032F" w:rsidRDefault="0078137F">
      <w:pPr>
        <w:rPr>
          <w:rFonts w:ascii="Times New Roman" w:eastAsia="Times New Roman" w:hAnsi="Times New Roman" w:cs="Times New Roman"/>
          <w:i/>
        </w:rPr>
      </w:pPr>
      <w:r>
        <w:rPr>
          <w:rFonts w:ascii="Times New Roman" w:eastAsia="Times New Roman" w:hAnsi="Times New Roman" w:cs="Times New Roman"/>
          <w:i/>
          <w:noProof/>
        </w:rPr>
        <w:drawing>
          <wp:inline distT="114300" distB="114300" distL="114300" distR="114300" wp14:anchorId="1D5E9286" wp14:editId="5027CE69">
            <wp:extent cx="5943600" cy="3176588"/>
            <wp:effectExtent l="0" t="0" r="0" b="0"/>
            <wp:docPr id="1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5943600" cy="3176588"/>
                    </a:xfrm>
                    <a:prstGeom prst="rect">
                      <a:avLst/>
                    </a:prstGeom>
                    <a:ln/>
                  </pic:spPr>
                </pic:pic>
              </a:graphicData>
            </a:graphic>
          </wp:inline>
        </w:drawing>
      </w:r>
    </w:p>
    <w:p w14:paraId="4ADF19D3" w14:textId="77777777" w:rsidR="00A1032F" w:rsidRDefault="0078137F">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22660AC" wp14:editId="355767BF">
            <wp:extent cx="5943600" cy="3200400"/>
            <wp:effectExtent l="0" t="0" r="0" b="0"/>
            <wp:docPr id="1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5943600" cy="3200400"/>
                    </a:xfrm>
                    <a:prstGeom prst="rect">
                      <a:avLst/>
                    </a:prstGeom>
                    <a:ln/>
                  </pic:spPr>
                </pic:pic>
              </a:graphicData>
            </a:graphic>
          </wp:inline>
        </w:drawing>
      </w:r>
    </w:p>
    <w:p w14:paraId="6BEE9A60" w14:textId="77777777" w:rsidR="00A1032F" w:rsidRDefault="0078137F">
      <w:pPr>
        <w:rPr>
          <w:rFonts w:ascii="Times New Roman" w:eastAsia="Times New Roman" w:hAnsi="Times New Roman" w:cs="Times New Roman"/>
        </w:rPr>
      </w:pPr>
      <w:r>
        <w:rPr>
          <w:rFonts w:ascii="Times New Roman" w:eastAsia="Times New Roman" w:hAnsi="Times New Roman" w:cs="Times New Roman"/>
        </w:rPr>
        <w:t>As we can see in the above histogram and boxplot, each data point represents one fund’s market value of all its financial assets. There is a vast range of market values ranging from a minimum of $196 thousand to a maximum of $8 trillion, with a mean of $37</w:t>
      </w:r>
      <w:r>
        <w:rPr>
          <w:rFonts w:ascii="Times New Roman" w:eastAsia="Times New Roman" w:hAnsi="Times New Roman" w:cs="Times New Roman"/>
        </w:rPr>
        <w:t xml:space="preserve"> billion.</w:t>
      </w:r>
    </w:p>
    <w:p w14:paraId="3BA55634" w14:textId="77777777" w:rsidR="00A1032F" w:rsidRDefault="0078137F">
      <w:pPr>
        <w:rPr>
          <w:rFonts w:ascii="Times New Roman" w:eastAsia="Times New Roman" w:hAnsi="Times New Roman" w:cs="Times New Roman"/>
        </w:rPr>
      </w:pPr>
      <w:r>
        <w:rPr>
          <w:rFonts w:ascii="Times New Roman" w:eastAsia="Times New Roman" w:hAnsi="Times New Roman" w:cs="Times New Roman"/>
        </w:rPr>
        <w:t>Summaries for X variables:</w:t>
      </w:r>
    </w:p>
    <w:p w14:paraId="50E8D026" w14:textId="77777777" w:rsidR="00A1032F" w:rsidRDefault="00A1032F">
      <w:pPr>
        <w:rPr>
          <w:rFonts w:ascii="Times New Roman" w:eastAsia="Times New Roman" w:hAnsi="Times New Roman" w:cs="Times New Roman"/>
        </w:rPr>
      </w:pPr>
    </w:p>
    <w:p w14:paraId="0E8611AE" w14:textId="77777777" w:rsidR="00A1032F" w:rsidRDefault="0078137F">
      <w:pPr>
        <w:rPr>
          <w:rFonts w:ascii="Times New Roman" w:eastAsia="Times New Roman" w:hAnsi="Times New Roman" w:cs="Times New Roman"/>
        </w:rPr>
      </w:pPr>
      <w:r>
        <w:rPr>
          <w:rFonts w:ascii="Times New Roman" w:eastAsia="Times New Roman" w:hAnsi="Times New Roman" w:cs="Times New Roman"/>
          <w:i/>
        </w:rPr>
        <w:t>Investment Types</w:t>
      </w:r>
    </w:p>
    <w:p w14:paraId="48610BD0" w14:textId="77777777" w:rsidR="00A1032F" w:rsidRDefault="0078137F">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533EC3D" wp14:editId="63FAE8E7">
            <wp:extent cx="5943600" cy="3128963"/>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5943600" cy="3128963"/>
                    </a:xfrm>
                    <a:prstGeom prst="rect">
                      <a:avLst/>
                    </a:prstGeom>
                    <a:ln/>
                  </pic:spPr>
                </pic:pic>
              </a:graphicData>
            </a:graphic>
          </wp:inline>
        </w:drawing>
      </w:r>
    </w:p>
    <w:p w14:paraId="4E0F0EF7" w14:textId="77777777" w:rsidR="00A1032F" w:rsidRDefault="0078137F">
      <w:pPr>
        <w:rPr>
          <w:rFonts w:ascii="Times New Roman" w:eastAsia="Times New Roman" w:hAnsi="Times New Roman" w:cs="Times New Roman"/>
        </w:rPr>
      </w:pPr>
      <w:r>
        <w:rPr>
          <w:rFonts w:ascii="Times New Roman" w:eastAsia="Times New Roman" w:hAnsi="Times New Roman" w:cs="Times New Roman"/>
        </w:rPr>
        <w:t>The above bar graph shows us the number of funds that have a specific investment type. Blend and Value were the most common types of investments in our dataset with over 300 ETFs.</w:t>
      </w:r>
    </w:p>
    <w:p w14:paraId="32BE02DB" w14:textId="77777777" w:rsidR="00A1032F" w:rsidRDefault="00A1032F">
      <w:pPr>
        <w:rPr>
          <w:rFonts w:ascii="Times New Roman" w:eastAsia="Times New Roman" w:hAnsi="Times New Roman" w:cs="Times New Roman"/>
        </w:rPr>
      </w:pPr>
    </w:p>
    <w:p w14:paraId="3E805F54" w14:textId="77777777" w:rsidR="00A1032F" w:rsidRDefault="0078137F">
      <w:pPr>
        <w:rPr>
          <w:rFonts w:ascii="Times New Roman" w:eastAsia="Times New Roman" w:hAnsi="Times New Roman" w:cs="Times New Roman"/>
        </w:rPr>
      </w:pPr>
      <w:r>
        <w:rPr>
          <w:rFonts w:ascii="Times New Roman" w:eastAsia="Times New Roman" w:hAnsi="Times New Roman" w:cs="Times New Roman"/>
          <w:i/>
        </w:rPr>
        <w:t>Percent of Portfol</w:t>
      </w:r>
      <w:r>
        <w:rPr>
          <w:rFonts w:ascii="Times New Roman" w:eastAsia="Times New Roman" w:hAnsi="Times New Roman" w:cs="Times New Roman"/>
          <w:i/>
        </w:rPr>
        <w:t>io in Consumer Cyclical Industry</w:t>
      </w:r>
    </w:p>
    <w:p w14:paraId="5DD5F633" w14:textId="77777777" w:rsidR="00A1032F" w:rsidRDefault="0078137F">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BC5D2CA" wp14:editId="5F34664C">
            <wp:extent cx="5943600" cy="2890838"/>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2890838"/>
                    </a:xfrm>
                    <a:prstGeom prst="rect">
                      <a:avLst/>
                    </a:prstGeom>
                    <a:ln/>
                  </pic:spPr>
                </pic:pic>
              </a:graphicData>
            </a:graphic>
          </wp:inline>
        </w:drawing>
      </w:r>
    </w:p>
    <w:p w14:paraId="7452F6D0" w14:textId="77777777" w:rsidR="00A1032F" w:rsidRDefault="0078137F">
      <w:pPr>
        <w:rPr>
          <w:rFonts w:ascii="Times New Roman" w:eastAsia="Times New Roman" w:hAnsi="Times New Roman" w:cs="Times New Roman"/>
        </w:rPr>
      </w:pPr>
      <w:r>
        <w:rPr>
          <w:rFonts w:ascii="Times New Roman" w:eastAsia="Times New Roman" w:hAnsi="Times New Roman" w:cs="Times New Roman"/>
        </w:rPr>
        <w:t>The above boxplot represents the percentage of portfolios that have assets in the consumer cyclical industry. The measure of spread ranges from a minimum of 0 (representing a portfolio with 0% assets in this industry) and</w:t>
      </w:r>
      <w:r>
        <w:rPr>
          <w:rFonts w:ascii="Times New Roman" w:eastAsia="Times New Roman" w:hAnsi="Times New Roman" w:cs="Times New Roman"/>
        </w:rPr>
        <w:t xml:space="preserve"> a maximum of 79.66%. The mean is 7.95%.</w:t>
      </w:r>
    </w:p>
    <w:p w14:paraId="2DD3862B" w14:textId="77777777" w:rsidR="00A1032F" w:rsidRDefault="0078137F">
      <w:pPr>
        <w:rPr>
          <w:rFonts w:ascii="Times New Roman" w:eastAsia="Times New Roman" w:hAnsi="Times New Roman" w:cs="Times New Roman"/>
        </w:rPr>
      </w:pPr>
      <w:r>
        <w:rPr>
          <w:rFonts w:ascii="Times New Roman" w:eastAsia="Times New Roman" w:hAnsi="Times New Roman" w:cs="Times New Roman"/>
          <w:i/>
        </w:rPr>
        <w:t>Percentage of Portfolio in Stocks</w:t>
      </w:r>
    </w:p>
    <w:p w14:paraId="26CEFC29" w14:textId="77777777" w:rsidR="00A1032F" w:rsidRDefault="0078137F">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845666B" wp14:editId="19771DE5">
            <wp:extent cx="5943600" cy="3557588"/>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5943600" cy="3557588"/>
                    </a:xfrm>
                    <a:prstGeom prst="rect">
                      <a:avLst/>
                    </a:prstGeom>
                    <a:ln/>
                  </pic:spPr>
                </pic:pic>
              </a:graphicData>
            </a:graphic>
          </wp:inline>
        </w:drawing>
      </w:r>
    </w:p>
    <w:p w14:paraId="6DAC70E1" w14:textId="77777777" w:rsidR="00A1032F" w:rsidRDefault="0078137F">
      <w:pPr>
        <w:rPr>
          <w:rFonts w:ascii="Times New Roman" w:eastAsia="Times New Roman" w:hAnsi="Times New Roman" w:cs="Times New Roman"/>
        </w:rPr>
      </w:pPr>
      <w:r>
        <w:rPr>
          <w:rFonts w:ascii="Times New Roman" w:eastAsia="Times New Roman" w:hAnsi="Times New Roman" w:cs="Times New Roman"/>
        </w:rPr>
        <w:t>The above bar plot tells us how much of the entire portfolio’s assets are invested in stocks rather than another asset, such as bonds or derivatives. We have two peaks, one smalle</w:t>
      </w:r>
      <w:r>
        <w:rPr>
          <w:rFonts w:ascii="Times New Roman" w:eastAsia="Times New Roman" w:hAnsi="Times New Roman" w:cs="Times New Roman"/>
        </w:rPr>
        <w:t>r peak in the 0-10% range and one larger peak in the 90-100% range. The mean is 60.58%.</w:t>
      </w:r>
    </w:p>
    <w:p w14:paraId="0B736C97" w14:textId="77777777" w:rsidR="00A1032F" w:rsidRDefault="00A1032F">
      <w:pPr>
        <w:rPr>
          <w:rFonts w:ascii="Times New Roman" w:eastAsia="Times New Roman" w:hAnsi="Times New Roman" w:cs="Times New Roman"/>
          <w:i/>
        </w:rPr>
      </w:pPr>
    </w:p>
    <w:p w14:paraId="66199247" w14:textId="77777777" w:rsidR="00A1032F" w:rsidRDefault="0078137F">
      <w:pPr>
        <w:rPr>
          <w:rFonts w:ascii="Times New Roman" w:eastAsia="Times New Roman" w:hAnsi="Times New Roman" w:cs="Times New Roman"/>
          <w:i/>
        </w:rPr>
      </w:pPr>
      <w:r>
        <w:rPr>
          <w:rFonts w:ascii="Times New Roman" w:eastAsia="Times New Roman" w:hAnsi="Times New Roman" w:cs="Times New Roman"/>
          <w:i/>
        </w:rPr>
        <w:t>Inverse</w:t>
      </w:r>
    </w:p>
    <w:p w14:paraId="7E0D9B2F" w14:textId="77777777" w:rsidR="00A1032F" w:rsidRDefault="0078137F">
      <w:pPr>
        <w:rPr>
          <w:rFonts w:ascii="Times New Roman" w:eastAsia="Times New Roman" w:hAnsi="Times New Roman" w:cs="Times New Roman"/>
          <w:i/>
        </w:rPr>
      </w:pPr>
      <w:r>
        <w:rPr>
          <w:rFonts w:ascii="Times New Roman" w:eastAsia="Times New Roman" w:hAnsi="Times New Roman" w:cs="Times New Roman"/>
          <w:i/>
          <w:noProof/>
        </w:rPr>
        <w:drawing>
          <wp:inline distT="114300" distB="114300" distL="114300" distR="114300" wp14:anchorId="09C299F6" wp14:editId="09991596">
            <wp:extent cx="5943600" cy="2671763"/>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2671763"/>
                    </a:xfrm>
                    <a:prstGeom prst="rect">
                      <a:avLst/>
                    </a:prstGeom>
                    <a:ln/>
                  </pic:spPr>
                </pic:pic>
              </a:graphicData>
            </a:graphic>
          </wp:inline>
        </w:drawing>
      </w:r>
    </w:p>
    <w:p w14:paraId="6B0761C4" w14:textId="77777777" w:rsidR="00A1032F" w:rsidRDefault="0078137F">
      <w:pPr>
        <w:rPr>
          <w:rFonts w:ascii="Times New Roman" w:eastAsia="Times New Roman" w:hAnsi="Times New Roman" w:cs="Times New Roman"/>
        </w:rPr>
      </w:pPr>
      <w:r>
        <w:rPr>
          <w:rFonts w:ascii="Times New Roman" w:eastAsia="Times New Roman" w:hAnsi="Times New Roman" w:cs="Times New Roman"/>
        </w:rPr>
        <w:t>The “inverse” variable is a categorical variable, which indicates whether or not the ETF in question is an “inverse” ETF. As we can see in the above bar grap</w:t>
      </w:r>
      <w:r>
        <w:rPr>
          <w:rFonts w:ascii="Times New Roman" w:eastAsia="Times New Roman" w:hAnsi="Times New Roman" w:cs="Times New Roman"/>
        </w:rPr>
        <w:t>h, most of the ETFs in our data set are not inverse ETFs, meaning they are normal ETFs. It’s about a 1:10 ratio of inverse to normal.</w:t>
      </w:r>
    </w:p>
    <w:p w14:paraId="153E9A9C" w14:textId="77777777" w:rsidR="00A1032F" w:rsidRDefault="00A1032F">
      <w:pPr>
        <w:rPr>
          <w:rFonts w:ascii="Times New Roman" w:eastAsia="Times New Roman" w:hAnsi="Times New Roman" w:cs="Times New Roman"/>
        </w:rPr>
      </w:pPr>
    </w:p>
    <w:p w14:paraId="1DBE16A2" w14:textId="77777777" w:rsidR="00A1032F" w:rsidRDefault="0078137F">
      <w:pPr>
        <w:rPr>
          <w:rFonts w:ascii="Times New Roman" w:eastAsia="Times New Roman" w:hAnsi="Times New Roman" w:cs="Times New Roman"/>
        </w:rPr>
      </w:pPr>
      <w:r>
        <w:rPr>
          <w:rFonts w:ascii="Times New Roman" w:eastAsia="Times New Roman" w:hAnsi="Times New Roman" w:cs="Times New Roman"/>
        </w:rPr>
        <w:t>Summaries of the relationship between X and Y:</w:t>
      </w:r>
    </w:p>
    <w:p w14:paraId="20771507" w14:textId="77777777" w:rsidR="00A1032F" w:rsidRDefault="00A1032F">
      <w:pPr>
        <w:rPr>
          <w:rFonts w:ascii="Times New Roman" w:eastAsia="Times New Roman" w:hAnsi="Times New Roman" w:cs="Times New Roman"/>
        </w:rPr>
      </w:pPr>
    </w:p>
    <w:p w14:paraId="136E6EA9" w14:textId="77777777" w:rsidR="00A1032F" w:rsidRDefault="0078137F">
      <w:pPr>
        <w:rPr>
          <w:rFonts w:ascii="Times New Roman" w:eastAsia="Times New Roman" w:hAnsi="Times New Roman" w:cs="Times New Roman"/>
          <w:i/>
        </w:rPr>
      </w:pPr>
      <w:r>
        <w:rPr>
          <w:rFonts w:ascii="Times New Roman" w:eastAsia="Times New Roman" w:hAnsi="Times New Roman" w:cs="Times New Roman"/>
          <w:i/>
        </w:rPr>
        <w:t>Investment Types</w:t>
      </w:r>
    </w:p>
    <w:p w14:paraId="0E97F6F4" w14:textId="77777777" w:rsidR="00A1032F" w:rsidRDefault="0078137F">
      <w:pPr>
        <w:rPr>
          <w:rFonts w:ascii="Times New Roman" w:eastAsia="Times New Roman" w:hAnsi="Times New Roman" w:cs="Times New Roman"/>
        </w:rPr>
      </w:pPr>
      <w:r>
        <w:rPr>
          <w:rFonts w:ascii="Times New Roman" w:eastAsia="Times New Roman" w:hAnsi="Times New Roman" w:cs="Times New Roman"/>
        </w:rPr>
        <w:t xml:space="preserve">When observing the investment variable, we noticed that </w:t>
      </w:r>
      <w:r>
        <w:rPr>
          <w:rFonts w:ascii="Times New Roman" w:eastAsia="Times New Roman" w:hAnsi="Times New Roman" w:cs="Times New Roman"/>
        </w:rPr>
        <w:t xml:space="preserve">a blend and growth of investment types tend to generate more net assets compared to other categorical variables that are strictly one investment type. When building a regression to predict net assets with investment types, we observed that the variable is </w:t>
      </w:r>
      <w:r>
        <w:rPr>
          <w:rFonts w:ascii="Times New Roman" w:eastAsia="Times New Roman" w:hAnsi="Times New Roman" w:cs="Times New Roman"/>
        </w:rPr>
        <w:t xml:space="preserve">statistically significant, because one of its dummy variable’s (investment bonds) p-value was less than .05. </w:t>
      </w:r>
      <w:r>
        <w:rPr>
          <w:noProof/>
        </w:rPr>
        <w:drawing>
          <wp:anchor distT="114300" distB="114300" distL="114300" distR="114300" simplePos="0" relativeHeight="251663360" behindDoc="0" locked="0" layoutInCell="1" hidden="0" allowOverlap="1" wp14:anchorId="50DDDD34" wp14:editId="6A7BF931">
            <wp:simplePos x="0" y="0"/>
            <wp:positionH relativeFrom="column">
              <wp:posOffset>-114299</wp:posOffset>
            </wp:positionH>
            <wp:positionV relativeFrom="paragraph">
              <wp:posOffset>133350</wp:posOffset>
            </wp:positionV>
            <wp:extent cx="5943600" cy="2070100"/>
            <wp:effectExtent l="0" t="0" r="0" b="0"/>
            <wp:wrapTopAndBottom distT="114300" distB="11430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943600" cy="2070100"/>
                    </a:xfrm>
                    <a:prstGeom prst="rect">
                      <a:avLst/>
                    </a:prstGeom>
                    <a:ln/>
                  </pic:spPr>
                </pic:pic>
              </a:graphicData>
            </a:graphic>
          </wp:anchor>
        </w:drawing>
      </w:r>
    </w:p>
    <w:p w14:paraId="76E9B2E6" w14:textId="77777777" w:rsidR="00A1032F" w:rsidRDefault="00A1032F">
      <w:pPr>
        <w:rPr>
          <w:rFonts w:ascii="Times New Roman" w:eastAsia="Times New Roman" w:hAnsi="Times New Roman" w:cs="Times New Roman"/>
        </w:rPr>
      </w:pPr>
    </w:p>
    <w:p w14:paraId="7E810D99" w14:textId="77777777" w:rsidR="00A1032F" w:rsidRDefault="0078137F">
      <w:pPr>
        <w:rPr>
          <w:rFonts w:ascii="Times New Roman" w:eastAsia="Times New Roman" w:hAnsi="Times New Roman" w:cs="Times New Roman"/>
          <w:i/>
        </w:rPr>
      </w:pPr>
      <w:r>
        <w:rPr>
          <w:rFonts w:ascii="Times New Roman" w:eastAsia="Times New Roman" w:hAnsi="Times New Roman" w:cs="Times New Roman"/>
          <w:i/>
        </w:rPr>
        <w:t>Percent of Portfolio in Consumer Cyclical Industry</w:t>
      </w:r>
    </w:p>
    <w:p w14:paraId="37F3A416" w14:textId="77777777" w:rsidR="00A1032F" w:rsidRDefault="0078137F">
      <w:pPr>
        <w:rPr>
          <w:rFonts w:ascii="Times New Roman" w:eastAsia="Times New Roman" w:hAnsi="Times New Roman" w:cs="Times New Roman"/>
        </w:rPr>
      </w:pPr>
      <w:r>
        <w:rPr>
          <w:rFonts w:ascii="Times New Roman" w:eastAsia="Times New Roman" w:hAnsi="Times New Roman" w:cs="Times New Roman"/>
        </w:rPr>
        <w:t>The percentage of portfolios in the Consumer Cyclical Industry was one of the more influentia</w:t>
      </w:r>
      <w:r>
        <w:rPr>
          <w:rFonts w:ascii="Times New Roman" w:eastAsia="Times New Roman" w:hAnsi="Times New Roman" w:cs="Times New Roman"/>
        </w:rPr>
        <w:t xml:space="preserve">l variables in the </w:t>
      </w:r>
      <w:proofErr w:type="spellStart"/>
      <w:r>
        <w:rPr>
          <w:rFonts w:ascii="Times New Roman" w:eastAsia="Times New Roman" w:hAnsi="Times New Roman" w:cs="Times New Roman"/>
        </w:rPr>
        <w:t>regsubset</w:t>
      </w:r>
      <w:proofErr w:type="spellEnd"/>
      <w:r>
        <w:rPr>
          <w:rFonts w:ascii="Times New Roman" w:eastAsia="Times New Roman" w:hAnsi="Times New Roman" w:cs="Times New Roman"/>
        </w:rPr>
        <w:t xml:space="preserve"> analysis. After plotting and generating a regression model to predict net assets with the stocks of companies that make products affected by changes in the economic cycle, we notice there is more movement between 1% to 25% rang</w:t>
      </w:r>
      <w:r>
        <w:rPr>
          <w:rFonts w:ascii="Times New Roman" w:eastAsia="Times New Roman" w:hAnsi="Times New Roman" w:cs="Times New Roman"/>
        </w:rPr>
        <w:t>e. When analyzing the summary, we observed that the variable is statistically significant with a p-value less than .05. In terms of practical significance, we notice that the variable has a R^2 of .5% which may be a bit lower than we desire for a more accu</w:t>
      </w:r>
      <w:r>
        <w:rPr>
          <w:rFonts w:ascii="Times New Roman" w:eastAsia="Times New Roman" w:hAnsi="Times New Roman" w:cs="Times New Roman"/>
        </w:rPr>
        <w:t xml:space="preserve">rate representation. </w:t>
      </w:r>
      <w:r>
        <w:rPr>
          <w:noProof/>
        </w:rPr>
        <w:drawing>
          <wp:anchor distT="114300" distB="114300" distL="114300" distR="114300" simplePos="0" relativeHeight="251664384" behindDoc="0" locked="0" layoutInCell="1" hidden="0" allowOverlap="1" wp14:anchorId="3113BCD2" wp14:editId="5D3F8CF8">
            <wp:simplePos x="0" y="0"/>
            <wp:positionH relativeFrom="column">
              <wp:posOffset>1</wp:posOffset>
            </wp:positionH>
            <wp:positionV relativeFrom="paragraph">
              <wp:posOffset>161925</wp:posOffset>
            </wp:positionV>
            <wp:extent cx="5943600" cy="2070100"/>
            <wp:effectExtent l="0" t="0" r="0" b="0"/>
            <wp:wrapTopAndBottom distT="114300" distB="11430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5943600" cy="2070100"/>
                    </a:xfrm>
                    <a:prstGeom prst="rect">
                      <a:avLst/>
                    </a:prstGeom>
                    <a:ln/>
                  </pic:spPr>
                </pic:pic>
              </a:graphicData>
            </a:graphic>
          </wp:anchor>
        </w:drawing>
      </w:r>
    </w:p>
    <w:p w14:paraId="18EAC36D" w14:textId="77777777" w:rsidR="00A1032F" w:rsidRDefault="00A1032F">
      <w:pPr>
        <w:rPr>
          <w:rFonts w:ascii="Times New Roman" w:eastAsia="Times New Roman" w:hAnsi="Times New Roman" w:cs="Times New Roman"/>
        </w:rPr>
      </w:pPr>
    </w:p>
    <w:p w14:paraId="0157E180" w14:textId="77777777" w:rsidR="00A1032F" w:rsidRDefault="0078137F">
      <w:pPr>
        <w:rPr>
          <w:rFonts w:ascii="Times New Roman" w:eastAsia="Times New Roman" w:hAnsi="Times New Roman" w:cs="Times New Roman"/>
          <w:i/>
        </w:rPr>
      </w:pPr>
      <w:r>
        <w:rPr>
          <w:rFonts w:ascii="Times New Roman" w:eastAsia="Times New Roman" w:hAnsi="Times New Roman" w:cs="Times New Roman"/>
          <w:i/>
        </w:rPr>
        <w:t>Percentage of Portfolio in Stocks</w:t>
      </w:r>
    </w:p>
    <w:p w14:paraId="2372A81E" w14:textId="77777777" w:rsidR="00A1032F" w:rsidRDefault="0078137F">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A0FE746" wp14:editId="7F2858D2">
            <wp:extent cx="5943600" cy="2605088"/>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8"/>
                    <a:srcRect/>
                    <a:stretch>
                      <a:fillRect/>
                    </a:stretch>
                  </pic:blipFill>
                  <pic:spPr>
                    <a:xfrm>
                      <a:off x="0" y="0"/>
                      <a:ext cx="5943600" cy="2605088"/>
                    </a:xfrm>
                    <a:prstGeom prst="rect">
                      <a:avLst/>
                    </a:prstGeom>
                    <a:ln/>
                  </pic:spPr>
                </pic:pic>
              </a:graphicData>
            </a:graphic>
          </wp:inline>
        </w:drawing>
      </w:r>
    </w:p>
    <w:p w14:paraId="00A85EB8" w14:textId="77777777" w:rsidR="00A1032F" w:rsidRDefault="0078137F">
      <w:pPr>
        <w:rPr>
          <w:rFonts w:ascii="Times New Roman" w:eastAsia="Times New Roman" w:hAnsi="Times New Roman" w:cs="Times New Roman"/>
        </w:rPr>
      </w:pPr>
      <w:r>
        <w:rPr>
          <w:rFonts w:ascii="Times New Roman" w:eastAsia="Times New Roman" w:hAnsi="Times New Roman" w:cs="Times New Roman"/>
        </w:rPr>
        <w:t xml:space="preserve">The “percentage of portfolios in stocks” variable tells us how much of the entire portfolio’s assets are invested in stocks rather than another asset, such as bonds or derivatives. Through our regression model, we observed that the portfolios whose assets </w:t>
      </w:r>
      <w:r>
        <w:rPr>
          <w:rFonts w:ascii="Times New Roman" w:eastAsia="Times New Roman" w:hAnsi="Times New Roman" w:cs="Times New Roman"/>
        </w:rPr>
        <w:t>were 90% to 100% invested in stocks generally generated greater net assets than those portfolios that were made up of less than 90% stocks. After running a summary analysis, we observed that the variable is statistically significant with a p-value less tha</w:t>
      </w:r>
      <w:r>
        <w:rPr>
          <w:rFonts w:ascii="Times New Roman" w:eastAsia="Times New Roman" w:hAnsi="Times New Roman" w:cs="Times New Roman"/>
        </w:rPr>
        <w:t>n .05. In terms of practical significance, we notice that the variable has a R^2 of .004 which is lower than desired.</w:t>
      </w:r>
    </w:p>
    <w:p w14:paraId="56467353" w14:textId="77777777" w:rsidR="00A1032F" w:rsidRDefault="00A1032F">
      <w:pPr>
        <w:rPr>
          <w:rFonts w:ascii="Times New Roman" w:eastAsia="Times New Roman" w:hAnsi="Times New Roman" w:cs="Times New Roman"/>
        </w:rPr>
      </w:pPr>
    </w:p>
    <w:p w14:paraId="67C31B5E" w14:textId="77777777" w:rsidR="00A1032F" w:rsidRDefault="0078137F">
      <w:pPr>
        <w:rPr>
          <w:rFonts w:ascii="Times New Roman" w:eastAsia="Times New Roman" w:hAnsi="Times New Roman" w:cs="Times New Roman"/>
          <w:i/>
        </w:rPr>
      </w:pPr>
      <w:r>
        <w:rPr>
          <w:rFonts w:ascii="Times New Roman" w:eastAsia="Times New Roman" w:hAnsi="Times New Roman" w:cs="Times New Roman"/>
          <w:i/>
        </w:rPr>
        <w:t>Inverse</w:t>
      </w:r>
    </w:p>
    <w:p w14:paraId="42FDDB89" w14:textId="77777777" w:rsidR="00A1032F" w:rsidRDefault="0078137F">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9E45BD0" wp14:editId="58A30737">
            <wp:extent cx="5943600" cy="2224088"/>
            <wp:effectExtent l="0" t="0" r="0" b="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9"/>
                    <a:srcRect/>
                    <a:stretch>
                      <a:fillRect/>
                    </a:stretch>
                  </pic:blipFill>
                  <pic:spPr>
                    <a:xfrm>
                      <a:off x="0" y="0"/>
                      <a:ext cx="5943600" cy="2224088"/>
                    </a:xfrm>
                    <a:prstGeom prst="rect">
                      <a:avLst/>
                    </a:prstGeom>
                    <a:ln/>
                  </pic:spPr>
                </pic:pic>
              </a:graphicData>
            </a:graphic>
          </wp:inline>
        </w:drawing>
      </w:r>
    </w:p>
    <w:p w14:paraId="1FDBF050" w14:textId="77777777" w:rsidR="00A1032F" w:rsidRDefault="0078137F">
      <w:pPr>
        <w:rPr>
          <w:rFonts w:ascii="Times New Roman" w:eastAsia="Times New Roman" w:hAnsi="Times New Roman" w:cs="Times New Roman"/>
        </w:rPr>
      </w:pPr>
      <w:r>
        <w:rPr>
          <w:rFonts w:ascii="Times New Roman" w:eastAsia="Times New Roman" w:hAnsi="Times New Roman" w:cs="Times New Roman"/>
        </w:rPr>
        <w:t>The “inverse” variable is a categorical variable, which indicates whether or not the ETF in question is an “inverse” ETF. An in</w:t>
      </w:r>
      <w:r>
        <w:rPr>
          <w:rFonts w:ascii="Times New Roman" w:eastAsia="Times New Roman" w:hAnsi="Times New Roman" w:cs="Times New Roman"/>
        </w:rPr>
        <w:t>verse ETF is an ETF whose performance is inversely related to the benchmark/commodity/index it is tracking. This variable captures that relationship between inverse ETFs and ETFs. Through our regression model, we observed that most were not inverse ETFs, m</w:t>
      </w:r>
      <w:r>
        <w:rPr>
          <w:rFonts w:ascii="Times New Roman" w:eastAsia="Times New Roman" w:hAnsi="Times New Roman" w:cs="Times New Roman"/>
        </w:rPr>
        <w:t>eaning they were “normal” ETFs. The normal ETFs generally generated greater net assets than inverse ETFs. When analyzing the summary, we observed that the variable is not statistically significant with a p-value greater than .05. In terms of practical sign</w:t>
      </w:r>
      <w:r>
        <w:rPr>
          <w:rFonts w:ascii="Times New Roman" w:eastAsia="Times New Roman" w:hAnsi="Times New Roman" w:cs="Times New Roman"/>
        </w:rPr>
        <w:t>ificance, we notice that the variable has a R^2 of .0007 which is lower than we desire for a more accurate representation.</w:t>
      </w:r>
    </w:p>
    <w:sectPr w:rsidR="00A103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053354"/>
    <w:multiLevelType w:val="multilevel"/>
    <w:tmpl w:val="CB8A26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5934E8C"/>
    <w:multiLevelType w:val="multilevel"/>
    <w:tmpl w:val="4B14AF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5DF40BC"/>
    <w:multiLevelType w:val="multilevel"/>
    <w:tmpl w:val="7C485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6E33FA"/>
    <w:multiLevelType w:val="multilevel"/>
    <w:tmpl w:val="7C1A7B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32F"/>
    <w:rsid w:val="0078137F"/>
    <w:rsid w:val="00A10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FCFFD"/>
  <w15:docId w15:val="{DDC303DD-99ED-4DA8-800E-9FA5BCFE6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2480</Words>
  <Characters>14141</Characters>
  <Application>Microsoft Office Word</Application>
  <DocSecurity>0</DocSecurity>
  <Lines>117</Lines>
  <Paragraphs>33</Paragraphs>
  <ScaleCrop>false</ScaleCrop>
  <Company/>
  <LinksUpToDate>false</LinksUpToDate>
  <CharactersWithSpaces>16588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Noumik Thadani</cp:lastModifiedBy>
  <cp:revision>2</cp:revision>
  <dcterms:created xsi:type="dcterms:W3CDTF">2020-11-19T00:35:00Z</dcterms:created>
  <dcterms:modified xsi:type="dcterms:W3CDTF">2020-11-19T00:35:00Z</dcterms:modified>
</cp:coreProperties>
</file>