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1.20</w:t>
      </w:r>
    </w:p>
    <w:p>
      <w:pPr>
        <w:spacing w:after="4000"/>
        <w:jc w:val="center"/>
      </w:pPr>
      <w:r>
        <w:rPr>
          <w:rFonts w:ascii="Aptos" w:hAnsi="Aptos"/>
          <w:b w:val="0"/>
          <w:i/>
          <w:color w:val="5A646E"/>
          <w:sz w:val="22"/>
        </w:rPr>
        <w:t>Structured · Traceable · Governed</w:t>
      </w:r>
    </w:p>
    <w:p>
      <w:r>
        <w:br w:type="page"/>
      </w:r>
    </w:p>
    <w:p>
      <w:bookmarkStart w:id="1" w:name="generated_table_of_contents"/>
      <w:pPr>
        <w:pStyle w:val="Heading2"/>
        <w:pageBreakBefore w:val="0"/>
        <w:keepNext/>
      </w:pPr>
      <w:r>
        <w:rPr>
          <w:color w:val="154B5F"/>
          <w:sz w:val="36"/>
        </w:rP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volume_i">
        <w:r>
          <w:rPr>
            <w:color w:val="0F5F73"/>
            <w:u w:val="single"/>
          </w:rPr>
          <w:t>Volume I — Foundations of Evidence-Led Governance</w:t>
        </w:r>
      </w:hyperlink>
    </w:p>
    <w:p>
      <w:hyperlink w:anchor="chapter_1">
        <w:r>
          <w:rPr>
            <w:color w:val="0F5F73"/>
            <w:u w:val="single"/>
          </w:rPr>
          <w:t>Chapter 1 — Why This Handbook Exists</w:t>
        </w:r>
      </w:hyperlink>
    </w:p>
    <w:p>
      <w:hyperlink w:anchor="chapter_2">
        <w:r>
          <w:rPr>
            <w:color w:val="0F5F73"/>
            <w:u w:val="single"/>
          </w:rPr>
          <w:t>Chapter 2 — The Governance Architecture</w:t>
        </w:r>
      </w:hyperlink>
    </w:p>
    <w:p>
      <w:hyperlink w:anchor="chapter_3">
        <w:r>
          <w:rPr>
            <w:color w:val="0F5F73"/>
            <w:u w:val="single"/>
          </w:rPr>
          <w:t>Chapter 3 — The Evidence-Led Governance Methodology</w:t>
        </w:r>
      </w:hyperlink>
    </w:p>
    <w:p>
      <w:hyperlink w:anchor="chapter_4">
        <w:r>
          <w:rPr>
            <w:color w:val="0F5F73"/>
            <w:u w:val="single"/>
          </w:rPr>
          <w:t>Chapter 4 — Governance Principles</w:t>
        </w:r>
      </w:hyperlink>
    </w:p>
    <w:p>
      <w:hyperlink w:anchor="chapter_5">
        <w:r>
          <w:rPr>
            <w:color w:val="0F5F73"/>
            <w:u w:val="single"/>
          </w:rPr>
          <w:t>Chapter 5 — Canonical Definitions</w:t>
        </w:r>
      </w:hyperlink>
    </w:p>
    <w:p>
      <w:hyperlink w:anchor="chapter_6">
        <w:r>
          <w:rPr>
            <w:color w:val="0F5F73"/>
            <w:u w:val="single"/>
          </w:rPr>
          <w:t>Chapter 6 — Research Findings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section_governance">
        <w:r>
          <w:rPr>
            <w:color w:val="0F5F73"/>
            <w:u w:val="single"/>
          </w:rPr>
          <w:t>Governance</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bookmarkStart w:id="2" w:name="generated_governance_principles"/>
      <w:pPr>
        <w:pStyle w:val="Heading2"/>
        <w:pageBreakBefore w:val="0"/>
        <w:keepNext/>
      </w:pPr>
      <w:r>
        <w:rPr>
          <w:color w:val="154B5F"/>
          <w:sz w:val="36"/>
        </w:rP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pageBreakBefore w:val="0"/>
        <w:keepNext/>
      </w:pPr>
      <w:r>
        <w:rPr>
          <w:color w:val="154B5F"/>
          <w:sz w:val="36"/>
        </w:rP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pageBreakBefore w:val="0"/>
        <w:keepNext/>
      </w:pPr>
      <w:r>
        <w:rPr>
          <w:color w:val="154B5F"/>
          <w:sz w:val="36"/>
        </w:rP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pageBreakBefore w:val="0"/>
        <w:keepNext/>
      </w:pPr>
      <w:r>
        <w:rPr>
          <w:color w:val="154B5F"/>
          <w:sz w:val="36"/>
        </w:rP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pageBreakBefore w:val="0"/>
        <w:keepNext/>
      </w:pPr>
      <w:r>
        <w:rPr>
          <w:color w:val="154B5F"/>
          <w:sz w:val="36"/>
        </w:rP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pageBreakBefore w:val="0"/>
        <w:keepNext/>
      </w:pPr>
      <w:r>
        <w:rPr>
          <w:color w:val="154B5F"/>
          <w:sz w:val="36"/>
        </w:rP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chapter_6">
        <w:r>
          <w:rPr>
            <w:color w:val="0F5F73"/>
            <w:u w:val="single"/>
          </w:rPr>
          <w:t>Research Findings — Chapter 6</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pageBreakBefore/>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pageBreakBefore/>
        <w:spacing w:before="120" w:after="280"/>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pageBreakBefore/>
        <w:spacing w:before="120" w:after="280"/>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44" w:name="cd_1"/>
            <w:pPr>
              <w:spacing w:after="120"/>
            </w:pPr>
            <w:r>
              <w:rPr>
                <w:rFonts w:ascii="Aptos" w:hAnsi="Aptos"/>
                <w:b/>
                <w:color w:val="294E5B"/>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46" w:name="ga_1"/>
            <w:pPr>
              <w:spacing w:after="120"/>
            </w:pPr>
            <w:r>
              <w:rPr>
                <w:rFonts w:ascii="Aptos" w:hAnsi="Aptos"/>
                <w:b/>
                <w:color w:val="21594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61" w:name="cd_2"/>
            <w:pPr>
              <w:spacing w:after="120"/>
            </w:pPr>
            <w:r>
              <w:rPr>
                <w:rFonts w:ascii="Aptos" w:hAnsi="Aptos"/>
                <w:b/>
                <w:color w:val="294E5B"/>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63" w:name="rf_2"/>
            <w:pPr>
              <w:spacing w:after="120"/>
            </w:pPr>
            <w:r>
              <w:rPr>
                <w:rFonts w:ascii="Aptos" w:hAnsi="Aptos"/>
                <w:b/>
                <w:color w:val="244B5B"/>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pageBreakBefore/>
        <w:spacing w:before="120" w:after="280"/>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69" w:name="rm_1"/>
            <w:pPr>
              <w:spacing w:after="120"/>
            </w:pPr>
            <w:r>
              <w:rPr>
                <w:rFonts w:ascii="Aptos" w:hAnsi="Aptos"/>
                <w:b/>
                <w:color w:val="355C4C"/>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77" w:name="ga_2"/>
            <w:pPr>
              <w:spacing w:after="120"/>
            </w:pPr>
            <w:r>
              <w:rPr>
                <w:rFonts w:ascii="Aptos" w:hAnsi="Aptos"/>
                <w:b/>
                <w:color w:val="21594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79" w:name="rm_2"/>
            <w:pPr>
              <w:spacing w:after="120"/>
            </w:pPr>
            <w:r>
              <w:rPr>
                <w:rFonts w:ascii="Aptos" w:hAnsi="Aptos"/>
                <w:b/>
                <w:color w:val="355C4C"/>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1" w:name="rm_3"/>
            <w:pPr>
              <w:spacing w:after="120"/>
            </w:pPr>
            <w:r>
              <w:rPr>
                <w:rFonts w:ascii="Aptos" w:hAnsi="Aptos"/>
                <w:b/>
                <w:color w:val="355C4C"/>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3" w:name="rm_4"/>
            <w:pPr>
              <w:spacing w:after="120"/>
            </w:pPr>
            <w:r>
              <w:rPr>
                <w:rFonts w:ascii="Aptos" w:hAnsi="Aptos"/>
                <w:b/>
                <w:color w:val="355C4C"/>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85" w:name="rf_3"/>
            <w:pPr>
              <w:spacing w:after="120"/>
            </w:pPr>
            <w:r>
              <w:rPr>
                <w:rFonts w:ascii="Aptos" w:hAnsi="Aptos"/>
                <w:b/>
                <w:color w:val="244B5B"/>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7" w:name="rm_5"/>
            <w:pPr>
              <w:spacing w:after="120"/>
            </w:pPr>
            <w:r>
              <w:rPr>
                <w:rFonts w:ascii="Aptos" w:hAnsi="Aptos"/>
                <w:b/>
                <w:color w:val="355C4C"/>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pageBreakBefore/>
        <w:spacing w:before="120" w:after="280"/>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02" w:name="rf_4"/>
            <w:pPr>
              <w:spacing w:after="120"/>
            </w:pPr>
            <w:r>
              <w:rPr>
                <w:rFonts w:ascii="Aptos" w:hAnsi="Aptos"/>
                <w:b/>
                <w:color w:val="244B5B"/>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pageBreakBefore/>
        <w:spacing w:before="120" w:after="280"/>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6" w:name="cd_1_2"/>
            <w:pPr>
              <w:spacing w:after="120"/>
            </w:pPr>
            <w:r>
              <w:rPr>
                <w:rFonts w:ascii="Aptos" w:hAnsi="Aptos"/>
                <w:b/>
                <w:color w:val="294E5B"/>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7" w:name="cd_2_2"/>
            <w:pPr>
              <w:spacing w:after="120"/>
            </w:pPr>
            <w:r>
              <w:rPr>
                <w:rFonts w:ascii="Aptos" w:hAnsi="Aptos"/>
                <w:b/>
                <w:color w:val="294E5B"/>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8" w:name="cd_3"/>
            <w:pPr>
              <w:spacing w:after="120"/>
            </w:pPr>
            <w:r>
              <w:rPr>
                <w:rFonts w:ascii="Aptos" w:hAnsi="Aptos"/>
                <w:b/>
                <w:color w:val="294E5B"/>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9" w:name="cd_4"/>
            <w:pPr>
              <w:spacing w:after="120"/>
            </w:pPr>
            <w:r>
              <w:rPr>
                <w:rFonts w:ascii="Aptos" w:hAnsi="Aptos"/>
                <w:b/>
                <w:color w:val="294E5B"/>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0" w:name="cd_5"/>
            <w:pPr>
              <w:spacing w:after="120"/>
            </w:pPr>
            <w:r>
              <w:rPr>
                <w:rFonts w:ascii="Aptos" w:hAnsi="Aptos"/>
                <w:b/>
                <w:color w:val="294E5B"/>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1" w:name="cd_6"/>
            <w:pPr>
              <w:spacing w:after="120"/>
            </w:pPr>
            <w:r>
              <w:rPr>
                <w:rFonts w:ascii="Aptos" w:hAnsi="Aptos"/>
                <w:b/>
                <w:color w:val="294E5B"/>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2" w:name="cd_7"/>
            <w:pPr>
              <w:spacing w:after="120"/>
            </w:pPr>
            <w:r>
              <w:rPr>
                <w:rFonts w:ascii="Aptos" w:hAnsi="Aptos"/>
                <w:b/>
                <w:color w:val="294E5B"/>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3" w:name="cd_8"/>
            <w:pPr>
              <w:spacing w:after="120"/>
            </w:pPr>
            <w:r>
              <w:rPr>
                <w:rFonts w:ascii="Aptos" w:hAnsi="Aptos"/>
                <w:b/>
                <w:color w:val="294E5B"/>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4" w:name="cd_9"/>
            <w:pPr>
              <w:spacing w:after="120"/>
            </w:pPr>
            <w:r>
              <w:rPr>
                <w:rFonts w:ascii="Aptos" w:hAnsi="Aptos"/>
                <w:b/>
                <w:color w:val="294E5B"/>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5" w:name="cd_10"/>
            <w:pPr>
              <w:spacing w:after="120"/>
            </w:pPr>
            <w:r>
              <w:rPr>
                <w:rFonts w:ascii="Aptos" w:hAnsi="Aptos"/>
                <w:b/>
                <w:color w:val="294E5B"/>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6" w:name="cd_11"/>
            <w:pPr>
              <w:spacing w:after="120"/>
            </w:pPr>
            <w:r>
              <w:rPr>
                <w:rFonts w:ascii="Aptos" w:hAnsi="Aptos"/>
                <w:b/>
                <w:color w:val="294E5B"/>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7" w:name="cd_12"/>
            <w:pPr>
              <w:spacing w:after="120"/>
            </w:pPr>
            <w:r>
              <w:rPr>
                <w:rFonts w:ascii="Aptos" w:hAnsi="Aptos"/>
                <w:b/>
                <w:color w:val="294E5B"/>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19" w:name="rf_5"/>
            <w:pPr>
              <w:spacing w:after="120"/>
            </w:pPr>
            <w:r>
              <w:rPr>
                <w:rFonts w:ascii="Aptos" w:hAnsi="Aptos"/>
                <w:b/>
                <w:color w:val="244B5B"/>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p>
      <w:bookmarkStart w:id="121" w:name="chapter_6"/>
      <w:pPr>
        <w:pStyle w:val="Heading1"/>
        <w:pageBreakBefore/>
        <w:spacing w:before="120" w:after="280"/>
        <w:keepNext/>
      </w:pPr>
      <w:r>
        <w:t>Chapter 6 — Research Findings</w:t>
      </w:r>
      <w:bookmarkEnd w:id="121"/>
    </w:p>
    <w:p>
      <w:bookmarkStart w:id="122" w:name="section_6_1"/>
      <w:pPr>
        <w:pStyle w:val="Heading2"/>
        <w:keepNext/>
      </w:pPr>
      <w:r>
        <w:t>6.1 Introduction</w:t>
      </w:r>
      <w:bookmarkEnd w:id="122"/>
    </w:p>
    <w:p>
      <w:r>
        <w:rPr>
          <w:rFonts w:ascii="Aptos" w:hAnsi="Aptos"/>
        </w:rPr>
        <w:t>The preceding chapters established the foundations of the Evidence-Led Governance methodology. They defined the governing principles, described the research methodology, established the canonical framework, and introduced the terminology necessary for the consistent interpretation of administrative evidence.</w:t>
      </w:r>
    </w:p>
    <w:p>
      <w:r>
        <w:rPr>
          <w:rFonts w:ascii="Aptos" w:hAnsi="Aptos"/>
        </w:rPr>
        <w:t>This chapter marks a transition.</w:t>
      </w:r>
    </w:p>
    <w:p>
      <w:r>
        <w:rPr>
          <w:rFonts w:ascii="Aptos" w:hAnsi="Aptos"/>
        </w:rPr>
        <w:t>The purpose is no longer to describe how the research is conducted. The purpose is to present what the research has revealed.</w:t>
      </w:r>
    </w:p>
    <w:p>
      <w:r>
        <w:rPr>
          <w:rFonts w:ascii="Aptos" w:hAnsi="Aptos"/>
        </w:rPr>
        <w:t>The findings presented in this chapter arise from the systematic reconstruction and examination of legal authority, institutional design, administrative practice, and documentary evidence. They concern the operation of governance itself rather than any single institution, statutory framework, or administrative process.</w:t>
      </w:r>
    </w:p>
    <w:p>
      <w:r>
        <w:rPr>
          <w:rFonts w:ascii="Aptos" w:hAnsi="Aptos"/>
        </w:rPr>
        <w:t>Accordingly, this chapter records the recurring characteristics that emerged through the application of the Evidence-Led Governance methodology.</w:t>
      </w:r>
    </w:p>
    <w:p>
      <w:bookmarkStart w:id="123" w:name="section_6_2"/>
      <w:pPr>
        <w:pStyle w:val="Heading2"/>
        <w:keepNext/>
      </w:pPr>
      <w:r>
        <w:t>6.2 Methodological Note</w:t>
      </w:r>
      <w:bookmarkEnd w:id="123"/>
    </w:p>
    <w:p>
      <w:r>
        <w:rPr>
          <w:rFonts w:ascii="Aptos" w:hAnsi="Aptos"/>
        </w:rPr>
        <w:t>The findings presented in this chapter were not predetermined.</w:t>
      </w:r>
    </w:p>
    <w:p>
      <w:r>
        <w:rPr>
          <w:rFonts w:ascii="Aptos" w:hAnsi="Aptos"/>
        </w:rPr>
        <w:t>They emerge from the repeated application of the Evidence-Led Governance methodology across reconstructed legal authority, institutional design, administrative practice, and documentary evidence.</w:t>
      </w:r>
    </w:p>
    <w:p>
      <w:r>
        <w:rPr>
          <w:rFonts w:ascii="Aptos" w:hAnsi="Aptos"/>
        </w:rPr>
        <w:t>Findings are reported only where recurring patterns are observed across the accumulated record.</w:t>
      </w:r>
    </w:p>
    <w:p>
      <w:r>
        <w:rPr>
          <w:rFonts w:ascii="Aptos" w:hAnsi="Aptos"/>
        </w:rPr>
        <w:t>They remain open to refinement, expansion, or rejection as additional evidence becomes available.</w:t>
      </w:r>
    </w:p>
    <w:p>
      <w:r>
        <w:rPr>
          <w:rFonts w:ascii="Aptos" w:hAnsi="Aptos"/>
        </w:rPr>
        <w:t>This chapter therefore records what the research has revealed, rather than what the research set out to prove.</w:t>
      </w:r>
    </w:p>
    <w:p>
      <w:r>
        <w:rPr>
          <w:rFonts w:ascii="Aptos" w:hAnsi="Aptos"/>
        </w:rPr>
        <w:t>The methodology establishes the process by which evidence is reconstructed and examined.</w:t>
      </w:r>
    </w:p>
    <w:p>
      <w:r>
        <w:rPr>
          <w:rFonts w:ascii="Aptos" w:hAnsi="Aptos"/>
        </w:rPr>
        <w:t>The findings emerge only after that process has been completed.</w:t>
      </w:r>
    </w:p>
    <w:p>
      <w:bookmarkStart w:id="124" w:name="section_6_3"/>
      <w:pPr>
        <w:pStyle w:val="Heading2"/>
        <w:keepNext/>
      </w:pPr>
      <w:r>
        <w:t>6.3 Finding One — Institutional Accumulation and Administrative Understanding</w:t>
      </w:r>
      <w:bookmarkEnd w:id="124"/>
    </w:p>
    <w:p>
      <w:r>
        <w:rPr>
          <w:rFonts w:ascii="Aptos" w:hAnsi="Aptos"/>
        </w:rPr>
        <w:t>Core Principle</w:t>
      </w:r>
    </w:p>
    <w:p>
      <w:r>
        <w:rPr>
          <w:rFonts w:ascii="Aptos" w:hAnsi="Aptos"/>
        </w:rPr>
        <w:t>Institutions should not repeatedly rediscover what they already know.</w:t>
      </w:r>
    </w:p>
    <w:p>
      <w:r>
        <w:rPr>
          <w:rFonts w:ascii="Aptos" w:hAnsi="Aptos"/>
        </w:rPr>
        <w:t>The accumulated record consistently indicates that effective administration depends upon the accumulation of evidence into institutional understanding.</w:t>
      </w:r>
    </w:p>
    <w:p>
      <w:r>
        <w:rPr>
          <w:rFonts w:ascii="Aptos" w:hAnsi="Aptos"/>
        </w:rPr>
        <w:t>Individual documents rarely reveal administrative performance in isolation. Administrative governance becomes observable only when records are examined collectively across time and institutional responsibility.</w:t>
      </w:r>
    </w:p>
    <w:p>
      <w:r>
        <w:rPr>
          <w:rFonts w:ascii="Aptos" w:hAnsi="Aptos"/>
        </w:rPr>
        <w:t>Each administrative action forms part of a wider evidential relationship. Decisions derive meaning not solely from their individual content but from their connection to preceding records, governing authority, and subsequent administrative activity.</w:t>
      </w:r>
    </w:p>
    <w:p>
      <w:r>
        <w:rPr>
          <w:rFonts w:ascii="Aptos" w:hAnsi="Aptos"/>
        </w:rPr>
        <w:t>Where each decision builds upon previous evidence:</w:t>
      </w:r>
    </w:p>
    <w:p>
      <w:pPr>
        <w:pStyle w:val="ListBullet"/>
      </w:pPr>
      <w:r>
        <w:rPr>
          <w:rFonts w:ascii="Aptos" w:hAnsi="Aptos"/>
          <w:b w:val="0"/>
          <w:i w:val="0"/>
        </w:rPr>
        <w:t>institutional understanding increases;</w:t>
      </w:r>
    </w:p>
    <w:p>
      <w:pPr>
        <w:pStyle w:val="ListBullet"/>
      </w:pPr>
      <w:r>
        <w:rPr>
          <w:rFonts w:ascii="Aptos" w:hAnsi="Aptos"/>
          <w:b w:val="0"/>
          <w:i w:val="0"/>
        </w:rPr>
        <w:t>administrative continuity becomes observable;</w:t>
      </w:r>
    </w:p>
    <w:p>
      <w:pPr>
        <w:pStyle w:val="ListBullet"/>
      </w:pPr>
      <w:r>
        <w:rPr>
          <w:rFonts w:ascii="Aptos" w:hAnsi="Aptos"/>
          <w:b w:val="0"/>
          <w:i w:val="0"/>
        </w:rPr>
        <w:t>consistency becomes measurable;</w:t>
      </w:r>
    </w:p>
    <w:p>
      <w:pPr>
        <w:pStyle w:val="ListBullet"/>
      </w:pPr>
      <w:r>
        <w:rPr>
          <w:rFonts w:ascii="Aptos" w:hAnsi="Aptos"/>
          <w:b w:val="0"/>
          <w:i w:val="0"/>
        </w:rPr>
        <w:t>accountability becomes traceable;</w:t>
      </w:r>
    </w:p>
    <w:p>
      <w:pPr>
        <w:pStyle w:val="ListBullet"/>
      </w:pPr>
      <w:r>
        <w:rPr>
          <w:rFonts w:ascii="Aptos" w:hAnsi="Aptos"/>
          <w:b w:val="0"/>
          <w:i w:val="0"/>
        </w:rPr>
        <w:t>rights become progressively capable of practical realisation.</w:t>
      </w:r>
    </w:p>
    <w:p>
      <w:r>
        <w:rPr>
          <w:rFonts w:ascii="Aptos" w:hAnsi="Aptos"/>
        </w:rPr>
        <w:t>Conversely, where each interaction is treated as a new beginning:</w:t>
      </w:r>
    </w:p>
    <w:p>
      <w:pPr>
        <w:pStyle w:val="ListBullet"/>
      </w:pPr>
      <w:r>
        <w:rPr>
          <w:rFonts w:ascii="Aptos" w:hAnsi="Aptos"/>
          <w:b w:val="0"/>
          <w:i w:val="0"/>
        </w:rPr>
        <w:t>evidence becomes fragmented;</w:t>
      </w:r>
    </w:p>
    <w:p>
      <w:pPr>
        <w:pStyle w:val="ListBullet"/>
      </w:pPr>
      <w:r>
        <w:rPr>
          <w:rFonts w:ascii="Aptos" w:hAnsi="Aptos"/>
          <w:b w:val="0"/>
          <w:i w:val="0"/>
        </w:rPr>
        <w:t>institutional memory diminishes;</w:t>
      </w:r>
    </w:p>
    <w:p>
      <w:pPr>
        <w:pStyle w:val="ListBullet"/>
      </w:pPr>
      <w:r>
        <w:rPr>
          <w:rFonts w:ascii="Aptos" w:hAnsi="Aptos"/>
          <w:b w:val="0"/>
          <w:i w:val="0"/>
        </w:rPr>
        <w:t>repeated assessment replaces accumulated understanding;</w:t>
      </w:r>
    </w:p>
    <w:p>
      <w:pPr>
        <w:pStyle w:val="ListBullet"/>
      </w:pPr>
      <w:r>
        <w:rPr>
          <w:rFonts w:ascii="Aptos" w:hAnsi="Aptos"/>
          <w:b w:val="0"/>
          <w:i w:val="0"/>
        </w:rPr>
        <w:t>similar issues repeatedly reappear without organisational learning;</w:t>
      </w:r>
    </w:p>
    <w:p>
      <w:pPr>
        <w:pStyle w:val="ListBullet"/>
      </w:pPr>
      <w:r>
        <w:rPr>
          <w:rFonts w:ascii="Aptos" w:hAnsi="Aptos"/>
          <w:b w:val="0"/>
          <w:i w:val="0"/>
        </w:rPr>
        <w:t>governance becomes increasingly difficult to evaluate.</w:t>
      </w:r>
    </w:p>
    <w:p>
      <w:r>
        <w:rPr>
          <w:rFonts w:ascii="Aptos" w:hAnsi="Aptos"/>
        </w:rPr>
        <w:t>The first research finding therefore identifies institutional accumulation as a recurring characteristic associated with coherent administrative governance.</w:t>
      </w:r>
    </w:p>
    <w:p>
      <w:bookmarkStart w:id="125" w:name="section_6_4"/>
      <w:pPr>
        <w:pStyle w:val="Heading2"/>
        <w:keepNext/>
      </w:pPr>
      <w:r>
        <w:t>6.4 Characteristics of Institutional Accumulation</w:t>
      </w:r>
      <w:bookmarkEnd w:id="125"/>
    </w:p>
    <w:p>
      <w:r>
        <w:rPr>
          <w:rFonts w:ascii="Aptos" w:hAnsi="Aptos"/>
        </w:rPr>
        <w:t>The accumulated evidence consistently revealed several characteristics that together constitute institutional accumulation.</w:t>
      </w:r>
    </w:p>
    <w:p>
      <w:r>
        <w:rPr>
          <w:rFonts w:ascii="Aptos" w:hAnsi="Aptos"/>
        </w:rPr>
        <w:t>Continuity</w:t>
      </w:r>
    </w:p>
    <w:p>
      <w:r>
        <w:rPr>
          <w:rFonts w:ascii="Aptos" w:hAnsi="Aptos"/>
        </w:rPr>
        <w:t>Administrative actions should build upon the existing record rather than replacing or disregarding it.</w:t>
      </w:r>
    </w:p>
    <w:p>
      <w:r>
        <w:rPr>
          <w:rFonts w:ascii="Aptos" w:hAnsi="Aptos"/>
        </w:rPr>
        <w:t>Continuity enables institutions to develop understanding through successive decisions rather than repeated rediscovery.</w:t>
      </w:r>
    </w:p>
    <w:p>
      <w:r>
        <w:rPr>
          <w:rFonts w:ascii="Aptos" w:hAnsi="Aptos"/>
        </w:rPr>
        <w:t>Traceability</w:t>
      </w:r>
    </w:p>
    <w:p>
      <w:r>
        <w:rPr>
          <w:rFonts w:ascii="Aptos" w:hAnsi="Aptos"/>
        </w:rPr>
        <w:t>Later decisions should remain explainable through the evidence that preceded them.</w:t>
      </w:r>
    </w:p>
    <w:p>
      <w:r>
        <w:rPr>
          <w:rFonts w:ascii="Aptos" w:hAnsi="Aptos"/>
        </w:rPr>
        <w:t>Administrative reasoning should therefore remain traceable across the documentary record.</w:t>
      </w:r>
    </w:p>
    <w:p>
      <w:r>
        <w:rPr>
          <w:rFonts w:ascii="Aptos" w:hAnsi="Aptos"/>
        </w:rPr>
        <w:t>Reproducibility</w:t>
      </w:r>
    </w:p>
    <w:p>
      <w:r>
        <w:rPr>
          <w:rFonts w:ascii="Aptos" w:hAnsi="Aptos"/>
        </w:rPr>
        <w:t>Independent examination of the same accumulated record should permit substantially similar conclusions regarding administrative development and governance.</w:t>
      </w:r>
    </w:p>
    <w:p>
      <w:r>
        <w:rPr>
          <w:rFonts w:ascii="Aptos" w:hAnsi="Aptos"/>
        </w:rPr>
        <w:t>Where findings cannot be reproduced from the available evidence, administrative understanding becomes uncertain.</w:t>
      </w:r>
    </w:p>
    <w:p>
      <w:r>
        <w:rPr>
          <w:rFonts w:ascii="Aptos" w:hAnsi="Aptos"/>
        </w:rPr>
        <w:t>Administrative Learning</w:t>
      </w:r>
    </w:p>
    <w:p>
      <w:r>
        <w:rPr>
          <w:rFonts w:ascii="Aptos" w:hAnsi="Aptos"/>
        </w:rPr>
        <w:t>Institutions should demonstrate increasing understanding as evidence accumulates.</w:t>
      </w:r>
    </w:p>
    <w:p>
      <w:r>
        <w:rPr>
          <w:rFonts w:ascii="Aptos" w:hAnsi="Aptos"/>
        </w:rPr>
        <w:t>Repeated assessment without corresponding institutional development indicates fragmentation rather than learning.</w:t>
      </w:r>
    </w:p>
    <w:p>
      <w:r>
        <w:rPr>
          <w:rFonts w:ascii="Aptos" w:hAnsi="Aptos"/>
        </w:rPr>
        <w:t>These characteristics repeatedly emerged across reconstructed administrative records and together describe the first research finding.</w:t>
      </w:r>
    </w:p>
    <w:p>
      <w:bookmarkStart w:id="126" w:name="section_6_5"/>
      <w:pPr>
        <w:pStyle w:val="Heading2"/>
        <w:keepNext/>
      </w:pPr>
      <w:r>
        <w:t>6.5 Governance Implications</w:t>
      </w:r>
      <w:bookmarkEnd w:id="126"/>
    </w:p>
    <w:p>
      <w:r>
        <w:rPr>
          <w:rFonts w:ascii="Aptos" w:hAnsi="Aptos"/>
        </w:rPr>
        <w:t>Institutional accumulation is not merely an administrative convenience.</w:t>
      </w:r>
    </w:p>
    <w:p>
      <w:r>
        <w:rPr>
          <w:rFonts w:ascii="Aptos" w:hAnsi="Aptos"/>
        </w:rPr>
        <w:t>It is a characteristic of effective governance.</w:t>
      </w:r>
    </w:p>
    <w:p>
      <w:r>
        <w:rPr>
          <w:rFonts w:ascii="Aptos" w:hAnsi="Aptos"/>
        </w:rPr>
        <w:t>Where accumulation is absent, the evidence consistently indicated increased risks of:</w:t>
      </w:r>
    </w:p>
    <w:p>
      <w:pPr>
        <w:pStyle w:val="ListBullet"/>
      </w:pPr>
      <w:r>
        <w:rPr>
          <w:rFonts w:ascii="Aptos" w:hAnsi="Aptos"/>
          <w:b w:val="0"/>
          <w:i w:val="0"/>
        </w:rPr>
        <w:t>inconsistent administrative decision-making;</w:t>
      </w:r>
    </w:p>
    <w:p>
      <w:pPr>
        <w:pStyle w:val="ListBullet"/>
      </w:pPr>
      <w:r>
        <w:rPr>
          <w:rFonts w:ascii="Aptos" w:hAnsi="Aptos"/>
          <w:b w:val="0"/>
          <w:i w:val="0"/>
        </w:rPr>
        <w:t>repeated procedural engagement without substantive progression;</w:t>
      </w:r>
    </w:p>
    <w:p>
      <w:pPr>
        <w:pStyle w:val="ListBullet"/>
      </w:pPr>
      <w:r>
        <w:rPr>
          <w:rFonts w:ascii="Aptos" w:hAnsi="Aptos"/>
          <w:b w:val="0"/>
          <w:i w:val="0"/>
        </w:rPr>
        <w:t>duplication of assessment;</w:t>
      </w:r>
    </w:p>
    <w:p>
      <w:pPr>
        <w:pStyle w:val="ListBullet"/>
      </w:pPr>
      <w:r>
        <w:rPr>
          <w:rFonts w:ascii="Aptos" w:hAnsi="Aptos"/>
          <w:b w:val="0"/>
          <w:i w:val="0"/>
        </w:rPr>
        <w:t>fragmentation of institutional understanding;</w:t>
      </w:r>
    </w:p>
    <w:p>
      <w:pPr>
        <w:pStyle w:val="ListBullet"/>
      </w:pPr>
      <w:r>
        <w:rPr>
          <w:rFonts w:ascii="Aptos" w:hAnsi="Aptos"/>
          <w:b w:val="0"/>
          <w:i w:val="0"/>
        </w:rPr>
        <w:t>unnecessary administrative burden;</w:t>
      </w:r>
    </w:p>
    <w:p>
      <w:pPr>
        <w:pStyle w:val="ListBullet"/>
      </w:pPr>
      <w:r>
        <w:rPr>
          <w:rFonts w:ascii="Aptos" w:hAnsi="Aptos"/>
          <w:b w:val="0"/>
          <w:i w:val="0"/>
        </w:rPr>
        <w:t>reduced transparency;</w:t>
      </w:r>
    </w:p>
    <w:p>
      <w:pPr>
        <w:pStyle w:val="ListBullet"/>
      </w:pPr>
      <w:r>
        <w:rPr>
          <w:rFonts w:ascii="Aptos" w:hAnsi="Aptos"/>
          <w:b w:val="0"/>
          <w:i w:val="0"/>
        </w:rPr>
        <w:t>diminished accountability.</w:t>
      </w:r>
    </w:p>
    <w:p>
      <w:r>
        <w:rPr>
          <w:rFonts w:ascii="Aptos" w:hAnsi="Aptos"/>
        </w:rPr>
        <w:t>Conversely, where evidence accumulated through successive administrative activity, governance became progressively easier to reconstruct, interpret, and evaluate.</w:t>
      </w:r>
    </w:p>
    <w:p>
      <w:r>
        <w:rPr>
          <w:rFonts w:ascii="Aptos" w:hAnsi="Aptos"/>
        </w:rPr>
        <w:t>Administrative understanding therefore depends not only upon the existence of evidence but upon its continued relationship to subsequent administrative action.</w:t>
      </w:r>
    </w:p>
    <w:p>
      <w:bookmarkStart w:id="127" w:name="section_6_6"/>
      <w:pPr>
        <w:pStyle w:val="Heading2"/>
        <w:keepNext/>
      </w:pPr>
      <w:r>
        <w:t>6.6 Relationship to Evidence-Led Governance</w:t>
      </w:r>
      <w:bookmarkEnd w:id="127"/>
    </w:p>
    <w:p>
      <w:r>
        <w:rPr>
          <w:rFonts w:ascii="Aptos" w:hAnsi="Aptos"/>
        </w:rPr>
        <w:t>Evidence-Led Governance treats administrative records as cumulative rather than isolated.</w:t>
      </w:r>
    </w:p>
    <w:p>
      <w:r>
        <w:rPr>
          <w:rFonts w:ascii="Aptos" w:hAnsi="Aptos"/>
        </w:rPr>
        <w:t>Individual records remain important.</w:t>
      </w:r>
    </w:p>
    <w:p>
      <w:r>
        <w:rPr>
          <w:rFonts w:ascii="Aptos" w:hAnsi="Aptos"/>
        </w:rPr>
        <w:t>Their greater significance, however, lies in their relationship to one another.</w:t>
      </w:r>
    </w:p>
    <w:p>
      <w:r>
        <w:rPr>
          <w:rFonts w:ascii="Aptos" w:hAnsi="Aptos"/>
        </w:rPr>
        <w:t>Accordingly:</w:t>
      </w:r>
    </w:p>
    <w:p>
      <w:pPr>
        <w:pStyle w:val="ListBullet"/>
      </w:pPr>
      <w:r>
        <w:rPr>
          <w:rFonts w:ascii="Aptos" w:hAnsi="Aptos"/>
          <w:b w:val="0"/>
          <w:i w:val="0"/>
        </w:rPr>
        <w:t>evidence is preserved;</w:t>
      </w:r>
    </w:p>
    <w:p>
      <w:pPr>
        <w:pStyle w:val="ListBullet"/>
      </w:pPr>
      <w:r>
        <w:rPr>
          <w:rFonts w:ascii="Aptos" w:hAnsi="Aptos"/>
          <w:b w:val="0"/>
          <w:i w:val="0"/>
        </w:rPr>
        <w:t>provenance remains intact;</w:t>
      </w:r>
    </w:p>
    <w:p>
      <w:pPr>
        <w:pStyle w:val="ListBullet"/>
      </w:pPr>
      <w:r>
        <w:rPr>
          <w:rFonts w:ascii="Aptos" w:hAnsi="Aptos"/>
          <w:b w:val="0"/>
          <w:i w:val="0"/>
        </w:rPr>
        <w:t>institutional understanding develops through accumulation;</w:t>
      </w:r>
    </w:p>
    <w:p>
      <w:pPr>
        <w:pStyle w:val="ListBullet"/>
      </w:pPr>
      <w:r>
        <w:rPr>
          <w:rFonts w:ascii="Aptos" w:hAnsi="Aptos"/>
          <w:b w:val="0"/>
          <w:i w:val="0"/>
        </w:rPr>
        <w:t>governance becomes observable through continuity;</w:t>
      </w:r>
    </w:p>
    <w:p>
      <w:pPr>
        <w:pStyle w:val="ListBullet"/>
      </w:pPr>
      <w:r>
        <w:rPr>
          <w:rFonts w:ascii="Aptos" w:hAnsi="Aptos"/>
          <w:b w:val="0"/>
          <w:i w:val="0"/>
        </w:rPr>
        <w:t>accountability becomes traceable across successive administrative decisions.</w:t>
      </w:r>
    </w:p>
    <w:p>
      <w:r>
        <w:rPr>
          <w:rFonts w:ascii="Aptos" w:hAnsi="Aptos"/>
        </w:rPr>
        <w:t>Administrative understanding therefore emerges from the accumulated relationship between records rather than from any individual document considered in isolation.</w:t>
      </w:r>
    </w:p>
    <w:p>
      <w:r>
        <w:rPr>
          <w:rFonts w:ascii="Aptos" w:hAnsi="Aptos"/>
        </w:rPr>
        <w:t>This relationship permits governance itself to become capable of systematic examination.</w:t>
      </w:r>
    </w:p>
    <w:p>
      <w:bookmarkStart w:id="128" w:name="section_6_7"/>
      <w:pPr>
        <w:pStyle w:val="Heading2"/>
        <w:keepNext/>
      </w:pPr>
      <w:r>
        <w:t>6.7 Discussion</w:t>
      </w:r>
      <w:bookmarkEnd w:id="128"/>
    </w:p>
    <w:p>
      <w:r>
        <w:rPr>
          <w:rFonts w:ascii="Aptos" w:hAnsi="Aptos"/>
        </w:rPr>
        <w:t>The first research finding extends beyond any individual statutory framework.</w:t>
      </w:r>
    </w:p>
    <w:p>
      <w:r>
        <w:rPr>
          <w:rFonts w:ascii="Aptos" w:hAnsi="Aptos"/>
        </w:rPr>
        <w:t>The recurring relationship between accumulated evidence and institutional understanding was observed across multiple areas of administrative activity.</w:t>
      </w:r>
    </w:p>
    <w:p>
      <w:r>
        <w:rPr>
          <w:rFonts w:ascii="Aptos" w:hAnsi="Aptos"/>
        </w:rPr>
        <w:t>Accordingly, the finding should not be interpreted as specific to a particular institution or administrative process.</w:t>
      </w:r>
    </w:p>
    <w:p>
      <w:r>
        <w:rPr>
          <w:rFonts w:ascii="Aptos" w:hAnsi="Aptos"/>
        </w:rPr>
        <w:t>Rather, it describes a characteristic of governance itself.</w:t>
      </w:r>
    </w:p>
    <w:p>
      <w:r>
        <w:rPr>
          <w:rFonts w:ascii="Aptos" w:hAnsi="Aptos"/>
        </w:rPr>
        <w:t>Institutions become progressively capable of coherent administration where evidence accumulates into organisational understanding.</w:t>
      </w:r>
    </w:p>
    <w:p>
      <w:r>
        <w:rPr>
          <w:rFonts w:ascii="Aptos" w:hAnsi="Aptos"/>
        </w:rPr>
        <w:t>Where evidence remains fragmented, governance likewise becomes fragmented.</w:t>
      </w:r>
    </w:p>
    <w:p>
      <w:r>
        <w:rPr>
          <w:rFonts w:ascii="Aptos" w:hAnsi="Aptos"/>
        </w:rPr>
        <w:t>The significance of the finding therefore lies not in the quantity of evidence available but in the continuity of the relationships preserved between successive records.</w:t>
      </w:r>
    </w:p>
    <w:p>
      <w:bookmarkStart w:id="129" w:name="section_6_8"/>
      <w:pPr>
        <w:pStyle w:val="Heading2"/>
        <w:keepNext/>
      </w:pPr>
      <w:r>
        <w:t>6.8 Conclusion</w:t>
      </w:r>
      <w:bookmarkEnd w:id="129"/>
    </w:p>
    <w:p>
      <w:r>
        <w:rPr>
          <w:rFonts w:ascii="Aptos" w:hAnsi="Aptos"/>
        </w:rPr>
        <w:t>The first research finding indicates that governance depends upon institutional accumulation.</w:t>
      </w:r>
    </w:p>
    <w:p>
      <w:r>
        <w:rPr>
          <w:rFonts w:ascii="Aptos" w:hAnsi="Aptos"/>
        </w:rPr>
        <w:t>The question is not whether evidence exists.</w:t>
      </w:r>
    </w:p>
    <w:p>
      <w:r>
        <w:rPr>
          <w:rFonts w:ascii="Aptos" w:hAnsi="Aptos"/>
        </w:rPr>
        <w:t>The question is whether institutions allow that evidence to become institutional understanding.</w:t>
      </w:r>
    </w:p>
    <w:p>
      <w:r>
        <w:rPr>
          <w:rFonts w:ascii="Aptos" w:hAnsi="Aptos"/>
        </w:rPr>
        <w:t>Where evidence accumulates, administrative continuity becomes observable.</w:t>
      </w:r>
    </w:p>
    <w:p>
      <w:r>
        <w:rPr>
          <w:rFonts w:ascii="Aptos" w:hAnsi="Aptos"/>
        </w:rPr>
        <w:t>Where continuity becomes observable, accountability becomes measurable.</w:t>
      </w:r>
    </w:p>
    <w:p>
      <w:r>
        <w:rPr>
          <w:rFonts w:ascii="Aptos" w:hAnsi="Aptos"/>
        </w:rPr>
        <w:t>Where accountability becomes measurable, governance itself becomes capable of systematic evaluation.</w:t>
      </w:r>
    </w:p>
    <w:p>
      <w:r>
        <w:rPr>
          <w:rFonts w:ascii="Aptos" w:hAnsi="Aptos"/>
        </w:rPr>
        <w:t>The first finding therefore establishes institutional accumulation not as an administrative preference, but as a recurring characteristic emerging from the accumulated record.</w:t>
      </w:r>
    </w:p>
    <w:p>
      <w:r>
        <w:rPr>
          <w:rFonts w:ascii="Aptos" w:hAnsi="Aptos"/>
        </w:rPr>
        <w:t>Subsequent findings continue this examination by identifying additional recurring patterns that emerge through the application of the Evidence-Led Governance methodology.</w:t>
      </w:r>
    </w:p>
    <w:sectPr w:rsidR="00FC693F" w:rsidRPr="0006063C" w:rsidSect="00034616">
      <w:headerReference w:type="default" r:id="rId9"/>
      <w:footerReference w:type="default" r:id="rId10"/>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i w:val="0"/>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i w:val="0"/>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governance, public administration, documentary evidence, statutory administration</cp:keywords>
  <dc:description>Generated manuscript version 1.20</dc:description>
  <cp:lastModifiedBy/>
  <cp:revision>1</cp:revision>
  <dcterms:created xsi:type="dcterms:W3CDTF">2013-12-23T23:15:00Z</dcterms:created>
  <dcterms:modified xsi:type="dcterms:W3CDTF">2013-12-23T23:15:00Z</dcterms:modified>
  <cp:category>Working Manuscript</cp:category>
  <dc:language>en</dc:language>
</cp:coreProperties>
</file>