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242A1B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590962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Deployment Guidelines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D73557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D73557" w:rsidRPr="008F2742">
        <w:rPr>
          <w:noProof/>
          <w:lang w:val="en-GB"/>
        </w:rPr>
        <w:t>Introduction</w:t>
      </w:r>
      <w:r w:rsidR="00D73557" w:rsidRPr="008F2742">
        <w:rPr>
          <w:noProof/>
          <w:lang w:val="en-GB"/>
        </w:rPr>
        <w:tab/>
      </w:r>
      <w:r w:rsidR="00D73557">
        <w:rPr>
          <w:noProof/>
        </w:rPr>
        <w:fldChar w:fldCharType="begin"/>
      </w:r>
      <w:r w:rsidR="00D73557" w:rsidRPr="008F2742">
        <w:rPr>
          <w:noProof/>
          <w:lang w:val="en-GB"/>
        </w:rPr>
        <w:instrText xml:space="preserve"> PAGEREF _Toc449514634 \h </w:instrText>
      </w:r>
      <w:r w:rsidR="00D73557">
        <w:rPr>
          <w:noProof/>
        </w:rPr>
      </w:r>
      <w:r w:rsidR="00D73557">
        <w:rPr>
          <w:noProof/>
        </w:rPr>
        <w:fldChar w:fldCharType="separate"/>
      </w:r>
      <w:r w:rsidR="00D73557" w:rsidRPr="008F2742">
        <w:rPr>
          <w:noProof/>
          <w:lang w:val="en-GB"/>
        </w:rPr>
        <w:t>1</w:t>
      </w:r>
      <w:r w:rsidR="00D73557">
        <w:rPr>
          <w:noProof/>
        </w:rPr>
        <w:fldChar w:fldCharType="end"/>
      </w:r>
    </w:p>
    <w:p w:rsidR="00D73557" w:rsidRDefault="00D735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8F2742">
        <w:rPr>
          <w:noProof/>
          <w:lang w:val="en-GB"/>
        </w:rPr>
        <w:t>Guidelines</w:t>
      </w:r>
      <w:r w:rsidRPr="008F2742">
        <w:rPr>
          <w:noProof/>
          <w:lang w:val="en-GB"/>
        </w:rPr>
        <w:tab/>
      </w:r>
      <w:r>
        <w:rPr>
          <w:noProof/>
        </w:rPr>
        <w:fldChar w:fldCharType="begin"/>
      </w:r>
      <w:r w:rsidRPr="008F2742">
        <w:rPr>
          <w:noProof/>
          <w:lang w:val="en-GB"/>
        </w:rPr>
        <w:instrText xml:space="preserve"> PAGEREF _Toc449514635 \h </w:instrText>
      </w:r>
      <w:r>
        <w:rPr>
          <w:noProof/>
        </w:rPr>
      </w:r>
      <w:r>
        <w:rPr>
          <w:noProof/>
        </w:rPr>
        <w:fldChar w:fldCharType="separate"/>
      </w:r>
      <w:r w:rsidRPr="008F2742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D73557" w:rsidRDefault="00D735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8F2742">
        <w:rPr>
          <w:noProof/>
          <w:lang w:val="en-GB"/>
        </w:rPr>
        <w:t>Core components</w:t>
      </w:r>
      <w:r w:rsidRPr="008F2742">
        <w:rPr>
          <w:noProof/>
          <w:lang w:val="en-GB"/>
        </w:rPr>
        <w:tab/>
      </w:r>
      <w:r>
        <w:rPr>
          <w:noProof/>
        </w:rPr>
        <w:fldChar w:fldCharType="begin"/>
      </w:r>
      <w:r w:rsidRPr="008F2742">
        <w:rPr>
          <w:noProof/>
          <w:lang w:val="en-GB"/>
        </w:rPr>
        <w:instrText xml:space="preserve"> PAGEREF _Toc449514636 \h </w:instrText>
      </w:r>
      <w:r>
        <w:rPr>
          <w:noProof/>
        </w:rPr>
      </w:r>
      <w:r>
        <w:rPr>
          <w:noProof/>
        </w:rPr>
        <w:fldChar w:fldCharType="separate"/>
      </w:r>
      <w:r w:rsidRPr="008F2742">
        <w:rPr>
          <w:noProof/>
          <w:lang w:val="en-GB"/>
        </w:rPr>
        <w:t>2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</w:rPr>
        <w:t>Firewalls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</w:rPr>
        <w:t>Switches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</w:rPr>
        <w:t>Virtualization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</w:rPr>
        <w:t>Backup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</w:rPr>
        <w:t>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</w:rPr>
        <w:t>Time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3557" w:rsidRDefault="00D735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8F2742">
        <w:rPr>
          <w:noProof/>
          <w:lang w:val="en-GB"/>
        </w:rPr>
        <w:t>Core component cheat sheet</w:t>
      </w:r>
      <w:r w:rsidRPr="008F2742">
        <w:rPr>
          <w:noProof/>
          <w:lang w:val="en-GB"/>
        </w:rPr>
        <w:tab/>
      </w:r>
      <w:r>
        <w:rPr>
          <w:noProof/>
        </w:rPr>
        <w:fldChar w:fldCharType="begin"/>
      </w:r>
      <w:r w:rsidRPr="008F2742">
        <w:rPr>
          <w:noProof/>
          <w:lang w:val="en-GB"/>
        </w:rPr>
        <w:instrText xml:space="preserve"> PAGEREF _Toc449514643 \h </w:instrText>
      </w:r>
      <w:r>
        <w:rPr>
          <w:noProof/>
        </w:rPr>
      </w:r>
      <w:r>
        <w:rPr>
          <w:noProof/>
        </w:rPr>
        <w:fldChar w:fldCharType="separate"/>
      </w:r>
      <w:r w:rsidRPr="008F2742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D73557" w:rsidRDefault="00D735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8F2742">
        <w:rPr>
          <w:noProof/>
          <w:lang w:val="en-GB"/>
        </w:rPr>
        <w:t>Additional components</w:t>
      </w:r>
      <w:r w:rsidRPr="008F2742">
        <w:rPr>
          <w:noProof/>
          <w:lang w:val="en-GB"/>
        </w:rPr>
        <w:tab/>
      </w:r>
      <w:r>
        <w:rPr>
          <w:noProof/>
        </w:rPr>
        <w:fldChar w:fldCharType="begin"/>
      </w:r>
      <w:r w:rsidRPr="008F2742">
        <w:rPr>
          <w:noProof/>
          <w:lang w:val="en-GB"/>
        </w:rPr>
        <w:instrText xml:space="preserve"> PAGEREF _Toc449514644 \h </w:instrText>
      </w:r>
      <w:r>
        <w:rPr>
          <w:noProof/>
        </w:rPr>
      </w:r>
      <w:r>
        <w:rPr>
          <w:noProof/>
        </w:rPr>
        <w:fldChar w:fldCharType="separate"/>
      </w:r>
      <w:r w:rsidRPr="008F2742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  <w:lang w:val="en-GB"/>
        </w:rPr>
        <w:t>Rack mounting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  <w:lang w:val="en-GB"/>
        </w:rPr>
        <w:t>Networking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  <w:lang w:val="en-GB"/>
        </w:rPr>
        <w:t>Small mobile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  <w:lang w:val="en-GB"/>
        </w:rPr>
        <w:t>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557" w:rsidRDefault="00D7355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FB5324">
        <w:rPr>
          <w:noProof/>
          <w:lang w:val="en-GB"/>
        </w:rPr>
        <w:t>“Offshore” vessels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_Toc449514649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2EC2" w:rsidRPr="008F2742" w:rsidRDefault="00E81FD3" w:rsidP="000324FB">
      <w:pPr>
        <w:rPr>
          <w:lang w:val="en-GB"/>
        </w:rPr>
      </w:pPr>
      <w:r>
        <w:fldChar w:fldCharType="end"/>
      </w:r>
    </w:p>
    <w:p w:rsidR="007609C5" w:rsidRPr="008F2742" w:rsidRDefault="007609C5" w:rsidP="000324FB">
      <w:pPr>
        <w:rPr>
          <w:lang w:val="en-GB"/>
        </w:rPr>
      </w:pPr>
    </w:p>
    <w:p w:rsidR="007609C5" w:rsidRPr="00143AD1" w:rsidRDefault="007609C5" w:rsidP="007609C5">
      <w:pPr>
        <w:pStyle w:val="Heading1"/>
      </w:pPr>
      <w:bookmarkStart w:id="0" w:name="_Toc449514634"/>
      <w:r>
        <w:t>Introduction</w:t>
      </w:r>
      <w:bookmarkEnd w:id="0"/>
    </w:p>
    <w:p w:rsidR="007609C5" w:rsidRDefault="007609C5" w:rsidP="007609C5">
      <w:pPr>
        <w:rPr>
          <w:lang w:val="en-GB"/>
        </w:rPr>
      </w:pPr>
      <w:r w:rsidRPr="00143AD1">
        <w:rPr>
          <w:lang w:val="en-GB"/>
        </w:rPr>
        <w:t xml:space="preserve">This document </w:t>
      </w:r>
      <w:r>
        <w:rPr>
          <w:lang w:val="en-GB"/>
        </w:rPr>
        <w:t xml:space="preserve">provides </w:t>
      </w:r>
      <w:r w:rsidR="008F2742">
        <w:rPr>
          <w:lang w:val="en-GB"/>
        </w:rPr>
        <w:t>guidelines</w:t>
      </w:r>
      <w:r>
        <w:rPr>
          <w:lang w:val="en-GB"/>
        </w:rPr>
        <w:t xml:space="preserve"> for deployment of new equipment within the JDN Standards for Sites &amp; Vessels as defined in 2015.</w:t>
      </w:r>
    </w:p>
    <w:p w:rsidR="007609C5" w:rsidRDefault="007609C5" w:rsidP="007609C5">
      <w:pPr>
        <w:rPr>
          <w:lang w:val="en-GB"/>
        </w:rPr>
      </w:pPr>
    </w:p>
    <w:p w:rsidR="00451681" w:rsidRDefault="00451681" w:rsidP="007609C5">
      <w:pPr>
        <w:rPr>
          <w:lang w:val="en-GB"/>
        </w:rPr>
      </w:pPr>
      <w:r>
        <w:rPr>
          <w:lang w:val="en-GB"/>
        </w:rPr>
        <w:t xml:space="preserve">This document aims to offer guidance in selecting the right equipment for deployment to sites (remote offices, workshops, </w:t>
      </w:r>
      <w:r w:rsidR="008F2742">
        <w:rPr>
          <w:lang w:val="en-GB"/>
        </w:rPr>
        <w:t>etc.</w:t>
      </w:r>
      <w:r>
        <w:rPr>
          <w:lang w:val="en-GB"/>
        </w:rPr>
        <w:t xml:space="preserve">) and vessels (main and auxiliary floating equipment, </w:t>
      </w:r>
      <w:r w:rsidR="008F2742">
        <w:rPr>
          <w:lang w:val="en-GB"/>
        </w:rPr>
        <w:t>etc.</w:t>
      </w:r>
      <w:r>
        <w:rPr>
          <w:lang w:val="en-GB"/>
        </w:rPr>
        <w:t xml:space="preserve">) in the Jan De </w:t>
      </w:r>
      <w:r w:rsidR="008F2742">
        <w:rPr>
          <w:lang w:val="en-GB"/>
        </w:rPr>
        <w:t xml:space="preserve">Nul. </w:t>
      </w:r>
      <w:r>
        <w:rPr>
          <w:lang w:val="en-GB"/>
        </w:rPr>
        <w:t>In case of doubt, contact the SA/SE</w:t>
      </w:r>
      <w:r w:rsidR="003851E2">
        <w:rPr>
          <w:lang w:val="en-GB"/>
        </w:rPr>
        <w:t xml:space="preserve"> &amp; TSE</w:t>
      </w:r>
      <w:r>
        <w:rPr>
          <w:lang w:val="en-GB"/>
        </w:rPr>
        <w:t xml:space="preserve"> team leads for clarification.</w:t>
      </w:r>
    </w:p>
    <w:p w:rsidR="007609C5" w:rsidRDefault="007609C5" w:rsidP="007609C5">
      <w:pPr>
        <w:rPr>
          <w:lang w:val="en-GB"/>
        </w:rPr>
      </w:pPr>
    </w:p>
    <w:p w:rsidR="002F71A4" w:rsidRDefault="002F71A4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045278" w:rsidRDefault="00045278" w:rsidP="007609C5">
      <w:pPr>
        <w:rPr>
          <w:lang w:val="en-GB"/>
        </w:rPr>
      </w:pPr>
    </w:p>
    <w:p w:rsidR="00CB6251" w:rsidRPr="00143AD1" w:rsidRDefault="00342892" w:rsidP="00CB6251">
      <w:pPr>
        <w:pStyle w:val="Heading1"/>
      </w:pPr>
      <w:bookmarkStart w:id="1" w:name="_Toc449514635"/>
      <w:r>
        <w:t>Guidelines</w:t>
      </w:r>
      <w:bookmarkEnd w:id="1"/>
    </w:p>
    <w:p w:rsidR="00EA73A8" w:rsidRPr="00EA73A8" w:rsidRDefault="00EA73A8" w:rsidP="00EA73A8">
      <w:pPr>
        <w:rPr>
          <w:lang w:val="en-GB"/>
        </w:rPr>
      </w:pPr>
      <w:r w:rsidRPr="00EA73A8">
        <w:rPr>
          <w:lang w:val="en-GB"/>
        </w:rPr>
        <w:t xml:space="preserve">We distinguish between </w:t>
      </w:r>
      <w:r w:rsidR="008F2742">
        <w:rPr>
          <w:lang w:val="en-GB"/>
        </w:rPr>
        <w:t>four</w:t>
      </w:r>
      <w:r w:rsidRPr="00EA73A8">
        <w:rPr>
          <w:lang w:val="en-GB"/>
        </w:rPr>
        <w:t xml:space="preserve"> different setups, referred to a</w:t>
      </w:r>
      <w:r w:rsidR="008F2742">
        <w:rPr>
          <w:lang w:val="en-GB"/>
        </w:rPr>
        <w:t xml:space="preserve">s "large", "medium", </w:t>
      </w:r>
      <w:r>
        <w:rPr>
          <w:lang w:val="en-GB"/>
        </w:rPr>
        <w:t>"small</w:t>
      </w:r>
      <w:r w:rsidR="008F2742">
        <w:rPr>
          <w:lang w:val="en-GB"/>
        </w:rPr>
        <w:t xml:space="preserve"> R430</w:t>
      </w:r>
      <w:r>
        <w:rPr>
          <w:lang w:val="en-GB"/>
        </w:rPr>
        <w:t>"</w:t>
      </w:r>
      <w:r w:rsidR="008F2742">
        <w:rPr>
          <w:lang w:val="en-GB"/>
        </w:rPr>
        <w:t xml:space="preserve"> and “small DL20”</w:t>
      </w:r>
      <w:r>
        <w:rPr>
          <w:lang w:val="en-GB"/>
        </w:rPr>
        <w:t>:</w:t>
      </w:r>
    </w:p>
    <w:p w:rsidR="00EA73A8" w:rsidRPr="00EA73A8" w:rsidRDefault="00EA73A8" w:rsidP="00EA73A8">
      <w:pPr>
        <w:pStyle w:val="ListParagraph"/>
        <w:numPr>
          <w:ilvl w:val="0"/>
          <w:numId w:val="26"/>
        </w:numPr>
        <w:rPr>
          <w:lang w:val="en-GB"/>
        </w:rPr>
      </w:pPr>
      <w:r w:rsidRPr="00EA73A8">
        <w:rPr>
          <w:lang w:val="en-GB"/>
        </w:rPr>
        <w:t xml:space="preserve">Large is a setup representative for a large vessel or large remote office. </w:t>
      </w:r>
    </w:p>
    <w:p w:rsidR="00EA73A8" w:rsidRPr="00EA73A8" w:rsidRDefault="00EA73A8" w:rsidP="00EA73A8">
      <w:pPr>
        <w:pStyle w:val="ListParagraph"/>
        <w:numPr>
          <w:ilvl w:val="0"/>
          <w:numId w:val="26"/>
        </w:numPr>
        <w:rPr>
          <w:lang w:val="en-GB"/>
        </w:rPr>
      </w:pPr>
      <w:r w:rsidRPr="00EA73A8">
        <w:rPr>
          <w:lang w:val="en-GB"/>
        </w:rPr>
        <w:t>Medium is a setup representative for a smaller medium sized vessel or a small remote office.</w:t>
      </w:r>
    </w:p>
    <w:p w:rsidR="00EA73A8" w:rsidRDefault="00EA73A8" w:rsidP="00EA73A8">
      <w:pPr>
        <w:pStyle w:val="ListParagraph"/>
        <w:numPr>
          <w:ilvl w:val="0"/>
          <w:numId w:val="26"/>
        </w:numPr>
        <w:rPr>
          <w:lang w:val="en-GB"/>
        </w:rPr>
      </w:pPr>
      <w:r w:rsidRPr="00EA73A8">
        <w:rPr>
          <w:lang w:val="en-GB"/>
        </w:rPr>
        <w:t xml:space="preserve">Small </w:t>
      </w:r>
      <w:r w:rsidR="008F2742">
        <w:rPr>
          <w:lang w:val="en-GB"/>
        </w:rPr>
        <w:t xml:space="preserve">R430 </w:t>
      </w:r>
      <w:r w:rsidRPr="00EA73A8">
        <w:rPr>
          <w:lang w:val="en-GB"/>
        </w:rPr>
        <w:t>is a setup representative for our smal</w:t>
      </w:r>
      <w:r w:rsidR="008F2742">
        <w:rPr>
          <w:lang w:val="en-GB"/>
        </w:rPr>
        <w:t>l</w:t>
      </w:r>
      <w:r w:rsidRPr="00EA73A8">
        <w:rPr>
          <w:lang w:val="en-GB"/>
        </w:rPr>
        <w:t xml:space="preserve"> vessels (</w:t>
      </w:r>
      <w:r w:rsidR="00263143">
        <w:rPr>
          <w:lang w:val="en-GB"/>
        </w:rPr>
        <w:t>while</w:t>
      </w:r>
      <w:r w:rsidRPr="00EA73A8">
        <w:rPr>
          <w:lang w:val="en-GB"/>
        </w:rPr>
        <w:t xml:space="preserve"> still hav</w:t>
      </w:r>
      <w:r w:rsidR="00263143">
        <w:rPr>
          <w:lang w:val="en-GB"/>
        </w:rPr>
        <w:t>ing</w:t>
      </w:r>
      <w:r w:rsidRPr="00EA73A8">
        <w:rPr>
          <w:lang w:val="en-GB"/>
        </w:rPr>
        <w:t xml:space="preserve"> servers on board)</w:t>
      </w:r>
      <w:r w:rsidR="008F2742">
        <w:rPr>
          <w:lang w:val="en-GB"/>
        </w:rPr>
        <w:t xml:space="preserve"> with more than two PC’s</w:t>
      </w:r>
      <w:r w:rsidRPr="00EA73A8">
        <w:rPr>
          <w:lang w:val="en-GB"/>
        </w:rPr>
        <w:t xml:space="preserve">, a </w:t>
      </w:r>
      <w:r w:rsidR="008F2742">
        <w:rPr>
          <w:lang w:val="en-GB"/>
        </w:rPr>
        <w:t>small</w:t>
      </w:r>
      <w:r w:rsidRPr="00EA73A8">
        <w:rPr>
          <w:lang w:val="en-GB"/>
        </w:rPr>
        <w:t xml:space="preserve"> remote office or a temporary workshop.</w:t>
      </w:r>
    </w:p>
    <w:p w:rsidR="008F2742" w:rsidRPr="008F2742" w:rsidRDefault="008F2742" w:rsidP="00AD4F00">
      <w:pPr>
        <w:pStyle w:val="ListParagraph"/>
        <w:numPr>
          <w:ilvl w:val="0"/>
          <w:numId w:val="26"/>
        </w:numPr>
        <w:rPr>
          <w:lang w:val="en-GB"/>
        </w:rPr>
      </w:pPr>
      <w:r w:rsidRPr="008F2742">
        <w:rPr>
          <w:lang w:val="en-GB"/>
        </w:rPr>
        <w:t>Small DL20 is a setup representative for our small vessels with maximum two PC’s</w:t>
      </w:r>
    </w:p>
    <w:p w:rsidR="00CB6251" w:rsidRPr="008F2742" w:rsidRDefault="00CB6251" w:rsidP="008F2742">
      <w:pPr>
        <w:ind w:left="360"/>
        <w:rPr>
          <w:lang w:val="en-GB"/>
        </w:rPr>
      </w:pPr>
    </w:p>
    <w:p w:rsidR="00EA73A8" w:rsidRDefault="004D592E" w:rsidP="00CB6251">
      <w:pPr>
        <w:rPr>
          <w:lang w:val="en-GB"/>
        </w:rPr>
      </w:pPr>
      <w:r>
        <w:rPr>
          <w:lang w:val="en-GB"/>
        </w:rPr>
        <w:t xml:space="preserve">The choice between large &amp; medium setups for vessels is dependent on the connectivity available on the vessel. If </w:t>
      </w:r>
      <w:r w:rsidR="007B68DD">
        <w:rPr>
          <w:lang w:val="en-GB"/>
        </w:rPr>
        <w:t>VSAT is available</w:t>
      </w:r>
      <w:r>
        <w:rPr>
          <w:lang w:val="en-GB"/>
        </w:rPr>
        <w:t xml:space="preserve">, the large setup </w:t>
      </w:r>
      <w:proofErr w:type="gramStart"/>
      <w:r>
        <w:rPr>
          <w:lang w:val="en-GB"/>
        </w:rPr>
        <w:t>should be used</w:t>
      </w:r>
      <w:proofErr w:type="gramEnd"/>
      <w:r>
        <w:rPr>
          <w:lang w:val="en-GB"/>
        </w:rPr>
        <w:t>.</w:t>
      </w:r>
    </w:p>
    <w:p w:rsidR="004D592E" w:rsidRDefault="004D592E" w:rsidP="00CB6251">
      <w:pPr>
        <w:rPr>
          <w:lang w:val="en-GB"/>
        </w:rPr>
      </w:pPr>
      <w:r>
        <w:rPr>
          <w:lang w:val="en-GB"/>
        </w:rPr>
        <w:t>A small</w:t>
      </w:r>
      <w:r w:rsidR="002F71A4">
        <w:rPr>
          <w:lang w:val="en-GB"/>
        </w:rPr>
        <w:t xml:space="preserve"> R430</w:t>
      </w:r>
      <w:r>
        <w:rPr>
          <w:lang w:val="en-GB"/>
        </w:rPr>
        <w:t xml:space="preserve"> setup </w:t>
      </w:r>
      <w:proofErr w:type="gramStart"/>
      <w:r>
        <w:rPr>
          <w:lang w:val="en-GB"/>
        </w:rPr>
        <w:t>should only be used</w:t>
      </w:r>
      <w:proofErr w:type="gramEnd"/>
      <w:r>
        <w:rPr>
          <w:lang w:val="en-GB"/>
        </w:rPr>
        <w:t xml:space="preserve"> on vessels </w:t>
      </w:r>
      <w:r w:rsidR="007B68DD">
        <w:rPr>
          <w:lang w:val="en-GB"/>
        </w:rPr>
        <w:t>if there is absolutely no room available for a large or medium setup.</w:t>
      </w:r>
      <w:r w:rsidR="006D7886">
        <w:rPr>
          <w:lang w:val="en-GB"/>
        </w:rPr>
        <w:t xml:space="preserve"> It </w:t>
      </w:r>
      <w:proofErr w:type="gramStart"/>
      <w:r w:rsidR="006D7886">
        <w:rPr>
          <w:lang w:val="en-GB"/>
        </w:rPr>
        <w:t>should only be used</w:t>
      </w:r>
      <w:proofErr w:type="gramEnd"/>
      <w:r w:rsidR="006D7886">
        <w:rPr>
          <w:lang w:val="en-GB"/>
        </w:rPr>
        <w:t xml:space="preserve"> if there is no way to install a proper deep rack to house the large or medium setups on the vessel.</w:t>
      </w:r>
    </w:p>
    <w:p w:rsidR="002F71A4" w:rsidRDefault="002F71A4" w:rsidP="002F71A4">
      <w:pPr>
        <w:rPr>
          <w:lang w:val="en-GB"/>
        </w:rPr>
      </w:pPr>
      <w:r>
        <w:rPr>
          <w:lang w:val="en-GB"/>
        </w:rPr>
        <w:t xml:space="preserve">A small DL20 setup should only be used on vessels with maximum </w:t>
      </w:r>
      <w:proofErr w:type="gramStart"/>
      <w:r w:rsidR="00592062">
        <w:rPr>
          <w:lang w:val="en-GB"/>
        </w:rPr>
        <w:t>5</w:t>
      </w:r>
      <w:proofErr w:type="gramEnd"/>
      <w:r>
        <w:rPr>
          <w:lang w:val="en-GB"/>
        </w:rPr>
        <w:t xml:space="preserve"> PC’s</w:t>
      </w:r>
      <w:r w:rsidR="00592062">
        <w:rPr>
          <w:lang w:val="en-GB"/>
        </w:rPr>
        <w:t>, 5 virtual client machines</w:t>
      </w:r>
      <w:r>
        <w:rPr>
          <w:lang w:val="en-GB"/>
        </w:rPr>
        <w:t xml:space="preserve"> and if there is no way to install a proper deep rack to house the small R430 setup on the vessel.</w:t>
      </w:r>
    </w:p>
    <w:p w:rsidR="004D592E" w:rsidRDefault="004D592E" w:rsidP="00CB6251">
      <w:pPr>
        <w:rPr>
          <w:lang w:val="en-GB"/>
        </w:rPr>
      </w:pPr>
    </w:p>
    <w:p w:rsidR="007B68DD" w:rsidRDefault="007B68DD" w:rsidP="00CB6251">
      <w:pPr>
        <w:rPr>
          <w:lang w:val="en-GB"/>
        </w:rPr>
      </w:pPr>
      <w:r>
        <w:rPr>
          <w:lang w:val="en-GB"/>
        </w:rPr>
        <w:t xml:space="preserve">The choice between the available setups for sites (remote offices, workshops, </w:t>
      </w:r>
      <w:r w:rsidR="007B74AE">
        <w:rPr>
          <w:lang w:val="en-GB"/>
        </w:rPr>
        <w:t>etc.</w:t>
      </w:r>
      <w:r>
        <w:rPr>
          <w:lang w:val="en-GB"/>
        </w:rPr>
        <w:t>)</w:t>
      </w:r>
      <w:r w:rsidR="00A5523F">
        <w:rPr>
          <w:lang w:val="en-GB"/>
        </w:rPr>
        <w:t xml:space="preserve"> is dependent on how critical the services or data stored on the system is, or </w:t>
      </w:r>
      <w:r w:rsidR="007B74AE">
        <w:rPr>
          <w:lang w:val="en-GB"/>
        </w:rPr>
        <w:t xml:space="preserve">how </w:t>
      </w:r>
      <w:r w:rsidR="00A5523F">
        <w:rPr>
          <w:lang w:val="en-GB"/>
        </w:rPr>
        <w:t>large the user base is</w:t>
      </w:r>
      <w:r>
        <w:rPr>
          <w:lang w:val="en-GB"/>
        </w:rPr>
        <w:t xml:space="preserve">. </w:t>
      </w:r>
      <w:r w:rsidR="00A5523F">
        <w:rPr>
          <w:lang w:val="en-GB"/>
        </w:rPr>
        <w:t xml:space="preserve">Note that the user base is not necessarily only the local users, but also the remote users. </w:t>
      </w:r>
      <w:r w:rsidR="006A176F">
        <w:rPr>
          <w:lang w:val="en-GB"/>
        </w:rPr>
        <w:t>Consult the table below for the choice matrix</w:t>
      </w:r>
      <w:r w:rsidR="00263143">
        <w:rPr>
          <w:lang w:val="en-GB"/>
        </w:rPr>
        <w:t xml:space="preserve"> for </w:t>
      </w:r>
      <w:r w:rsidR="00263143" w:rsidRPr="007E0A41">
        <w:rPr>
          <w:b/>
          <w:lang w:val="en-GB"/>
        </w:rPr>
        <w:t>site deployments</w:t>
      </w:r>
      <w:r w:rsidR="006A176F">
        <w:rPr>
          <w:lang w:val="en-GB"/>
        </w:rPr>
        <w:t>:</w:t>
      </w:r>
    </w:p>
    <w:p w:rsidR="00EA73A8" w:rsidRPr="004D592E" w:rsidRDefault="00EA73A8" w:rsidP="00EA73A8">
      <w:pPr>
        <w:rPr>
          <w:lang w:val="en-GB" w:eastAsia="en-US"/>
        </w:rPr>
      </w:pPr>
    </w:p>
    <w:tbl>
      <w:tblPr>
        <w:tblW w:w="82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068"/>
        <w:gridCol w:w="323"/>
        <w:gridCol w:w="1276"/>
        <w:gridCol w:w="393"/>
        <w:gridCol w:w="1166"/>
        <w:gridCol w:w="535"/>
        <w:gridCol w:w="2300"/>
      </w:tblGrid>
      <w:tr w:rsidR="00626A07" w:rsidRPr="00A2506C" w:rsidTr="00626A07">
        <w:trPr>
          <w:trHeight w:val="445"/>
          <w:jc w:val="center"/>
        </w:trPr>
        <w:tc>
          <w:tcPr>
            <w:tcW w:w="1228" w:type="dxa"/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23F" w:rsidRPr="00A2506C" w:rsidRDefault="00A5523F" w:rsidP="00A2506C">
            <w:pPr>
              <w:jc w:val="center"/>
              <w:rPr>
                <w:rFonts w:ascii="Calibri" w:eastAsiaTheme="minorEastAsia" w:hAnsi="Calibri"/>
                <w:b/>
                <w:color w:val="FFFFFF"/>
                <w:sz w:val="22"/>
                <w:szCs w:val="22"/>
                <w:lang w:val="en-GB"/>
              </w:rPr>
            </w:pPr>
            <w:r w:rsidRPr="00A2506C">
              <w:rPr>
                <w:b/>
                <w:color w:val="FFFFFF"/>
                <w:lang w:val="en-GB"/>
              </w:rPr>
              <w:t>#</w:t>
            </w:r>
            <w:r w:rsidR="00A2506C">
              <w:rPr>
                <w:b/>
                <w:color w:val="FFFFFF"/>
                <w:lang w:val="en-GB"/>
              </w:rPr>
              <w:t>U</w:t>
            </w:r>
            <w:r w:rsidRPr="00A2506C">
              <w:rPr>
                <w:b/>
                <w:color w:val="FFFFFF"/>
                <w:lang w:val="en-GB"/>
              </w:rPr>
              <w:t>sers</w:t>
            </w:r>
          </w:p>
        </w:tc>
        <w:tc>
          <w:tcPr>
            <w:tcW w:w="1391" w:type="dxa"/>
            <w:gridSpan w:val="2"/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23F" w:rsidRPr="00A2506C" w:rsidRDefault="00A5523F" w:rsidP="006A176F">
            <w:pPr>
              <w:jc w:val="center"/>
              <w:rPr>
                <w:rFonts w:ascii="Calibri" w:eastAsiaTheme="minorEastAsia" w:hAnsi="Calibri"/>
                <w:b/>
                <w:color w:val="FFFFFF"/>
                <w:sz w:val="22"/>
                <w:szCs w:val="22"/>
                <w:lang w:val="en-GB"/>
              </w:rPr>
            </w:pPr>
            <w:r w:rsidRPr="00A2506C">
              <w:rPr>
                <w:b/>
                <w:color w:val="FFFFFF"/>
                <w:lang w:val="en-GB"/>
              </w:rPr>
              <w:t>Critical</w:t>
            </w:r>
          </w:p>
        </w:tc>
        <w:tc>
          <w:tcPr>
            <w:tcW w:w="1669" w:type="dxa"/>
            <w:gridSpan w:val="2"/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23F" w:rsidRPr="00A2506C" w:rsidRDefault="006A176F" w:rsidP="006A176F">
            <w:pPr>
              <w:jc w:val="center"/>
              <w:rPr>
                <w:rFonts w:ascii="Calibri" w:eastAsiaTheme="minorEastAsia" w:hAnsi="Calibri"/>
                <w:b/>
                <w:color w:val="FFFFFF"/>
                <w:sz w:val="22"/>
                <w:szCs w:val="22"/>
                <w:lang w:val="en-GB"/>
              </w:rPr>
            </w:pPr>
            <w:r w:rsidRPr="00A2506C">
              <w:rPr>
                <w:b/>
                <w:color w:val="FFFFFF"/>
                <w:lang w:val="en-GB"/>
              </w:rPr>
              <w:t>Time frame</w:t>
            </w:r>
          </w:p>
        </w:tc>
        <w:tc>
          <w:tcPr>
            <w:tcW w:w="1701" w:type="dxa"/>
            <w:gridSpan w:val="2"/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523F" w:rsidRPr="00A2506C" w:rsidRDefault="00B5475B" w:rsidP="00B5475B">
            <w:pPr>
              <w:jc w:val="center"/>
              <w:rPr>
                <w:rFonts w:ascii="Calibri" w:eastAsiaTheme="minorEastAsia" w:hAnsi="Calibri"/>
                <w:b/>
                <w:color w:val="FFFFFF"/>
                <w:sz w:val="22"/>
                <w:szCs w:val="22"/>
                <w:lang w:val="en-GB"/>
              </w:rPr>
            </w:pPr>
            <w:r>
              <w:rPr>
                <w:b/>
                <w:color w:val="FFFFFF"/>
                <w:lang w:val="en-GB"/>
              </w:rPr>
              <w:t>Minimal s</w:t>
            </w:r>
            <w:r w:rsidR="00A5209B" w:rsidRPr="00A2506C">
              <w:rPr>
                <w:b/>
                <w:color w:val="FFFFFF"/>
                <w:lang w:val="en-GB"/>
              </w:rPr>
              <w:t>etup t</w:t>
            </w:r>
            <w:r w:rsidR="00A5523F" w:rsidRPr="00A2506C">
              <w:rPr>
                <w:b/>
                <w:color w:val="FFFFFF"/>
                <w:lang w:val="en-GB"/>
              </w:rPr>
              <w:t>ype</w:t>
            </w:r>
          </w:p>
        </w:tc>
        <w:tc>
          <w:tcPr>
            <w:tcW w:w="2300" w:type="dxa"/>
            <w:shd w:val="clear" w:color="auto" w:fill="000000"/>
            <w:vAlign w:val="center"/>
          </w:tcPr>
          <w:p w:rsidR="00A5523F" w:rsidRPr="00A2506C" w:rsidRDefault="00A5523F" w:rsidP="006A176F">
            <w:pPr>
              <w:tabs>
                <w:tab w:val="left" w:pos="469"/>
              </w:tabs>
              <w:jc w:val="center"/>
              <w:rPr>
                <w:b/>
                <w:lang w:val="en-GB"/>
              </w:rPr>
            </w:pPr>
            <w:r w:rsidRPr="00A2506C">
              <w:rPr>
                <w:b/>
                <w:lang w:val="en-GB"/>
              </w:rPr>
              <w:t>Payment</w:t>
            </w:r>
          </w:p>
        </w:tc>
      </w:tr>
      <w:tr w:rsidR="00626A07" w:rsidRPr="004D592E" w:rsidTr="00626A07">
        <w:trPr>
          <w:trHeight w:val="300"/>
          <w:jc w:val="center"/>
        </w:trPr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6A176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 w:rsidRPr="006A176F">
              <w:rPr>
                <w:color w:val="000000"/>
                <w:lang w:val="en-GB"/>
              </w:rPr>
              <w:t>Any</w:t>
            </w:r>
          </w:p>
        </w:tc>
        <w:tc>
          <w:tcPr>
            <w:tcW w:w="13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6A176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>
              <w:rPr>
                <w:color w:val="000000"/>
                <w:lang w:val="en-GB"/>
              </w:rPr>
              <w:t>Any</w:t>
            </w:r>
          </w:p>
        </w:tc>
        <w:tc>
          <w:tcPr>
            <w:tcW w:w="16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A5523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 w:rsidRPr="004D592E">
              <w:rPr>
                <w:color w:val="000000"/>
                <w:lang w:val="en-GB"/>
              </w:rPr>
              <w:t>Start</w:t>
            </w:r>
            <w:r>
              <w:rPr>
                <w:color w:val="000000"/>
                <w:lang w:val="en-GB"/>
              </w:rPr>
              <w:t xml:space="preserve"> </w:t>
            </w:r>
            <w:r w:rsidRPr="004D592E">
              <w:rPr>
                <w:color w:val="000000"/>
                <w:lang w:val="en-GB"/>
              </w:rPr>
              <w:t>up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A5523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 w:rsidRPr="004D592E">
              <w:rPr>
                <w:color w:val="000000"/>
                <w:lang w:val="en-GB"/>
              </w:rPr>
              <w:t>Small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77921" w:rsidRPr="004D592E" w:rsidRDefault="006A176F" w:rsidP="00B77921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Rental</w:t>
            </w:r>
            <w:r w:rsidR="00B77921">
              <w:rPr>
                <w:color w:val="000000"/>
                <w:lang w:val="en-GB"/>
              </w:rPr>
              <w:t xml:space="preserve"> or Purchase</w:t>
            </w:r>
          </w:p>
        </w:tc>
      </w:tr>
      <w:tr w:rsidR="00626A07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Pr="004D592E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&lt;</w:t>
            </w:r>
            <w:r w:rsidR="007E0A41">
              <w:rPr>
                <w:color w:val="000000"/>
                <w:lang w:val="en-GB"/>
              </w:rPr>
              <w:t>1</w:t>
            </w:r>
            <w:r>
              <w:rPr>
                <w:color w:val="000000"/>
                <w:lang w:val="en-GB"/>
              </w:rPr>
              <w:t>5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No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&lt;3y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Small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965439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Rental or </w:t>
            </w:r>
            <w:r w:rsidR="004547CF">
              <w:rPr>
                <w:color w:val="000000"/>
                <w:lang w:val="en-GB"/>
              </w:rPr>
              <w:t>Purchase</w:t>
            </w:r>
          </w:p>
        </w:tc>
      </w:tr>
      <w:tr w:rsidR="00626A07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Pr="004D592E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&lt;</w:t>
            </w:r>
            <w:r w:rsidR="007E0A41">
              <w:rPr>
                <w:color w:val="000000"/>
                <w:lang w:val="en-GB"/>
              </w:rPr>
              <w:t>1</w:t>
            </w:r>
            <w:r>
              <w:rPr>
                <w:color w:val="000000"/>
                <w:lang w:val="en-GB"/>
              </w:rPr>
              <w:t>5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No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≥3y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Small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4547CF" w:rsidP="00EF47AA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Purchase</w:t>
            </w:r>
          </w:p>
        </w:tc>
      </w:tr>
      <w:tr w:rsidR="00626A07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A5523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 w:rsidRPr="004D592E">
              <w:rPr>
                <w:color w:val="000000"/>
                <w:lang w:val="en-GB"/>
              </w:rPr>
              <w:t>&lt;</w:t>
            </w:r>
            <w:r w:rsidR="007E0A41">
              <w:rPr>
                <w:color w:val="000000"/>
                <w:lang w:val="en-GB"/>
              </w:rPr>
              <w:t>1</w:t>
            </w:r>
            <w:r w:rsidRPr="004D592E">
              <w:rPr>
                <w:color w:val="000000"/>
                <w:lang w:val="en-GB"/>
              </w:rPr>
              <w:t>5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6A176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>
              <w:rPr>
                <w:color w:val="000000"/>
                <w:lang w:val="en-GB"/>
              </w:rPr>
              <w:t>Y</w:t>
            </w:r>
            <w:r w:rsidR="00A5523F" w:rsidRPr="004D592E">
              <w:rPr>
                <w:color w:val="000000"/>
                <w:lang w:val="en-GB"/>
              </w:rPr>
              <w:t>es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Pr="004D592E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>
              <w:rPr>
                <w:color w:val="000000"/>
                <w:lang w:val="en-GB"/>
              </w:rPr>
              <w:t>&lt;</w:t>
            </w:r>
            <w:r w:rsidR="006A176F">
              <w:rPr>
                <w:color w:val="000000"/>
                <w:lang w:val="en-GB"/>
              </w:rPr>
              <w:t>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523F" w:rsidRDefault="00A5523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5523F" w:rsidRDefault="00B77921" w:rsidP="006A176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Rental or Purchase</w:t>
            </w:r>
          </w:p>
        </w:tc>
      </w:tr>
      <w:tr w:rsidR="004547CF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Pr="004D592E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 w:rsidRPr="004D592E">
              <w:rPr>
                <w:color w:val="000000"/>
                <w:lang w:val="en-GB"/>
              </w:rPr>
              <w:t>&lt;</w:t>
            </w:r>
            <w:r w:rsidR="007E0A41">
              <w:rPr>
                <w:color w:val="000000"/>
                <w:lang w:val="en-GB"/>
              </w:rPr>
              <w:t>1</w:t>
            </w:r>
            <w:r w:rsidRPr="004D592E">
              <w:rPr>
                <w:color w:val="000000"/>
                <w:lang w:val="en-GB"/>
              </w:rPr>
              <w:t>5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Pr="004D592E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>
              <w:rPr>
                <w:color w:val="000000"/>
                <w:lang w:val="en-GB"/>
              </w:rPr>
              <w:t>Y</w:t>
            </w:r>
            <w:r w:rsidRPr="004D592E">
              <w:rPr>
                <w:color w:val="000000"/>
                <w:lang w:val="en-GB"/>
              </w:rPr>
              <w:t>es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Pr="004D592E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  <w:lang w:val="en-GB"/>
              </w:rPr>
            </w:pPr>
            <w:r>
              <w:rPr>
                <w:color w:val="000000"/>
                <w:lang w:val="en-GB"/>
              </w:rPr>
              <w:t>≥3y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4547CF" w:rsidP="00EF47A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Purchase</w:t>
            </w:r>
          </w:p>
        </w:tc>
      </w:tr>
      <w:tr w:rsidR="00A2506C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7E0A41" w:rsidP="007E0A41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</w:t>
            </w:r>
            <w:r w:rsidR="004547CF">
              <w:rPr>
                <w:color w:val="000000"/>
              </w:rPr>
              <w:t>5-</w:t>
            </w:r>
            <w:r>
              <w:rPr>
                <w:color w:val="000000"/>
              </w:rPr>
              <w:t>29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&lt;3y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B77921" w:rsidP="004547C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Rental or Purchase</w:t>
            </w:r>
          </w:p>
        </w:tc>
      </w:tr>
      <w:tr w:rsidR="00626A07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7E0A41" w:rsidP="007E0A41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</w:t>
            </w:r>
            <w:r w:rsidR="004547CF">
              <w:rPr>
                <w:color w:val="000000"/>
              </w:rPr>
              <w:t>5-</w:t>
            </w:r>
            <w:r>
              <w:rPr>
                <w:color w:val="000000"/>
              </w:rPr>
              <w:t>29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≥3y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4547CF" w:rsidP="006A176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Purchase</w:t>
            </w:r>
          </w:p>
        </w:tc>
      </w:tr>
      <w:tr w:rsidR="00A2506C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7E0A41" w:rsidP="007E0A41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</w:t>
            </w:r>
            <w:r w:rsidR="004547CF">
              <w:rPr>
                <w:color w:val="000000"/>
              </w:rPr>
              <w:t>5-</w:t>
            </w:r>
            <w:r>
              <w:rPr>
                <w:color w:val="000000"/>
              </w:rPr>
              <w:t>29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&lt;3y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Large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B77921" w:rsidP="00EF47A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Rental or Purchase</w:t>
            </w:r>
          </w:p>
        </w:tc>
      </w:tr>
      <w:tr w:rsidR="00626A07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7E0A41" w:rsidP="007E0A41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</w:t>
            </w:r>
            <w:r w:rsidR="004547CF">
              <w:rPr>
                <w:color w:val="000000"/>
              </w:rPr>
              <w:t>5-</w:t>
            </w:r>
            <w:r>
              <w:rPr>
                <w:color w:val="000000"/>
              </w:rPr>
              <w:t>29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≥3y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Large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4547CF" w:rsidP="006A176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Purchase</w:t>
            </w:r>
          </w:p>
        </w:tc>
      </w:tr>
      <w:tr w:rsidR="00A2506C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7E0A41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≥</w:t>
            </w:r>
            <w:r>
              <w:rPr>
                <w:color w:val="000000"/>
              </w:rPr>
              <w:t>3</w:t>
            </w:r>
            <w:r w:rsidR="004547CF">
              <w:rPr>
                <w:color w:val="000000"/>
              </w:rPr>
              <w:t>0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26A07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Yes</w:t>
            </w:r>
            <w:r w:rsidR="00626A07">
              <w:rPr>
                <w:color w:val="000000"/>
              </w:rPr>
              <w:t xml:space="preserve"> or </w:t>
            </w:r>
            <w:r>
              <w:rPr>
                <w:color w:val="000000"/>
              </w:rPr>
              <w:t>No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&lt;3y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EF47AA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Large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B77921" w:rsidP="00EF47A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Rental or Purchase</w:t>
            </w:r>
          </w:p>
        </w:tc>
      </w:tr>
      <w:tr w:rsidR="00626A07" w:rsidTr="00626A07">
        <w:trPr>
          <w:trHeight w:val="300"/>
          <w:jc w:val="center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7E0A41" w:rsidP="007E0A41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≥3</w:t>
            </w:r>
            <w:r w:rsidR="004547CF">
              <w:rPr>
                <w:color w:val="000000"/>
              </w:rPr>
              <w:t>0</w:t>
            </w:r>
          </w:p>
        </w:tc>
        <w:tc>
          <w:tcPr>
            <w:tcW w:w="13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Y</w:t>
            </w:r>
            <w:r w:rsidR="00626A07">
              <w:rPr>
                <w:color w:val="000000"/>
              </w:rPr>
              <w:t xml:space="preserve">es or </w:t>
            </w:r>
            <w:r>
              <w:rPr>
                <w:color w:val="000000"/>
              </w:rPr>
              <w:t>No</w:t>
            </w:r>
          </w:p>
        </w:tc>
        <w:tc>
          <w:tcPr>
            <w:tcW w:w="1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lang w:val="en-GB"/>
              </w:rPr>
              <w:t>≥3y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547CF" w:rsidRDefault="004547CF" w:rsidP="006A176F">
            <w:pPr>
              <w:jc w:val="center"/>
              <w:rPr>
                <w:rFonts w:ascii="Calibri" w:eastAsiaTheme="minorEastAsia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Large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47CF" w:rsidRDefault="004547CF" w:rsidP="006A176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Purchase</w:t>
            </w:r>
          </w:p>
        </w:tc>
      </w:tr>
      <w:tr w:rsidR="004547CF" w:rsidTr="00626A07">
        <w:trPr>
          <w:trHeight w:val="300"/>
          <w:jc w:val="center"/>
        </w:trPr>
        <w:tc>
          <w:tcPr>
            <w:tcW w:w="12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9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47CF" w:rsidRDefault="004547C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4547CF" w:rsidRDefault="004547C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B6251" w:rsidRDefault="009E346C" w:rsidP="00CB6251">
      <w:pPr>
        <w:rPr>
          <w:lang w:val="en-GB"/>
        </w:rPr>
      </w:pPr>
      <w:r>
        <w:rPr>
          <w:lang w:val="en-GB"/>
        </w:rPr>
        <w:t>Note that “start-</w:t>
      </w:r>
      <w:r w:rsidR="00A5209B">
        <w:rPr>
          <w:lang w:val="en-GB"/>
        </w:rPr>
        <w:t>up” deployments are</w:t>
      </w:r>
      <w:r w:rsidR="000914F5">
        <w:rPr>
          <w:lang w:val="en-GB"/>
        </w:rPr>
        <w:t xml:space="preserve"> by definition</w:t>
      </w:r>
      <w:r w:rsidR="00A5209B">
        <w:rPr>
          <w:lang w:val="en-GB"/>
        </w:rPr>
        <w:t xml:space="preserve"> meant to be</w:t>
      </w:r>
      <w:r w:rsidR="00371DA4">
        <w:rPr>
          <w:lang w:val="en-GB"/>
        </w:rPr>
        <w:t xml:space="preserve"> limited</w:t>
      </w:r>
      <w:r w:rsidR="00A5209B">
        <w:rPr>
          <w:lang w:val="en-GB"/>
        </w:rPr>
        <w:t xml:space="preserve"> in run time. They </w:t>
      </w:r>
      <w:proofErr w:type="gramStart"/>
      <w:r w:rsidR="00A5209B">
        <w:rPr>
          <w:lang w:val="en-GB"/>
        </w:rPr>
        <w:t>should be quickly replaced</w:t>
      </w:r>
      <w:proofErr w:type="gramEnd"/>
      <w:r w:rsidR="00A5209B">
        <w:rPr>
          <w:lang w:val="en-GB"/>
        </w:rPr>
        <w:t xml:space="preserve"> with an appropriately sized setup.</w:t>
      </w:r>
    </w:p>
    <w:p w:rsidR="00B77921" w:rsidRDefault="00B77921" w:rsidP="00CB6251">
      <w:pPr>
        <w:rPr>
          <w:lang w:val="en-GB"/>
        </w:rPr>
      </w:pPr>
    </w:p>
    <w:p w:rsidR="007609C5" w:rsidRDefault="007609C5" w:rsidP="00CB6251">
      <w:pPr>
        <w:rPr>
          <w:lang w:val="en-GB"/>
        </w:rPr>
      </w:pPr>
    </w:p>
    <w:p w:rsidR="00CB6251" w:rsidRDefault="00A5523F" w:rsidP="00CB6251">
      <w:pPr>
        <w:pStyle w:val="Heading1"/>
      </w:pPr>
      <w:bookmarkStart w:id="2" w:name="_Toc449514636"/>
      <w:r>
        <w:t>C</w:t>
      </w:r>
      <w:r w:rsidR="00451681">
        <w:t>ore c</w:t>
      </w:r>
      <w:r>
        <w:t>omponents</w:t>
      </w:r>
      <w:bookmarkEnd w:id="2"/>
    </w:p>
    <w:p w:rsidR="004D592E" w:rsidRPr="004D592E" w:rsidRDefault="00CF70E6" w:rsidP="00CF70E6">
      <w:pPr>
        <w:pStyle w:val="Heading2"/>
        <w:rPr>
          <w:lang w:val="en-US"/>
        </w:rPr>
      </w:pPr>
      <w:bookmarkStart w:id="3" w:name="_Toc449514637"/>
      <w:r>
        <w:rPr>
          <w:lang w:val="en-US"/>
        </w:rPr>
        <w:t>Firewalls</w:t>
      </w:r>
      <w:bookmarkEnd w:id="3"/>
    </w:p>
    <w:p w:rsidR="00786ED4" w:rsidRPr="00786ED4" w:rsidRDefault="00786ED4" w:rsidP="004D592E">
      <w:pPr>
        <w:rPr>
          <w:lang w:val="en-US"/>
        </w:rPr>
      </w:pPr>
      <w:r>
        <w:rPr>
          <w:lang w:val="en-US"/>
        </w:rPr>
        <w:t>Three</w:t>
      </w:r>
      <w:r w:rsidR="004D592E" w:rsidRPr="004D592E">
        <w:rPr>
          <w:lang w:val="en-US"/>
        </w:rPr>
        <w:t xml:space="preserve"> types of firewalls are available within the defined standards: </w:t>
      </w:r>
      <w:r w:rsidRPr="00786ED4">
        <w:rPr>
          <w:lang w:val="en-US"/>
        </w:rPr>
        <w:t>Fortinet FG-80E, Fortinet FG-100E and Fortinet FG-300E</w:t>
      </w:r>
      <w:r>
        <w:rPr>
          <w:lang w:val="en-US"/>
        </w:rPr>
        <w:t>.</w:t>
      </w:r>
      <w:r w:rsidRPr="00786ED4">
        <w:rPr>
          <w:lang w:val="en-US"/>
        </w:rPr>
        <w:t xml:space="preserve"> </w:t>
      </w:r>
    </w:p>
    <w:p w:rsidR="00786ED4" w:rsidRDefault="00786ED4" w:rsidP="004D592E">
      <w:pPr>
        <w:rPr>
          <w:color w:val="1F497D"/>
          <w:lang w:val="en-GB"/>
        </w:rPr>
      </w:pPr>
    </w:p>
    <w:p w:rsidR="00786ED4" w:rsidRDefault="004D592E" w:rsidP="004D592E">
      <w:pPr>
        <w:rPr>
          <w:lang w:val="en-US"/>
        </w:rPr>
      </w:pPr>
      <w:r w:rsidRPr="004D592E">
        <w:rPr>
          <w:lang w:val="en-US"/>
        </w:rPr>
        <w:t xml:space="preserve">Large deployments will </w:t>
      </w:r>
      <w:r w:rsidR="00786ED4">
        <w:rPr>
          <w:lang w:val="en-US"/>
        </w:rPr>
        <w:t xml:space="preserve">have a redundant FG-100E, or a FG-300E when URL filtering is important, in the last option system engineers </w:t>
      </w:r>
      <w:proofErr w:type="gramStart"/>
      <w:r w:rsidR="006D3087">
        <w:rPr>
          <w:lang w:val="en-US"/>
        </w:rPr>
        <w:t>will</w:t>
      </w:r>
      <w:r w:rsidR="00786ED4">
        <w:rPr>
          <w:lang w:val="en-US"/>
        </w:rPr>
        <w:t xml:space="preserve"> be consulted</w:t>
      </w:r>
      <w:proofErr w:type="gramEnd"/>
      <w:r w:rsidR="00786ED4">
        <w:rPr>
          <w:lang w:val="en-US"/>
        </w:rPr>
        <w:t xml:space="preserve"> first.</w:t>
      </w:r>
    </w:p>
    <w:p w:rsidR="009E346C" w:rsidRPr="004D592E" w:rsidRDefault="009E346C" w:rsidP="004D592E">
      <w:pPr>
        <w:rPr>
          <w:lang w:val="en-US"/>
        </w:rPr>
      </w:pPr>
      <w:r w:rsidRPr="004D592E">
        <w:rPr>
          <w:lang w:val="en-US"/>
        </w:rPr>
        <w:t>Medium &amp; small</w:t>
      </w:r>
      <w:r>
        <w:rPr>
          <w:lang w:val="en-US"/>
        </w:rPr>
        <w:t xml:space="preserve"> deployments on board of vesse</w:t>
      </w:r>
      <w:r w:rsidR="00786ED4">
        <w:rPr>
          <w:lang w:val="en-US"/>
        </w:rPr>
        <w:t>ls will always have a redundant FG-100E</w:t>
      </w:r>
      <w:r>
        <w:rPr>
          <w:lang w:val="en-US"/>
        </w:rPr>
        <w:t>.</w:t>
      </w:r>
    </w:p>
    <w:p w:rsidR="004D592E" w:rsidRDefault="004D592E" w:rsidP="004D592E">
      <w:pPr>
        <w:rPr>
          <w:lang w:val="en-US"/>
        </w:rPr>
      </w:pPr>
      <w:r w:rsidRPr="004D592E">
        <w:rPr>
          <w:lang w:val="en-US"/>
        </w:rPr>
        <w:t>Medium &amp; small</w:t>
      </w:r>
      <w:r w:rsidR="003926EC">
        <w:rPr>
          <w:lang w:val="en-US"/>
        </w:rPr>
        <w:t xml:space="preserve"> deployments</w:t>
      </w:r>
      <w:r w:rsidR="009E346C">
        <w:rPr>
          <w:lang w:val="en-US"/>
        </w:rPr>
        <w:t xml:space="preserve"> on land (sites, offices, </w:t>
      </w:r>
      <w:proofErr w:type="gramStart"/>
      <w:r w:rsidR="009E346C">
        <w:rPr>
          <w:lang w:val="en-US"/>
        </w:rPr>
        <w:t>workshops,</w:t>
      </w:r>
      <w:r w:rsidR="006D4D55">
        <w:rPr>
          <w:lang w:val="en-US"/>
        </w:rPr>
        <w:t xml:space="preserve"> </w:t>
      </w:r>
      <w:r w:rsidR="009E346C">
        <w:rPr>
          <w:lang w:val="en-US"/>
        </w:rPr>
        <w:t>...)</w:t>
      </w:r>
      <w:proofErr w:type="gramEnd"/>
      <w:r w:rsidR="003926EC">
        <w:rPr>
          <w:lang w:val="en-US"/>
        </w:rPr>
        <w:t xml:space="preserve"> will always have a standalone</w:t>
      </w:r>
      <w:r w:rsidR="00786ED4">
        <w:rPr>
          <w:lang w:val="en-US"/>
        </w:rPr>
        <w:t xml:space="preserve"> FG-100E</w:t>
      </w:r>
      <w:r w:rsidRPr="004D592E">
        <w:rPr>
          <w:lang w:val="en-US"/>
        </w:rPr>
        <w:t>.</w:t>
      </w:r>
    </w:p>
    <w:p w:rsidR="004D592E" w:rsidRPr="004D592E" w:rsidRDefault="00786ED4" w:rsidP="004D592E">
      <w:pPr>
        <w:rPr>
          <w:lang w:val="en-US"/>
        </w:rPr>
      </w:pPr>
      <w:r>
        <w:rPr>
          <w:lang w:val="en-US"/>
        </w:rPr>
        <w:t>Small setup boxes will always have a FG-80E.</w:t>
      </w:r>
    </w:p>
    <w:p w:rsidR="004D592E" w:rsidRPr="004D592E" w:rsidRDefault="00CF70E6" w:rsidP="00CF70E6">
      <w:pPr>
        <w:pStyle w:val="Heading2"/>
        <w:rPr>
          <w:lang w:val="en-US"/>
        </w:rPr>
      </w:pPr>
      <w:bookmarkStart w:id="4" w:name="_Toc449514638"/>
      <w:r>
        <w:rPr>
          <w:lang w:val="en-US"/>
        </w:rPr>
        <w:t>Switches</w:t>
      </w:r>
      <w:bookmarkEnd w:id="4"/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>Four types of switches are available within the defined standards: Juniper EX3300-48T</w:t>
      </w:r>
      <w:r w:rsidR="00455D34">
        <w:rPr>
          <w:lang w:val="en-US"/>
        </w:rPr>
        <w:t xml:space="preserve">, </w:t>
      </w:r>
      <w:r w:rsidR="00455D34" w:rsidRPr="004D592E">
        <w:rPr>
          <w:lang w:val="en-US"/>
        </w:rPr>
        <w:t>EX3300-48</w:t>
      </w:r>
      <w:r w:rsidR="00455D34">
        <w:rPr>
          <w:lang w:val="en-US"/>
        </w:rPr>
        <w:t>P</w:t>
      </w:r>
      <w:r w:rsidRPr="004D592E">
        <w:rPr>
          <w:lang w:val="en-US"/>
        </w:rPr>
        <w:t>, EX3300-24T, EX2200-48T &amp; EX2200-C-12T.</w:t>
      </w:r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>Large &amp; medium deployments will primarily make use of the EX3300-48T and exceptionally of the EX3300-24T. The small EX2200-C-12T switches</w:t>
      </w:r>
      <w:r w:rsidR="004D1999">
        <w:rPr>
          <w:lang w:val="en-US"/>
        </w:rPr>
        <w:t xml:space="preserve"> are</w:t>
      </w:r>
      <w:r w:rsidRPr="004D592E">
        <w:rPr>
          <w:lang w:val="en-US"/>
        </w:rPr>
        <w:t xml:space="preserve"> a stopgap </w:t>
      </w:r>
      <w:proofErr w:type="gramStart"/>
      <w:r w:rsidRPr="004D592E">
        <w:rPr>
          <w:lang w:val="en-US"/>
        </w:rPr>
        <w:t>measure which</w:t>
      </w:r>
      <w:proofErr w:type="gramEnd"/>
      <w:r w:rsidRPr="004D592E">
        <w:rPr>
          <w:lang w:val="en-US"/>
        </w:rPr>
        <w:t xml:space="preserve"> can be used in rooms where there are not enough </w:t>
      </w:r>
      <w:proofErr w:type="spellStart"/>
      <w:r w:rsidRPr="004D592E">
        <w:rPr>
          <w:lang w:val="en-US"/>
        </w:rPr>
        <w:t>patchings</w:t>
      </w:r>
      <w:proofErr w:type="spellEnd"/>
      <w:r w:rsidRPr="004D592E">
        <w:rPr>
          <w:lang w:val="en-US"/>
        </w:rPr>
        <w:t xml:space="preserve"> available, but where a larger switch would be overkill. </w:t>
      </w:r>
    </w:p>
    <w:p w:rsidR="004D592E" w:rsidRDefault="004D592E" w:rsidP="004D592E">
      <w:pPr>
        <w:rPr>
          <w:lang w:val="en-US"/>
        </w:rPr>
      </w:pPr>
      <w:r w:rsidRPr="004D592E">
        <w:rPr>
          <w:lang w:val="en-US"/>
        </w:rPr>
        <w:t xml:space="preserve">Small </w:t>
      </w:r>
      <w:r w:rsidR="009E346C">
        <w:rPr>
          <w:lang w:val="en-US"/>
        </w:rPr>
        <w:t xml:space="preserve">&amp; medium </w:t>
      </w:r>
      <w:r w:rsidRPr="004D592E">
        <w:rPr>
          <w:lang w:val="en-US"/>
        </w:rPr>
        <w:t xml:space="preserve">setups can utilize all four distinct switch types. However, the EX2200-48T switches </w:t>
      </w:r>
      <w:proofErr w:type="gramStart"/>
      <w:r w:rsidRPr="004D592E">
        <w:rPr>
          <w:lang w:val="en-US"/>
        </w:rPr>
        <w:t>are</w:t>
      </w:r>
      <w:r w:rsidR="009E346C">
        <w:rPr>
          <w:lang w:val="en-US"/>
        </w:rPr>
        <w:t xml:space="preserve"> exclusively</w:t>
      </w:r>
      <w:r w:rsidRPr="004D592E">
        <w:rPr>
          <w:lang w:val="en-US"/>
        </w:rPr>
        <w:t xml:space="preserve"> meant</w:t>
      </w:r>
      <w:proofErr w:type="gramEnd"/>
      <w:r w:rsidRPr="004D592E">
        <w:rPr>
          <w:lang w:val="en-US"/>
        </w:rPr>
        <w:t xml:space="preserve"> for deployment in offices or workshops where the IT setup is present in the same room as the office workers</w:t>
      </w:r>
      <w:r w:rsidR="009E346C">
        <w:rPr>
          <w:lang w:val="en-US"/>
        </w:rPr>
        <w:t xml:space="preserve"> and where noise complaints are to be expected</w:t>
      </w:r>
      <w:r w:rsidRPr="004D592E">
        <w:rPr>
          <w:lang w:val="en-US"/>
        </w:rPr>
        <w:t xml:space="preserve">. In all other </w:t>
      </w:r>
      <w:proofErr w:type="gramStart"/>
      <w:r w:rsidRPr="004D592E">
        <w:rPr>
          <w:lang w:val="en-US"/>
        </w:rPr>
        <w:t>locations</w:t>
      </w:r>
      <w:proofErr w:type="gramEnd"/>
      <w:r w:rsidRPr="004D592E">
        <w:rPr>
          <w:lang w:val="en-US"/>
        </w:rPr>
        <w:t xml:space="preserve"> the EX3300 series switches should be used. This means that</w:t>
      </w:r>
      <w:r w:rsidR="009E346C">
        <w:rPr>
          <w:lang w:val="en-US"/>
        </w:rPr>
        <w:t xml:space="preserve"> </w:t>
      </w:r>
      <w:proofErr w:type="gramStart"/>
      <w:r w:rsidR="009E346C">
        <w:rPr>
          <w:lang w:val="en-US"/>
        </w:rPr>
        <w:t>an</w:t>
      </w:r>
      <w:proofErr w:type="gramEnd"/>
      <w:r w:rsidR="009E346C">
        <w:rPr>
          <w:lang w:val="en-US"/>
        </w:rPr>
        <w:t xml:space="preserve"> small or medium setup on board of vessels or floating equipment should never use</w:t>
      </w:r>
      <w:r w:rsidRPr="004D592E">
        <w:rPr>
          <w:lang w:val="en-US"/>
        </w:rPr>
        <w:t xml:space="preserve"> EX2200-48T switches</w:t>
      </w:r>
      <w:r w:rsidR="009E346C">
        <w:rPr>
          <w:lang w:val="en-US"/>
        </w:rPr>
        <w:t>, even if noise complaints are to be expected</w:t>
      </w:r>
      <w:r w:rsidRPr="004D592E">
        <w:rPr>
          <w:lang w:val="en-US"/>
        </w:rPr>
        <w:t>.</w:t>
      </w:r>
    </w:p>
    <w:p w:rsidR="009D1393" w:rsidRDefault="009D1393" w:rsidP="004D592E">
      <w:pPr>
        <w:rPr>
          <w:lang w:val="en-US"/>
        </w:rPr>
      </w:pPr>
    </w:p>
    <w:p w:rsidR="00004DDA" w:rsidRDefault="00051549" w:rsidP="004D592E">
      <w:pPr>
        <w:rPr>
          <w:lang w:val="en-US"/>
        </w:rPr>
      </w:pPr>
      <w:r w:rsidRPr="004D592E">
        <w:rPr>
          <w:lang w:val="en-US"/>
        </w:rPr>
        <w:t>EX3300-48</w:t>
      </w:r>
      <w:r>
        <w:rPr>
          <w:lang w:val="en-US"/>
        </w:rPr>
        <w:t xml:space="preserve">P switches </w:t>
      </w:r>
      <w:proofErr w:type="gramStart"/>
      <w:r>
        <w:rPr>
          <w:lang w:val="en-US"/>
        </w:rPr>
        <w:t>are only used</w:t>
      </w:r>
      <w:proofErr w:type="gramEnd"/>
      <w:r>
        <w:rPr>
          <w:lang w:val="en-US"/>
        </w:rPr>
        <w:t xml:space="preserve"> to power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access points through </w:t>
      </w:r>
      <w:proofErr w:type="spellStart"/>
      <w:r>
        <w:rPr>
          <w:lang w:val="en-US"/>
        </w:rPr>
        <w:t>PoE</w:t>
      </w:r>
      <w:proofErr w:type="spellEnd"/>
      <w:r>
        <w:rPr>
          <w:lang w:val="en-US"/>
        </w:rPr>
        <w:t>+</w:t>
      </w:r>
      <w:r w:rsidR="003926EC">
        <w:rPr>
          <w:lang w:val="en-US"/>
        </w:rPr>
        <w:t xml:space="preserve">, in setups where no power adaptors can be used to provide power. </w:t>
      </w:r>
      <w:r w:rsidR="00004DDA">
        <w:rPr>
          <w:lang w:val="en-US"/>
        </w:rPr>
        <w:t xml:space="preserve">These switches </w:t>
      </w:r>
      <w:proofErr w:type="gramStart"/>
      <w:r w:rsidR="00004DDA">
        <w:rPr>
          <w:lang w:val="en-US"/>
        </w:rPr>
        <w:t>are never used</w:t>
      </w:r>
      <w:proofErr w:type="gramEnd"/>
      <w:r w:rsidR="00004DDA">
        <w:rPr>
          <w:lang w:val="en-US"/>
        </w:rPr>
        <w:t xml:space="preserve"> as the two first switches of a stack, and are added to the two first EX3300-48T used to connect the IT hardware.</w:t>
      </w:r>
    </w:p>
    <w:p w:rsidR="00051549" w:rsidRDefault="003926EC" w:rsidP="004D592E">
      <w:pPr>
        <w:rPr>
          <w:lang w:val="en-US"/>
        </w:rPr>
      </w:pPr>
      <w:r>
        <w:rPr>
          <w:lang w:val="en-US"/>
        </w:rPr>
        <w:t>Generally, two</w:t>
      </w:r>
      <w:r w:rsidR="00004DDA">
        <w:rPr>
          <w:lang w:val="en-US"/>
        </w:rPr>
        <w:t xml:space="preserve"> EX3300-48P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will be issued</w:t>
      </w:r>
      <w:proofErr w:type="gramEnd"/>
      <w:r>
        <w:rPr>
          <w:lang w:val="en-US"/>
        </w:rPr>
        <w:t xml:space="preserve"> to ships with</w:t>
      </w:r>
      <w:r w:rsidR="00602D48">
        <w:rPr>
          <w:lang w:val="en-US"/>
        </w:rPr>
        <w:t xml:space="preserve"> HP</w:t>
      </w:r>
      <w:r>
        <w:rPr>
          <w:lang w:val="en-US"/>
        </w:rPr>
        <w:t xml:space="preserve"> </w:t>
      </w:r>
      <w:r w:rsidR="00602D48">
        <w:rPr>
          <w:lang w:val="en-US"/>
        </w:rPr>
        <w:t>W-</w:t>
      </w:r>
      <w:r>
        <w:rPr>
          <w:lang w:val="en-US"/>
        </w:rPr>
        <w:t>IAP access points</w:t>
      </w:r>
      <w:r w:rsidR="00051549">
        <w:rPr>
          <w:lang w:val="en-US"/>
        </w:rPr>
        <w:t>.</w:t>
      </w:r>
      <w:r>
        <w:rPr>
          <w:lang w:val="en-US"/>
        </w:rPr>
        <w:t xml:space="preserve"> For sites, </w:t>
      </w:r>
      <w:proofErr w:type="spellStart"/>
      <w:r>
        <w:rPr>
          <w:lang w:val="en-US"/>
        </w:rPr>
        <w:t>PoE</w:t>
      </w:r>
      <w:proofErr w:type="spellEnd"/>
      <w:r>
        <w:rPr>
          <w:lang w:val="en-US"/>
        </w:rPr>
        <w:t xml:space="preserve">+ switches </w:t>
      </w:r>
      <w:proofErr w:type="gramStart"/>
      <w:r>
        <w:rPr>
          <w:lang w:val="en-US"/>
        </w:rPr>
        <w:t>are generally only used</w:t>
      </w:r>
      <w:proofErr w:type="gramEnd"/>
      <w:r>
        <w:rPr>
          <w:lang w:val="en-US"/>
        </w:rPr>
        <w:t xml:space="preserve"> as a last resort</w:t>
      </w:r>
      <w:r w:rsidR="00C42744">
        <w:rPr>
          <w:lang w:val="en-US"/>
        </w:rPr>
        <w:t>, and using adapters are preferred as a cost saving measure</w:t>
      </w:r>
      <w:r>
        <w:rPr>
          <w:lang w:val="en-US"/>
        </w:rPr>
        <w:t>.</w:t>
      </w:r>
    </w:p>
    <w:p w:rsidR="00051549" w:rsidRDefault="00051549" w:rsidP="004D592E">
      <w:pPr>
        <w:rPr>
          <w:lang w:val="en-US"/>
        </w:rPr>
      </w:pPr>
    </w:p>
    <w:p w:rsidR="009D1393" w:rsidRPr="004D592E" w:rsidRDefault="009D1393" w:rsidP="004D592E">
      <w:pPr>
        <w:rPr>
          <w:lang w:val="en-US"/>
        </w:rPr>
      </w:pPr>
      <w:r>
        <w:rPr>
          <w:lang w:val="en-US"/>
        </w:rPr>
        <w:t xml:space="preserve">For all vessel setups, one spare </w:t>
      </w:r>
      <w:r w:rsidR="003926EC">
        <w:rPr>
          <w:lang w:val="en-US"/>
        </w:rPr>
        <w:t>(non-</w:t>
      </w:r>
      <w:proofErr w:type="spellStart"/>
      <w:r w:rsidR="003926EC">
        <w:rPr>
          <w:lang w:val="en-US"/>
        </w:rPr>
        <w:t>PoE</w:t>
      </w:r>
      <w:proofErr w:type="spellEnd"/>
      <w:r w:rsidR="003926EC">
        <w:rPr>
          <w:lang w:val="en-US"/>
        </w:rPr>
        <w:t xml:space="preserve">) </w:t>
      </w:r>
      <w:r>
        <w:rPr>
          <w:lang w:val="en-US"/>
        </w:rPr>
        <w:t xml:space="preserve">switch </w:t>
      </w:r>
      <w:proofErr w:type="gramStart"/>
      <w:r>
        <w:rPr>
          <w:lang w:val="en-US"/>
        </w:rPr>
        <w:t>will be shipped and kept in storage to replace a failed switch</w:t>
      </w:r>
      <w:proofErr w:type="gramEnd"/>
      <w:r>
        <w:rPr>
          <w:lang w:val="en-US"/>
        </w:rPr>
        <w:t>.</w:t>
      </w:r>
    </w:p>
    <w:p w:rsidR="004D592E" w:rsidRPr="004D592E" w:rsidRDefault="004D592E" w:rsidP="004D592E">
      <w:pPr>
        <w:rPr>
          <w:lang w:val="en-US"/>
        </w:rPr>
      </w:pPr>
    </w:p>
    <w:p w:rsidR="004D592E" w:rsidRPr="004D592E" w:rsidRDefault="00CF70E6" w:rsidP="00CF70E6">
      <w:pPr>
        <w:pStyle w:val="Heading2"/>
        <w:rPr>
          <w:lang w:val="en-US"/>
        </w:rPr>
      </w:pPr>
      <w:bookmarkStart w:id="5" w:name="_Toc449514639"/>
      <w:r>
        <w:rPr>
          <w:lang w:val="en-US"/>
        </w:rPr>
        <w:lastRenderedPageBreak/>
        <w:t>Virtualization platform</w:t>
      </w:r>
      <w:bookmarkEnd w:id="5"/>
    </w:p>
    <w:p w:rsidR="004D592E" w:rsidRPr="004D592E" w:rsidRDefault="00BD04DE" w:rsidP="004D592E">
      <w:pPr>
        <w:rPr>
          <w:lang w:val="en-US"/>
        </w:rPr>
      </w:pPr>
      <w:r>
        <w:rPr>
          <w:lang w:val="en-US"/>
        </w:rPr>
        <w:t>Three</w:t>
      </w:r>
      <w:r w:rsidR="004D592E" w:rsidRPr="004D592E">
        <w:rPr>
          <w:lang w:val="en-US"/>
        </w:rPr>
        <w:t xml:space="preserve"> types of </w:t>
      </w:r>
      <w:r w:rsidR="0023093E" w:rsidRPr="004D592E">
        <w:rPr>
          <w:lang w:val="en-US"/>
        </w:rPr>
        <w:t>virtualization</w:t>
      </w:r>
      <w:r w:rsidR="004D592E" w:rsidRPr="004D592E">
        <w:rPr>
          <w:lang w:val="en-US"/>
        </w:rPr>
        <w:t xml:space="preserve"> platforms are the Dell VRTX </w:t>
      </w:r>
      <w:r w:rsidR="007F65E8">
        <w:rPr>
          <w:lang w:val="en-US"/>
        </w:rPr>
        <w:t xml:space="preserve">chassis </w:t>
      </w:r>
      <w:r w:rsidR="004D592E" w:rsidRPr="004D592E">
        <w:rPr>
          <w:lang w:val="en-US"/>
        </w:rPr>
        <w:t>with M630 blades</w:t>
      </w:r>
      <w:r>
        <w:rPr>
          <w:lang w:val="en-US"/>
        </w:rPr>
        <w:t>,</w:t>
      </w:r>
      <w:r w:rsidR="004D592E" w:rsidRPr="004D592E">
        <w:rPr>
          <w:lang w:val="en-US"/>
        </w:rPr>
        <w:t xml:space="preserve"> the </w:t>
      </w:r>
      <w:r w:rsidR="007F65E8" w:rsidRPr="007F65E8">
        <w:rPr>
          <w:lang w:val="en-US"/>
        </w:rPr>
        <w:t xml:space="preserve">Dell R430 </w:t>
      </w:r>
      <w:r>
        <w:rPr>
          <w:lang w:val="en-US"/>
        </w:rPr>
        <w:t>and the HP DL20</w:t>
      </w:r>
      <w:r w:rsidR="004D592E" w:rsidRPr="004D592E">
        <w:rPr>
          <w:lang w:val="en-US"/>
        </w:rPr>
        <w:t>.</w:t>
      </w:r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 xml:space="preserve">Large deployments always utilize the Dell VRTX with </w:t>
      </w:r>
      <w:proofErr w:type="gramStart"/>
      <w:r w:rsidRPr="004D592E">
        <w:rPr>
          <w:lang w:val="en-US"/>
        </w:rPr>
        <w:t>3</w:t>
      </w:r>
      <w:proofErr w:type="gramEnd"/>
      <w:r w:rsidRPr="004D592E">
        <w:rPr>
          <w:lang w:val="en-US"/>
        </w:rPr>
        <w:t xml:space="preserve"> blade servers, while the medium deployments use the Dell VRTX with only 2 blade servers.</w:t>
      </w:r>
      <w:r w:rsidR="008D0756">
        <w:rPr>
          <w:lang w:val="en-US"/>
        </w:rPr>
        <w:t xml:space="preserve"> The standard amount of disks in the VRTX is 16 600GB disks (14 disks in a RAID6 array with 2 additional hot spares), however for large offshore vessels, a full 25 disks can be preinstalled (2x 12 disks in RAID6 arrays and </w:t>
      </w:r>
      <w:r w:rsidR="007C3B20">
        <w:rPr>
          <w:lang w:val="en-US"/>
        </w:rPr>
        <w:t>one</w:t>
      </w:r>
      <w:r w:rsidR="008D0756">
        <w:rPr>
          <w:lang w:val="en-US"/>
        </w:rPr>
        <w:t xml:space="preserve"> hot spare).</w:t>
      </w:r>
    </w:p>
    <w:p w:rsidR="004D592E" w:rsidRDefault="004D592E" w:rsidP="004D592E">
      <w:pPr>
        <w:rPr>
          <w:lang w:val="en-US"/>
        </w:rPr>
      </w:pPr>
      <w:r w:rsidRPr="007F65E8">
        <w:rPr>
          <w:lang w:val="en-US"/>
        </w:rPr>
        <w:t xml:space="preserve">Small deployments use the </w:t>
      </w:r>
      <w:r w:rsidR="007F65E8">
        <w:rPr>
          <w:lang w:val="en-US"/>
        </w:rPr>
        <w:t>Dell R430</w:t>
      </w:r>
      <w:r w:rsidR="00D1726A" w:rsidRPr="007F65E8">
        <w:rPr>
          <w:lang w:val="en-US"/>
        </w:rPr>
        <w:t xml:space="preserve"> with </w:t>
      </w:r>
      <w:proofErr w:type="gramStart"/>
      <w:r w:rsidR="007F65E8">
        <w:rPr>
          <w:lang w:val="en-US"/>
        </w:rPr>
        <w:t>8</w:t>
      </w:r>
      <w:proofErr w:type="gramEnd"/>
      <w:r w:rsidR="00D1726A" w:rsidRPr="007F65E8">
        <w:rPr>
          <w:lang w:val="en-US"/>
        </w:rPr>
        <w:t xml:space="preserve"> </w:t>
      </w:r>
      <w:r w:rsidR="00C52A3B">
        <w:rPr>
          <w:lang w:val="en-US"/>
        </w:rPr>
        <w:t>1.2T</w:t>
      </w:r>
      <w:r w:rsidR="00D1726A" w:rsidRPr="007F65E8">
        <w:rPr>
          <w:lang w:val="en-US"/>
        </w:rPr>
        <w:t>B disks installed</w:t>
      </w:r>
      <w:r w:rsidRPr="007F65E8">
        <w:rPr>
          <w:lang w:val="en-US"/>
        </w:rPr>
        <w:t>.</w:t>
      </w:r>
    </w:p>
    <w:p w:rsidR="00BD04DE" w:rsidRPr="007F65E8" w:rsidRDefault="00BD04DE" w:rsidP="004D592E">
      <w:pPr>
        <w:rPr>
          <w:lang w:val="en-US"/>
        </w:rPr>
      </w:pPr>
      <w:r>
        <w:rPr>
          <w:lang w:val="en-US"/>
        </w:rPr>
        <w:t xml:space="preserve">Small vessels with maximum </w:t>
      </w:r>
      <w:r w:rsidR="007C3B20">
        <w:rPr>
          <w:lang w:val="en-US"/>
        </w:rPr>
        <w:t>two</w:t>
      </w:r>
      <w:r>
        <w:rPr>
          <w:lang w:val="en-US"/>
        </w:rPr>
        <w:t xml:space="preserve"> PC’s use the HP DL20 setup.</w:t>
      </w:r>
    </w:p>
    <w:p w:rsidR="004D592E" w:rsidRPr="004D592E" w:rsidRDefault="004D592E" w:rsidP="004D592E">
      <w:pPr>
        <w:rPr>
          <w:lang w:val="en-US"/>
        </w:rPr>
      </w:pPr>
    </w:p>
    <w:p w:rsidR="004D592E" w:rsidRPr="004D592E" w:rsidRDefault="00CF70E6" w:rsidP="00CF70E6">
      <w:pPr>
        <w:pStyle w:val="Heading2"/>
        <w:rPr>
          <w:lang w:val="en-US"/>
        </w:rPr>
      </w:pPr>
      <w:bookmarkStart w:id="6" w:name="_Toc449514640"/>
      <w:r>
        <w:rPr>
          <w:lang w:val="en-US"/>
        </w:rPr>
        <w:t>Backup storage</w:t>
      </w:r>
      <w:bookmarkEnd w:id="6"/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 xml:space="preserve">Two main types of </w:t>
      </w:r>
      <w:proofErr w:type="spellStart"/>
      <w:r w:rsidRPr="004D592E">
        <w:rPr>
          <w:lang w:val="en-US"/>
        </w:rPr>
        <w:t>NASes</w:t>
      </w:r>
      <w:proofErr w:type="spellEnd"/>
      <w:r w:rsidRPr="004D592E">
        <w:rPr>
          <w:lang w:val="en-US"/>
        </w:rPr>
        <w:t xml:space="preserve"> are available within the defined standards: Synology RS815+ (rack) &amp; DS1515+ (desktop).</w:t>
      </w:r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>Large</w:t>
      </w:r>
      <w:r w:rsidR="00134FC1">
        <w:rPr>
          <w:lang w:val="en-US"/>
        </w:rPr>
        <w:t>,</w:t>
      </w:r>
      <w:r w:rsidRPr="004D592E">
        <w:rPr>
          <w:lang w:val="en-US"/>
        </w:rPr>
        <w:t xml:space="preserve"> medium </w:t>
      </w:r>
      <w:r w:rsidR="00134FC1">
        <w:rPr>
          <w:lang w:val="en-US"/>
        </w:rPr>
        <w:t xml:space="preserve">&amp; small R430 </w:t>
      </w:r>
      <w:r w:rsidRPr="004D592E">
        <w:rPr>
          <w:lang w:val="en-US"/>
        </w:rPr>
        <w:t xml:space="preserve">deployments will always have a redundant (mirrored) </w:t>
      </w:r>
      <w:proofErr w:type="spellStart"/>
      <w:r w:rsidRPr="004D592E">
        <w:rPr>
          <w:lang w:val="en-US"/>
        </w:rPr>
        <w:t>NASes</w:t>
      </w:r>
      <w:proofErr w:type="spellEnd"/>
      <w:r w:rsidRPr="004D592E">
        <w:rPr>
          <w:lang w:val="en-US"/>
        </w:rPr>
        <w:t xml:space="preserve">, preferably </w:t>
      </w:r>
      <w:proofErr w:type="spellStart"/>
      <w:r w:rsidRPr="004D592E">
        <w:rPr>
          <w:lang w:val="en-US"/>
        </w:rPr>
        <w:t>rackmountable</w:t>
      </w:r>
      <w:proofErr w:type="spellEnd"/>
      <w:r w:rsidRPr="004D592E">
        <w:rPr>
          <w:lang w:val="en-US"/>
        </w:rPr>
        <w:t xml:space="preserve"> ones. Where possible, use the latest revision in stock.</w:t>
      </w:r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>Small</w:t>
      </w:r>
      <w:r w:rsidR="00134FC1">
        <w:rPr>
          <w:lang w:val="en-US"/>
        </w:rPr>
        <w:t xml:space="preserve"> DL20</w:t>
      </w:r>
      <w:r w:rsidRPr="004D592E">
        <w:rPr>
          <w:lang w:val="en-US"/>
        </w:rPr>
        <w:t xml:space="preserve"> deployments will have a single NAS. </w:t>
      </w:r>
    </w:p>
    <w:p w:rsidR="004D592E" w:rsidRPr="004D592E" w:rsidRDefault="00CF70E6" w:rsidP="00CF70E6">
      <w:pPr>
        <w:pStyle w:val="Heading2"/>
        <w:rPr>
          <w:lang w:val="en-US"/>
        </w:rPr>
      </w:pPr>
      <w:bookmarkStart w:id="7" w:name="_Toc449514641"/>
      <w:r>
        <w:rPr>
          <w:lang w:val="en-US"/>
        </w:rPr>
        <w:t>UPS</w:t>
      </w:r>
      <w:bookmarkEnd w:id="7"/>
    </w:p>
    <w:p w:rsidR="004D592E" w:rsidRPr="004D592E" w:rsidRDefault="006E08E1" w:rsidP="004D592E">
      <w:pPr>
        <w:rPr>
          <w:lang w:val="en-US"/>
        </w:rPr>
      </w:pPr>
      <w:r>
        <w:rPr>
          <w:lang w:val="en-US"/>
        </w:rPr>
        <w:t>Four</w:t>
      </w:r>
      <w:r w:rsidR="004D592E" w:rsidRPr="004D592E">
        <w:rPr>
          <w:lang w:val="en-US"/>
        </w:rPr>
        <w:t xml:space="preserve"> main types of </w:t>
      </w:r>
      <w:proofErr w:type="spellStart"/>
      <w:r w:rsidR="004D592E" w:rsidRPr="004D592E">
        <w:rPr>
          <w:lang w:val="en-US"/>
        </w:rPr>
        <w:t>UPSes</w:t>
      </w:r>
      <w:proofErr w:type="spellEnd"/>
      <w:r w:rsidR="004D592E" w:rsidRPr="004D592E">
        <w:rPr>
          <w:lang w:val="en-US"/>
        </w:rPr>
        <w:t xml:space="preserve"> are available within the defined standards: APC 6kVA, 3kVA</w:t>
      </w:r>
      <w:r>
        <w:rPr>
          <w:lang w:val="en-US"/>
        </w:rPr>
        <w:t>,</w:t>
      </w:r>
      <w:r w:rsidR="004D592E" w:rsidRPr="004D592E">
        <w:rPr>
          <w:lang w:val="en-US"/>
        </w:rPr>
        <w:t xml:space="preserve"> 2</w:t>
      </w:r>
      <w:r w:rsidR="002A4217">
        <w:rPr>
          <w:lang w:val="en-US"/>
        </w:rPr>
        <w:t>.2</w:t>
      </w:r>
      <w:r w:rsidR="004D592E" w:rsidRPr="004D592E">
        <w:rPr>
          <w:lang w:val="en-US"/>
        </w:rPr>
        <w:t>kVA</w:t>
      </w:r>
      <w:r>
        <w:rPr>
          <w:lang w:val="en-US"/>
        </w:rPr>
        <w:t xml:space="preserve"> &amp; 1.5kVA</w:t>
      </w:r>
      <w:r w:rsidR="004D592E" w:rsidRPr="004D592E">
        <w:rPr>
          <w:lang w:val="en-US"/>
        </w:rPr>
        <w:t>.</w:t>
      </w:r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>Large &amp; medium deployments will primarily make use of the 6kVA variant, but can optionally make use of the 3kVA in a second location (ECR?). The second UPS is especially useful on board of vessels with a redundant NetApp NAS</w:t>
      </w:r>
      <w:r w:rsidR="00D34B2E">
        <w:rPr>
          <w:lang w:val="en-US"/>
        </w:rPr>
        <w:t xml:space="preserve"> (Offshore)</w:t>
      </w:r>
      <w:r w:rsidRPr="004D592E">
        <w:rPr>
          <w:lang w:val="en-US"/>
        </w:rPr>
        <w:t>.</w:t>
      </w:r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>Small deployments can use whichever UPS best fits the situation. Small setups sent by airfreight will most likely not contain any UPS at all.</w:t>
      </w:r>
    </w:p>
    <w:p w:rsidR="004D592E" w:rsidRPr="004D592E" w:rsidRDefault="004D592E" w:rsidP="004D592E">
      <w:pPr>
        <w:rPr>
          <w:lang w:val="en-US"/>
        </w:rPr>
      </w:pPr>
    </w:p>
    <w:p w:rsidR="004D592E" w:rsidRDefault="004D592E" w:rsidP="004D592E">
      <w:pPr>
        <w:rPr>
          <w:lang w:val="en-US"/>
        </w:rPr>
      </w:pPr>
      <w:r w:rsidRPr="004D592E">
        <w:rPr>
          <w:lang w:val="en-US"/>
        </w:rPr>
        <w:t>Note that in locations where it is hard to ship heavy equipment to, local</w:t>
      </w:r>
      <w:r w:rsidR="006E299B">
        <w:rPr>
          <w:lang w:val="en-US"/>
        </w:rPr>
        <w:t>ly purchased</w:t>
      </w:r>
      <w:r w:rsidRPr="004D592E">
        <w:rPr>
          <w:lang w:val="en-US"/>
        </w:rPr>
        <w:t xml:space="preserve"> </w:t>
      </w:r>
      <w:proofErr w:type="spellStart"/>
      <w:r w:rsidRPr="004D592E">
        <w:rPr>
          <w:lang w:val="en-US"/>
        </w:rPr>
        <w:t>UPSes</w:t>
      </w:r>
      <w:proofErr w:type="spellEnd"/>
      <w:r w:rsidRPr="004D592E">
        <w:rPr>
          <w:lang w:val="en-US"/>
        </w:rPr>
        <w:t xml:space="preserve"> </w:t>
      </w:r>
      <w:proofErr w:type="gramStart"/>
      <w:r w:rsidRPr="004D592E">
        <w:rPr>
          <w:lang w:val="en-US"/>
        </w:rPr>
        <w:t>can be used</w:t>
      </w:r>
      <w:proofErr w:type="gramEnd"/>
      <w:r w:rsidR="003926EC">
        <w:rPr>
          <w:lang w:val="en-US"/>
        </w:rPr>
        <w:t xml:space="preserve"> instead</w:t>
      </w:r>
      <w:r w:rsidRPr="004D592E">
        <w:rPr>
          <w:lang w:val="en-US"/>
        </w:rPr>
        <w:t xml:space="preserve">. Where this is the case, please try to use APC equipment that is compatible with APC </w:t>
      </w:r>
      <w:proofErr w:type="spellStart"/>
      <w:r w:rsidRPr="004D592E">
        <w:rPr>
          <w:lang w:val="en-US"/>
        </w:rPr>
        <w:t>Powerchute</w:t>
      </w:r>
      <w:proofErr w:type="spellEnd"/>
      <w:r w:rsidRPr="004D592E">
        <w:rPr>
          <w:lang w:val="en-US"/>
        </w:rPr>
        <w:t xml:space="preserve"> Network Shutdown.</w:t>
      </w:r>
    </w:p>
    <w:p w:rsidR="004D592E" w:rsidRPr="004D592E" w:rsidRDefault="004D592E" w:rsidP="004D592E">
      <w:pPr>
        <w:rPr>
          <w:lang w:val="en-US"/>
        </w:rPr>
      </w:pPr>
    </w:p>
    <w:p w:rsidR="004D592E" w:rsidRPr="004D592E" w:rsidRDefault="00CF70E6" w:rsidP="00CF70E6">
      <w:pPr>
        <w:pStyle w:val="Heading2"/>
        <w:rPr>
          <w:lang w:val="en-US"/>
        </w:rPr>
      </w:pPr>
      <w:bookmarkStart w:id="8" w:name="_Toc449514642"/>
      <w:r>
        <w:rPr>
          <w:lang w:val="en-US"/>
        </w:rPr>
        <w:t>Time server</w:t>
      </w:r>
      <w:bookmarkEnd w:id="8"/>
    </w:p>
    <w:p w:rsidR="004D592E" w:rsidRPr="004D592E" w:rsidRDefault="004D592E" w:rsidP="004D592E">
      <w:pPr>
        <w:rPr>
          <w:lang w:val="en-US"/>
        </w:rPr>
      </w:pPr>
      <w:r w:rsidRPr="004D592E">
        <w:rPr>
          <w:lang w:val="en-US"/>
        </w:rPr>
        <w:t xml:space="preserve">A </w:t>
      </w:r>
      <w:proofErr w:type="spellStart"/>
      <w:r w:rsidRPr="004D592E">
        <w:rPr>
          <w:lang w:val="en-US"/>
        </w:rPr>
        <w:t>Meinberg</w:t>
      </w:r>
      <w:proofErr w:type="spellEnd"/>
      <w:r w:rsidRPr="004D592E">
        <w:rPr>
          <w:lang w:val="en-US"/>
        </w:rPr>
        <w:t xml:space="preserve"> </w:t>
      </w:r>
      <w:proofErr w:type="spellStart"/>
      <w:r w:rsidRPr="004D592E">
        <w:rPr>
          <w:lang w:val="en-US"/>
        </w:rPr>
        <w:t>LANTime</w:t>
      </w:r>
      <w:proofErr w:type="spellEnd"/>
      <w:r w:rsidRPr="004D592E">
        <w:rPr>
          <w:lang w:val="en-US"/>
        </w:rPr>
        <w:t xml:space="preserve"> M300/GLN-SQ/LNE with GPS/</w:t>
      </w:r>
      <w:proofErr w:type="spellStart"/>
      <w:r w:rsidRPr="004D592E">
        <w:rPr>
          <w:lang w:val="en-US"/>
        </w:rPr>
        <w:t>Glonass</w:t>
      </w:r>
      <w:proofErr w:type="spellEnd"/>
      <w:r w:rsidRPr="004D592E">
        <w:rPr>
          <w:lang w:val="en-US"/>
        </w:rPr>
        <w:t xml:space="preserve"> antenna </w:t>
      </w:r>
      <w:proofErr w:type="gramStart"/>
      <w:r w:rsidRPr="004D592E">
        <w:rPr>
          <w:lang w:val="en-US"/>
        </w:rPr>
        <w:t>can be provided</w:t>
      </w:r>
      <w:proofErr w:type="gramEnd"/>
      <w:r w:rsidRPr="004D592E">
        <w:rPr>
          <w:lang w:val="en-US"/>
        </w:rPr>
        <w:t xml:space="preserve"> for use on vessels.</w:t>
      </w:r>
      <w:r w:rsidR="009742D5">
        <w:rPr>
          <w:lang w:val="en-US"/>
        </w:rPr>
        <w:t xml:space="preserve"> </w:t>
      </w:r>
    </w:p>
    <w:p w:rsidR="00674DF8" w:rsidRDefault="00674DF8">
      <w:pPr>
        <w:suppressAutoHyphens w:val="0"/>
        <w:spacing w:line="240" w:lineRule="auto"/>
        <w:rPr>
          <w:lang w:val="en-US"/>
        </w:rPr>
      </w:pPr>
    </w:p>
    <w:p w:rsidR="008D0756" w:rsidRDefault="008D0756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AD7762" w:rsidRDefault="00AD7762" w:rsidP="00AD7762">
      <w:pPr>
        <w:pStyle w:val="Heading1"/>
      </w:pPr>
      <w:bookmarkStart w:id="9" w:name="_Toc449514643"/>
      <w:r>
        <w:lastRenderedPageBreak/>
        <w:t>C</w:t>
      </w:r>
      <w:r w:rsidR="005E6076">
        <w:t>ore component c</w:t>
      </w:r>
      <w:r>
        <w:t>heat sheet</w:t>
      </w:r>
      <w:bookmarkEnd w:id="9"/>
    </w:p>
    <w:p w:rsidR="00AD7762" w:rsidRDefault="00970D3E" w:rsidP="004D592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51268BB" wp14:editId="755740F9">
            <wp:extent cx="6119495" cy="434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3E" w:rsidRDefault="00970D3E" w:rsidP="004D592E">
      <w:pPr>
        <w:rPr>
          <w:lang w:val="en-GB"/>
        </w:rPr>
      </w:pPr>
    </w:p>
    <w:p w:rsidR="005E6076" w:rsidRDefault="005E6076" w:rsidP="005E6076">
      <w:pPr>
        <w:pStyle w:val="Heading1"/>
      </w:pPr>
      <w:bookmarkStart w:id="10" w:name="_Toc449514644"/>
      <w:r>
        <w:t>Additional components</w:t>
      </w:r>
      <w:bookmarkEnd w:id="10"/>
    </w:p>
    <w:p w:rsidR="00DC0E0A" w:rsidRDefault="00DC0E0A" w:rsidP="00DC0E0A">
      <w:pPr>
        <w:pStyle w:val="Heading2"/>
        <w:rPr>
          <w:lang w:val="en-GB"/>
        </w:rPr>
      </w:pPr>
      <w:bookmarkStart w:id="11" w:name="_Toc449514645"/>
      <w:r>
        <w:rPr>
          <w:lang w:val="en-GB"/>
        </w:rPr>
        <w:t>Rack mounting</w:t>
      </w:r>
      <w:bookmarkEnd w:id="11"/>
    </w:p>
    <w:p w:rsidR="00DC0E0A" w:rsidRDefault="00DC0E0A" w:rsidP="00DC0E0A">
      <w:pPr>
        <w:rPr>
          <w:lang w:val="en-GB"/>
        </w:rPr>
      </w:pPr>
      <w:r>
        <w:rPr>
          <w:lang w:val="en-GB"/>
        </w:rPr>
        <w:t xml:space="preserve">Generally, our equipment </w:t>
      </w:r>
      <w:proofErr w:type="gramStart"/>
      <w:r>
        <w:rPr>
          <w:lang w:val="en-GB"/>
        </w:rPr>
        <w:t>will be mounted</w:t>
      </w:r>
      <w:proofErr w:type="gramEnd"/>
      <w:r>
        <w:rPr>
          <w:lang w:val="en-GB"/>
        </w:rPr>
        <w:t xml:space="preserve"> into full sized racks. To be able to mount the large/medium setups, you will need:</w:t>
      </w:r>
    </w:p>
    <w:p w:rsidR="00DC0E0A" w:rsidRDefault="00DC0E0A" w:rsidP="00DC0E0A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Post-to-post depth: </w:t>
      </w:r>
      <w:r w:rsidR="00DC679F">
        <w:rPr>
          <w:lang w:val="en-GB"/>
        </w:rPr>
        <w:t>A</w:t>
      </w:r>
      <w:r>
        <w:rPr>
          <w:lang w:val="en-GB"/>
        </w:rPr>
        <w:t>t least 69 cm</w:t>
      </w:r>
      <w:r w:rsidR="00DC679F">
        <w:rPr>
          <w:lang w:val="en-GB"/>
        </w:rPr>
        <w:t xml:space="preserve"> to accommodate the rack mounting kits. 70 cm should be standard.</w:t>
      </w:r>
    </w:p>
    <w:p w:rsidR="00DC0E0A" w:rsidRDefault="00DC0E0A" w:rsidP="00DC0E0A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Front clearance: </w:t>
      </w:r>
      <w:r w:rsidR="00DC679F">
        <w:rPr>
          <w:lang w:val="en-GB"/>
        </w:rPr>
        <w:t>A</w:t>
      </w:r>
      <w:r>
        <w:rPr>
          <w:lang w:val="en-GB"/>
        </w:rPr>
        <w:t xml:space="preserve">t least 5 cm for VRTX front, as well as enough room for network cables and 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patchings</w:t>
      </w:r>
      <w:proofErr w:type="spellEnd"/>
      <w:r>
        <w:rPr>
          <w:lang w:val="en-GB"/>
        </w:rPr>
        <w:t xml:space="preserve"> if relevant to your situation.</w:t>
      </w:r>
    </w:p>
    <w:p w:rsidR="00DC0E0A" w:rsidRPr="00DC0E0A" w:rsidRDefault="00DC679F" w:rsidP="00DC0E0A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Rear clearance: A</w:t>
      </w:r>
      <w:r w:rsidR="00DC0E0A">
        <w:rPr>
          <w:lang w:val="en-GB"/>
        </w:rPr>
        <w:t>t least 6cm for VRTX rackmount (can be chopped off to 3-4 cm if really required), as well as enough room for the routing of the UPS hardwire feed (clearance needed will depend on type of cable used</w:t>
      </w:r>
      <w:r>
        <w:rPr>
          <w:lang w:val="en-GB"/>
        </w:rPr>
        <w:t>, how the cable is fed</w:t>
      </w:r>
      <w:proofErr w:type="gramStart"/>
      <w:r>
        <w:rPr>
          <w:lang w:val="en-GB"/>
        </w:rPr>
        <w:t>,...</w:t>
      </w:r>
      <w:proofErr w:type="gramEnd"/>
      <w:r w:rsidR="00DC0E0A">
        <w:rPr>
          <w:lang w:val="en-GB"/>
        </w:rPr>
        <w:t>)</w:t>
      </w:r>
      <w:r>
        <w:rPr>
          <w:lang w:val="en-GB"/>
        </w:rPr>
        <w:t>.</w:t>
      </w:r>
    </w:p>
    <w:p w:rsidR="00DC0E0A" w:rsidRDefault="00DC0E0A" w:rsidP="00DC0E0A">
      <w:pPr>
        <w:rPr>
          <w:lang w:val="en-GB"/>
        </w:rPr>
      </w:pPr>
    </w:p>
    <w:p w:rsidR="00DC679F" w:rsidRDefault="00DC679F" w:rsidP="00DC0E0A">
      <w:pPr>
        <w:rPr>
          <w:lang w:val="en-GB"/>
        </w:rPr>
      </w:pPr>
      <w:r>
        <w:rPr>
          <w:lang w:val="en-GB"/>
        </w:rPr>
        <w:t xml:space="preserve">The small </w:t>
      </w:r>
      <w:r w:rsidR="00970D3E">
        <w:rPr>
          <w:lang w:val="en-GB"/>
        </w:rPr>
        <w:t xml:space="preserve">R430 </w:t>
      </w:r>
      <w:r>
        <w:rPr>
          <w:lang w:val="en-GB"/>
        </w:rPr>
        <w:t xml:space="preserve">setups </w:t>
      </w:r>
      <w:proofErr w:type="gramStart"/>
      <w:r>
        <w:rPr>
          <w:lang w:val="en-GB"/>
        </w:rPr>
        <w:t>are designed</w:t>
      </w:r>
      <w:proofErr w:type="gramEnd"/>
      <w:r>
        <w:rPr>
          <w:lang w:val="en-GB"/>
        </w:rPr>
        <w:t xml:space="preserve"> to fit inside a rack with a post-to-post depth of 61 cm</w:t>
      </w:r>
      <w:r w:rsidR="00D73557">
        <w:rPr>
          <w:lang w:val="en-GB"/>
        </w:rPr>
        <w:t xml:space="preserve"> when used with R430 “static” rack rails</w:t>
      </w:r>
      <w:r>
        <w:rPr>
          <w:lang w:val="en-GB"/>
        </w:rPr>
        <w:t>. Specifications:</w:t>
      </w:r>
    </w:p>
    <w:p w:rsidR="00DC679F" w:rsidRDefault="00DC679F" w:rsidP="00DC679F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Post-to-post depth: At least 61 cm to accommodate the rack mounting kits.</w:t>
      </w:r>
    </w:p>
    <w:p w:rsidR="00DC679F" w:rsidRDefault="00DC679F" w:rsidP="00DC679F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Front clearance: At least 5 cm for network cables.</w:t>
      </w:r>
    </w:p>
    <w:p w:rsidR="00DC679F" w:rsidRDefault="00DC679F" w:rsidP="00DC0E0A">
      <w:pPr>
        <w:pStyle w:val="ListParagraph"/>
        <w:numPr>
          <w:ilvl w:val="0"/>
          <w:numId w:val="29"/>
        </w:numPr>
        <w:rPr>
          <w:lang w:val="en-GB"/>
        </w:rPr>
      </w:pPr>
      <w:r w:rsidRPr="00D73557">
        <w:rPr>
          <w:lang w:val="en-GB"/>
        </w:rPr>
        <w:lastRenderedPageBreak/>
        <w:t xml:space="preserve">Rear clearance: At least </w:t>
      </w:r>
      <w:r w:rsidR="00D73557" w:rsidRPr="00D73557">
        <w:rPr>
          <w:lang w:val="en-GB"/>
        </w:rPr>
        <w:t>8</w:t>
      </w:r>
      <w:r w:rsidRPr="00D73557">
        <w:rPr>
          <w:lang w:val="en-GB"/>
        </w:rPr>
        <w:t xml:space="preserve">cm for </w:t>
      </w:r>
      <w:r w:rsidR="00D73557" w:rsidRPr="00D73557">
        <w:rPr>
          <w:lang w:val="en-GB"/>
        </w:rPr>
        <w:t xml:space="preserve">the R430 </w:t>
      </w:r>
      <w:r w:rsidRPr="00D73557">
        <w:rPr>
          <w:lang w:val="en-GB"/>
        </w:rPr>
        <w:t>rackmount</w:t>
      </w:r>
      <w:r w:rsidR="00D73557">
        <w:rPr>
          <w:lang w:val="en-GB"/>
        </w:rPr>
        <w:t xml:space="preserve">. The R430 static </w:t>
      </w:r>
      <w:proofErr w:type="gramStart"/>
      <w:r w:rsidR="00D73557">
        <w:rPr>
          <w:lang w:val="en-GB"/>
        </w:rPr>
        <w:t>rail rack mount kit</w:t>
      </w:r>
      <w:proofErr w:type="gramEnd"/>
      <w:r w:rsidR="00D73557">
        <w:rPr>
          <w:lang w:val="en-GB"/>
        </w:rPr>
        <w:t xml:space="preserve"> needs to be modified to remove the “single post” mounting option, as it interferes with the rack case.</w:t>
      </w:r>
    </w:p>
    <w:p w:rsidR="00D73557" w:rsidRDefault="00D73557" w:rsidP="00D73557">
      <w:pPr>
        <w:rPr>
          <w:lang w:val="en-GB"/>
        </w:rPr>
      </w:pPr>
    </w:p>
    <w:p w:rsidR="00D73557" w:rsidRDefault="00D73557" w:rsidP="00D73557">
      <w:pPr>
        <w:rPr>
          <w:lang w:val="en-GB"/>
        </w:rPr>
      </w:pPr>
      <w:r>
        <w:rPr>
          <w:lang w:val="en-GB"/>
        </w:rPr>
        <w:t>R430 sliding rails are available for mounting in normal depth racks (69+ cm post-to-post).</w:t>
      </w:r>
    </w:p>
    <w:p w:rsidR="00970D3E" w:rsidRDefault="00970D3E" w:rsidP="00D73557">
      <w:pPr>
        <w:rPr>
          <w:lang w:val="en-GB"/>
        </w:rPr>
      </w:pPr>
    </w:p>
    <w:p w:rsidR="00970D3E" w:rsidRDefault="00970D3E" w:rsidP="00970D3E">
      <w:pPr>
        <w:rPr>
          <w:lang w:val="en-GB"/>
        </w:rPr>
      </w:pPr>
      <w:r>
        <w:rPr>
          <w:lang w:val="en-GB"/>
        </w:rPr>
        <w:t xml:space="preserve">The small DL20 setups are designed to fit inside a rack </w:t>
      </w:r>
      <w:bookmarkStart w:id="12" w:name="_GoBack"/>
      <w:bookmarkEnd w:id="12"/>
      <w:r>
        <w:rPr>
          <w:lang w:val="en-GB"/>
        </w:rPr>
        <w:t>with a depth of 50cm.</w:t>
      </w:r>
    </w:p>
    <w:p w:rsidR="00970D3E" w:rsidRPr="00D73557" w:rsidRDefault="00970D3E" w:rsidP="00D73557">
      <w:pPr>
        <w:rPr>
          <w:lang w:val="en-GB"/>
        </w:rPr>
      </w:pPr>
    </w:p>
    <w:p w:rsidR="00DC0E0A" w:rsidRDefault="00DC0E0A" w:rsidP="00DC0E0A">
      <w:pPr>
        <w:pStyle w:val="Heading2"/>
        <w:rPr>
          <w:lang w:val="en-GB"/>
        </w:rPr>
      </w:pPr>
      <w:bookmarkStart w:id="13" w:name="_Toc449514646"/>
      <w:r>
        <w:rPr>
          <w:lang w:val="en-GB"/>
        </w:rPr>
        <w:t>Networking</w:t>
      </w:r>
      <w:bookmarkEnd w:id="13"/>
    </w:p>
    <w:p w:rsidR="00674DF8" w:rsidRDefault="00674DF8" w:rsidP="00674DF8">
      <w:pPr>
        <w:rPr>
          <w:lang w:val="en-US"/>
        </w:rPr>
      </w:pPr>
      <w:r w:rsidRPr="004D592E">
        <w:rPr>
          <w:lang w:val="en-US"/>
        </w:rPr>
        <w:t xml:space="preserve">Switches are stacked using DAC (direct attached copper </w:t>
      </w:r>
      <w:proofErr w:type="spellStart"/>
      <w:r w:rsidRPr="004D592E">
        <w:rPr>
          <w:lang w:val="en-US"/>
        </w:rPr>
        <w:t>twinax</w:t>
      </w:r>
      <w:proofErr w:type="spellEnd"/>
      <w:r w:rsidRPr="004D592E">
        <w:rPr>
          <w:lang w:val="en-US"/>
        </w:rPr>
        <w:t xml:space="preserve"> cables 10 gigabit SFP+) over short distances (same room</w:t>
      </w:r>
      <w:r>
        <w:rPr>
          <w:lang w:val="en-US"/>
        </w:rPr>
        <w:t>, usually same rack</w:t>
      </w:r>
      <w:r w:rsidRPr="004D592E">
        <w:rPr>
          <w:lang w:val="en-US"/>
        </w:rPr>
        <w:t xml:space="preserve">), and fiber (1 gigabit SX SFP) or copper (1 gigabit Base-T SFP) over longer distances (same vessel or site). When stacking in the same rack, DAC cables </w:t>
      </w:r>
      <w:proofErr w:type="gramStart"/>
      <w:r w:rsidRPr="004D592E">
        <w:rPr>
          <w:lang w:val="en-US"/>
        </w:rPr>
        <w:t>should always be used</w:t>
      </w:r>
      <w:proofErr w:type="gramEnd"/>
      <w:r w:rsidR="00F52A75">
        <w:rPr>
          <w:lang w:val="en-US"/>
        </w:rPr>
        <w:t xml:space="preserve">. The </w:t>
      </w:r>
      <w:r w:rsidR="0076326A">
        <w:rPr>
          <w:lang w:val="en-US"/>
        </w:rPr>
        <w:t>except</w:t>
      </w:r>
      <w:r w:rsidR="00F52A75">
        <w:rPr>
          <w:lang w:val="en-US"/>
        </w:rPr>
        <w:t>ion to this is the</w:t>
      </w:r>
      <w:r w:rsidR="0076326A">
        <w:rPr>
          <w:lang w:val="en-US"/>
        </w:rPr>
        <w:t xml:space="preserve"> EX2200</w:t>
      </w:r>
      <w:r w:rsidR="00F52A75">
        <w:rPr>
          <w:lang w:val="en-US"/>
        </w:rPr>
        <w:t xml:space="preserve"> series switches</w:t>
      </w:r>
      <w:r w:rsidR="0076326A">
        <w:rPr>
          <w:lang w:val="en-US"/>
        </w:rPr>
        <w:t xml:space="preserve"> since do</w:t>
      </w:r>
      <w:r w:rsidR="00F52A75">
        <w:rPr>
          <w:lang w:val="en-US"/>
        </w:rPr>
        <w:t>es</w:t>
      </w:r>
      <w:r w:rsidR="0076326A">
        <w:rPr>
          <w:lang w:val="en-US"/>
        </w:rPr>
        <w:t xml:space="preserve"> not support </w:t>
      </w:r>
      <w:proofErr w:type="gramStart"/>
      <w:r w:rsidR="0076326A">
        <w:rPr>
          <w:lang w:val="en-US"/>
        </w:rPr>
        <w:t>10G</w:t>
      </w:r>
      <w:r w:rsidR="00F52A75">
        <w:rPr>
          <w:lang w:val="en-US"/>
        </w:rPr>
        <w:t>b</w:t>
      </w:r>
      <w:proofErr w:type="gramEnd"/>
      <w:r w:rsidR="00F52A75">
        <w:rPr>
          <w:lang w:val="en-US"/>
        </w:rPr>
        <w:t xml:space="preserve"> SFP+, they use 1Gb (fiber or copper) instead</w:t>
      </w:r>
      <w:r w:rsidRPr="004D592E">
        <w:rPr>
          <w:lang w:val="en-US"/>
        </w:rPr>
        <w:t xml:space="preserve">. For stacking over longer distances, fiber is always preferred. The Base-T SFPs </w:t>
      </w:r>
      <w:proofErr w:type="gramStart"/>
      <w:r w:rsidRPr="004D592E">
        <w:rPr>
          <w:lang w:val="en-US"/>
        </w:rPr>
        <w:t>should only be used</w:t>
      </w:r>
      <w:proofErr w:type="gramEnd"/>
      <w:r w:rsidRPr="004D592E">
        <w:rPr>
          <w:lang w:val="en-US"/>
        </w:rPr>
        <w:t xml:space="preserve"> if no fiber can be made available.</w:t>
      </w:r>
    </w:p>
    <w:p w:rsidR="00AA6C6C" w:rsidRPr="004D592E" w:rsidRDefault="00AA6C6C" w:rsidP="00674DF8">
      <w:pPr>
        <w:rPr>
          <w:lang w:val="en-US"/>
        </w:rPr>
      </w:pPr>
      <w:r>
        <w:rPr>
          <w:lang w:val="en-US"/>
        </w:rPr>
        <w:t xml:space="preserve">It is important to </w:t>
      </w:r>
      <w:r w:rsidR="003926EC">
        <w:rPr>
          <w:lang w:val="en-US"/>
        </w:rPr>
        <w:t>note</w:t>
      </w:r>
      <w:r>
        <w:rPr>
          <w:lang w:val="en-US"/>
        </w:rPr>
        <w:t xml:space="preserve"> which fiber patch panels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>, since the fiber patch cables needed will vary between ships.</w:t>
      </w:r>
      <w:r w:rsidR="003926EC">
        <w:rPr>
          <w:lang w:val="en-US"/>
        </w:rPr>
        <w:t xml:space="preserve"> All cables are responsibility of TSE to purchase &amp; keep in stock.</w:t>
      </w:r>
    </w:p>
    <w:p w:rsidR="007609C5" w:rsidRDefault="007609C5" w:rsidP="004D592E">
      <w:pPr>
        <w:rPr>
          <w:lang w:val="en-US"/>
        </w:rPr>
      </w:pPr>
    </w:p>
    <w:p w:rsidR="00AA6C6C" w:rsidRDefault="000D4E52" w:rsidP="00AA6C6C">
      <w:pPr>
        <w:rPr>
          <w:lang w:val="en-US"/>
        </w:rPr>
      </w:pPr>
      <w:r>
        <w:rPr>
          <w:lang w:val="en-US"/>
        </w:rPr>
        <w:t>HP Aruba</w:t>
      </w:r>
      <w:r w:rsidR="006262C5">
        <w:rPr>
          <w:lang w:val="en-US"/>
        </w:rPr>
        <w:t xml:space="preserve"> </w:t>
      </w:r>
      <w:r>
        <w:rPr>
          <w:lang w:val="en-US"/>
        </w:rPr>
        <w:t>W-</w:t>
      </w:r>
      <w:r w:rsidR="00AA6C6C">
        <w:rPr>
          <w:lang w:val="en-US"/>
        </w:rPr>
        <w:t>IAP</w:t>
      </w:r>
      <w:r>
        <w:rPr>
          <w:lang w:val="en-US"/>
        </w:rPr>
        <w:t>3</w:t>
      </w:r>
      <w:r w:rsidR="00AA6C6C">
        <w:rPr>
          <w:lang w:val="en-US"/>
        </w:rPr>
        <w:t>15</w:t>
      </w:r>
      <w:r w:rsidR="00D123E6">
        <w:rPr>
          <w:lang w:val="en-US"/>
        </w:rPr>
        <w:t xml:space="preserve"> </w:t>
      </w:r>
      <w:proofErr w:type="gramStart"/>
      <w:r w:rsidR="00AA6C6C">
        <w:rPr>
          <w:lang w:val="en-US"/>
        </w:rPr>
        <w:t xml:space="preserve">can be </w:t>
      </w:r>
      <w:r w:rsidR="003926EC">
        <w:rPr>
          <w:lang w:val="en-US"/>
        </w:rPr>
        <w:t>suppli</w:t>
      </w:r>
      <w:r w:rsidR="00AA6C6C">
        <w:rPr>
          <w:lang w:val="en-US"/>
        </w:rPr>
        <w:t>ed</w:t>
      </w:r>
      <w:proofErr w:type="gramEnd"/>
      <w:r w:rsidR="00AA6C6C">
        <w:rPr>
          <w:lang w:val="en-US"/>
        </w:rPr>
        <w:t xml:space="preserve"> to provide </w:t>
      </w:r>
      <w:proofErr w:type="spellStart"/>
      <w:r w:rsidR="00AA6C6C">
        <w:rPr>
          <w:lang w:val="en-US"/>
        </w:rPr>
        <w:t>Wifi</w:t>
      </w:r>
      <w:proofErr w:type="spellEnd"/>
      <w:r w:rsidR="00AA6C6C">
        <w:rPr>
          <w:lang w:val="en-US"/>
        </w:rPr>
        <w:t xml:space="preserve"> for</w:t>
      </w:r>
      <w:r w:rsidR="006262C5">
        <w:rPr>
          <w:lang w:val="en-US"/>
        </w:rPr>
        <w:t xml:space="preserve"> crew (castle only)</w:t>
      </w:r>
      <w:r>
        <w:rPr>
          <w:lang w:val="en-US"/>
        </w:rPr>
        <w:t xml:space="preserve">, </w:t>
      </w:r>
      <w:r w:rsidR="006262C5">
        <w:rPr>
          <w:lang w:val="en-US"/>
        </w:rPr>
        <w:t xml:space="preserve">AMOS </w:t>
      </w:r>
      <w:proofErr w:type="spellStart"/>
      <w:r w:rsidR="006262C5">
        <w:rPr>
          <w:lang w:val="en-US"/>
        </w:rPr>
        <w:t>handscanners</w:t>
      </w:r>
      <w:proofErr w:type="spellEnd"/>
      <w:r w:rsidR="006262C5">
        <w:rPr>
          <w:lang w:val="en-US"/>
        </w:rPr>
        <w:t xml:space="preserve"> (rear</w:t>
      </w:r>
      <w:r w:rsidR="003926EC">
        <w:rPr>
          <w:lang w:val="en-US"/>
        </w:rPr>
        <w:t>/</w:t>
      </w:r>
      <w:r w:rsidR="006262C5">
        <w:rPr>
          <w:lang w:val="en-US"/>
        </w:rPr>
        <w:t xml:space="preserve">below deck at </w:t>
      </w:r>
      <w:r w:rsidR="003926EC">
        <w:rPr>
          <w:lang w:val="en-US"/>
        </w:rPr>
        <w:t xml:space="preserve">a few of </w:t>
      </w:r>
      <w:r w:rsidR="006262C5">
        <w:rPr>
          <w:lang w:val="en-US"/>
        </w:rPr>
        <w:t>the large</w:t>
      </w:r>
      <w:r w:rsidR="003926EC">
        <w:rPr>
          <w:lang w:val="en-US"/>
        </w:rPr>
        <w:t>st</w:t>
      </w:r>
      <w:r w:rsidR="006262C5">
        <w:rPr>
          <w:lang w:val="en-US"/>
        </w:rPr>
        <w:t xml:space="preserve"> stores)</w:t>
      </w:r>
      <w:r>
        <w:rPr>
          <w:lang w:val="en-US"/>
        </w:rPr>
        <w:t>, offices and sites</w:t>
      </w:r>
      <w:r w:rsidR="00AA6C6C">
        <w:rPr>
          <w:lang w:val="en-US"/>
        </w:rPr>
        <w:t>.</w:t>
      </w:r>
      <w:r w:rsidR="006262C5">
        <w:rPr>
          <w:lang w:val="en-US"/>
        </w:rPr>
        <w:t xml:space="preserve"> </w:t>
      </w:r>
      <w:proofErr w:type="gramStart"/>
      <w:r w:rsidR="006262C5">
        <w:rPr>
          <w:lang w:val="en-US"/>
        </w:rPr>
        <w:t xml:space="preserve">These access points can be powered by adaptors or </w:t>
      </w:r>
      <w:proofErr w:type="spellStart"/>
      <w:r w:rsidR="006262C5">
        <w:rPr>
          <w:lang w:val="en-US"/>
        </w:rPr>
        <w:t>PoE</w:t>
      </w:r>
      <w:proofErr w:type="spellEnd"/>
      <w:r w:rsidR="006262C5">
        <w:rPr>
          <w:lang w:val="en-US"/>
        </w:rPr>
        <w:t>+</w:t>
      </w:r>
      <w:proofErr w:type="gramEnd"/>
      <w:r w:rsidR="006262C5">
        <w:rPr>
          <w:lang w:val="en-US"/>
        </w:rPr>
        <w:t xml:space="preserve">. If </w:t>
      </w:r>
      <w:proofErr w:type="spellStart"/>
      <w:r w:rsidR="006262C5">
        <w:rPr>
          <w:lang w:val="en-US"/>
        </w:rPr>
        <w:t>PoE</w:t>
      </w:r>
      <w:proofErr w:type="spellEnd"/>
      <w:r w:rsidR="006262C5">
        <w:rPr>
          <w:lang w:val="en-US"/>
        </w:rPr>
        <w:t xml:space="preserve">+ is </w:t>
      </w:r>
      <w:r w:rsidR="004A65AD">
        <w:rPr>
          <w:lang w:val="en-US"/>
        </w:rPr>
        <w:t>used</w:t>
      </w:r>
      <w:r w:rsidR="006262C5">
        <w:rPr>
          <w:lang w:val="en-US"/>
        </w:rPr>
        <w:t xml:space="preserve">, then at least two Juniper EX3300-48P switches will be required. Please keep in mind that </w:t>
      </w:r>
      <w:proofErr w:type="spellStart"/>
      <w:r w:rsidR="006262C5">
        <w:rPr>
          <w:lang w:val="en-US"/>
        </w:rPr>
        <w:t>PoE</w:t>
      </w:r>
      <w:proofErr w:type="spellEnd"/>
      <w:r w:rsidR="006262C5">
        <w:rPr>
          <w:lang w:val="en-US"/>
        </w:rPr>
        <w:t xml:space="preserve">+ </w:t>
      </w:r>
      <w:proofErr w:type="gramStart"/>
      <w:r w:rsidR="006262C5">
        <w:rPr>
          <w:lang w:val="en-US"/>
        </w:rPr>
        <w:t>cannot be fed</w:t>
      </w:r>
      <w:proofErr w:type="gramEnd"/>
      <w:r w:rsidR="006262C5">
        <w:rPr>
          <w:lang w:val="en-US"/>
        </w:rPr>
        <w:t xml:space="preserve"> across long distances and requires higher quality cables as well as properly hooked up patch panels.</w:t>
      </w:r>
    </w:p>
    <w:p w:rsidR="00674DF8" w:rsidRPr="00674DF8" w:rsidRDefault="00674DF8" w:rsidP="004D592E">
      <w:pPr>
        <w:rPr>
          <w:lang w:val="en-US"/>
        </w:rPr>
      </w:pPr>
    </w:p>
    <w:p w:rsidR="004112F0" w:rsidRDefault="004112F0" w:rsidP="004112F0">
      <w:pPr>
        <w:pStyle w:val="Heading2"/>
        <w:rPr>
          <w:lang w:val="en-GB"/>
        </w:rPr>
      </w:pPr>
      <w:bookmarkStart w:id="14" w:name="_Toc449514648"/>
      <w:r>
        <w:rPr>
          <w:lang w:val="en-GB"/>
        </w:rPr>
        <w:t xml:space="preserve">TD </w:t>
      </w:r>
      <w:proofErr w:type="spellStart"/>
      <w:r>
        <w:rPr>
          <w:lang w:val="en-GB"/>
        </w:rPr>
        <w:t>Automatization</w:t>
      </w:r>
      <w:proofErr w:type="spellEnd"/>
      <w:r>
        <w:rPr>
          <w:lang w:val="en-GB"/>
        </w:rPr>
        <w:t xml:space="preserve"> NAS</w:t>
      </w:r>
    </w:p>
    <w:p w:rsidR="004112F0" w:rsidRDefault="004112F0" w:rsidP="004112F0">
      <w:pPr>
        <w:rPr>
          <w:lang w:val="en-GB"/>
        </w:rPr>
      </w:pPr>
      <w:r>
        <w:rPr>
          <w:lang w:val="en-GB"/>
        </w:rPr>
        <w:t xml:space="preserve">On suitable vessels (offshore, large, medium and a minority of the small </w:t>
      </w:r>
      <w:proofErr w:type="gramStart"/>
      <w:r>
        <w:rPr>
          <w:lang w:val="en-GB"/>
        </w:rPr>
        <w:t>vessels)</w:t>
      </w:r>
      <w:proofErr w:type="gramEnd"/>
      <w:r>
        <w:rPr>
          <w:lang w:val="en-GB"/>
        </w:rPr>
        <w:t xml:space="preserve"> TD </w:t>
      </w:r>
      <w:proofErr w:type="spellStart"/>
      <w:r>
        <w:rPr>
          <w:lang w:val="en-GB"/>
        </w:rPr>
        <w:t>Automatization</w:t>
      </w:r>
      <w:proofErr w:type="spellEnd"/>
      <w:r>
        <w:rPr>
          <w:lang w:val="en-GB"/>
        </w:rPr>
        <w:t xml:space="preserve"> will require a NAS setup for their backups. This setup will be connected to both the </w:t>
      </w:r>
      <w:proofErr w:type="spellStart"/>
      <w:r>
        <w:rPr>
          <w:lang w:val="en-GB"/>
        </w:rPr>
        <w:t>admin_trust</w:t>
      </w:r>
      <w:proofErr w:type="spellEnd"/>
      <w:r>
        <w:rPr>
          <w:lang w:val="en-GB"/>
        </w:rPr>
        <w:t xml:space="preserve"> &amp; machine networks and is composed of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rackmountable</w:t>
      </w:r>
      <w:proofErr w:type="spellEnd"/>
      <w:r>
        <w:rPr>
          <w:lang w:val="en-GB"/>
        </w:rPr>
        <w:t xml:space="preserve"> units with mirroring set up between both. The exact setup </w:t>
      </w:r>
      <w:proofErr w:type="gramStart"/>
      <w:r>
        <w:rPr>
          <w:lang w:val="en-GB"/>
        </w:rPr>
        <w:t>is described</w:t>
      </w:r>
      <w:proofErr w:type="gramEnd"/>
      <w:r>
        <w:rPr>
          <w:lang w:val="en-GB"/>
        </w:rPr>
        <w:t xml:space="preserve"> in another manual.</w:t>
      </w:r>
    </w:p>
    <w:p w:rsidR="004112F0" w:rsidRDefault="004112F0" w:rsidP="004112F0">
      <w:pPr>
        <w:rPr>
          <w:lang w:val="en-GB"/>
        </w:rPr>
      </w:pPr>
    </w:p>
    <w:p w:rsidR="004112F0" w:rsidRDefault="004112F0" w:rsidP="004112F0">
      <w:pPr>
        <w:pStyle w:val="Heading2"/>
        <w:rPr>
          <w:lang w:val="en-GB"/>
        </w:rPr>
      </w:pPr>
      <w:r>
        <w:rPr>
          <w:lang w:val="en-GB"/>
        </w:rPr>
        <w:t>Small mobile setup</w:t>
      </w:r>
    </w:p>
    <w:p w:rsidR="004112F0" w:rsidRDefault="004112F0" w:rsidP="004112F0">
      <w:pPr>
        <w:rPr>
          <w:lang w:val="en-GB"/>
        </w:rPr>
      </w:pPr>
      <w:r>
        <w:rPr>
          <w:lang w:val="en-GB"/>
        </w:rPr>
        <w:t xml:space="preserve">The small setup for sites on land (small remote offices, workshop,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) </w:t>
      </w:r>
      <w:proofErr w:type="gramStart"/>
      <w:r>
        <w:rPr>
          <w:lang w:val="en-GB"/>
        </w:rPr>
        <w:t>can be shipped</w:t>
      </w:r>
      <w:proofErr w:type="gramEnd"/>
      <w:r>
        <w:rPr>
          <w:lang w:val="en-GB"/>
        </w:rPr>
        <w:t xml:space="preserve"> by airfreight in a transit case with integrated 19” rack. These racks are Amazon Racks made by </w:t>
      </w:r>
      <w:proofErr w:type="spellStart"/>
      <w:r>
        <w:rPr>
          <w:lang w:val="en-GB"/>
        </w:rPr>
        <w:t>CPCases</w:t>
      </w:r>
      <w:proofErr w:type="spellEnd"/>
      <w:r>
        <w:rPr>
          <w:lang w:val="en-GB"/>
        </w:rPr>
        <w:t>. This can also include a 3G/4G modem.</w:t>
      </w:r>
    </w:p>
    <w:p w:rsidR="004112F0" w:rsidRDefault="004112F0" w:rsidP="004112F0">
      <w:pPr>
        <w:rPr>
          <w:lang w:val="en-GB"/>
        </w:rPr>
      </w:pPr>
    </w:p>
    <w:p w:rsidR="00674DF8" w:rsidRDefault="00045278" w:rsidP="00045278">
      <w:pPr>
        <w:pStyle w:val="Heading2"/>
        <w:rPr>
          <w:lang w:val="en-GB"/>
        </w:rPr>
      </w:pPr>
      <w:r>
        <w:rPr>
          <w:lang w:val="en-GB"/>
        </w:rPr>
        <w:lastRenderedPageBreak/>
        <w:t>Clients</w:t>
      </w:r>
      <w:bookmarkEnd w:id="14"/>
    </w:p>
    <w:p w:rsidR="00674DF8" w:rsidRDefault="00DD3425" w:rsidP="004D592E">
      <w:pPr>
        <w:rPr>
          <w:lang w:val="en-GB"/>
        </w:rPr>
      </w:pPr>
      <w:r>
        <w:rPr>
          <w:lang w:val="en-GB"/>
        </w:rPr>
        <w:t>For testing purposes, TD has approved the following deployment:</w:t>
      </w:r>
    </w:p>
    <w:p w:rsidR="00DD3425" w:rsidRDefault="00DD3425" w:rsidP="00DD3425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All stores </w:t>
      </w:r>
      <w:proofErr w:type="gramStart"/>
      <w:r>
        <w:rPr>
          <w:lang w:val="en-GB"/>
        </w:rPr>
        <w:t>will be issued</w:t>
      </w:r>
      <w:proofErr w:type="gramEnd"/>
      <w:r>
        <w:rPr>
          <w:lang w:val="en-GB"/>
        </w:rPr>
        <w:t xml:space="preserve"> Dell WYSE 5212</w:t>
      </w:r>
      <w:r w:rsidR="00DC679F">
        <w:rPr>
          <w:lang w:val="en-GB"/>
        </w:rPr>
        <w:t>/5040</w:t>
      </w:r>
      <w:r>
        <w:rPr>
          <w:lang w:val="en-GB"/>
        </w:rPr>
        <w:t xml:space="preserve"> AIO thin clients.</w:t>
      </w:r>
    </w:p>
    <w:p w:rsidR="00DD3425" w:rsidRDefault="00DD3425" w:rsidP="00FA37A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Elec workshop </w:t>
      </w:r>
      <w:proofErr w:type="gramStart"/>
      <w:r>
        <w:rPr>
          <w:lang w:val="en-GB"/>
        </w:rPr>
        <w:t>will be issued</w:t>
      </w:r>
      <w:proofErr w:type="gramEnd"/>
      <w:r>
        <w:rPr>
          <w:lang w:val="en-GB"/>
        </w:rPr>
        <w:t xml:space="preserve"> </w:t>
      </w:r>
      <w:r w:rsidR="0052040B">
        <w:rPr>
          <w:lang w:val="en-GB"/>
        </w:rPr>
        <w:t xml:space="preserve">a </w:t>
      </w:r>
      <w:r w:rsidR="00FA37AF" w:rsidRPr="00FA37AF">
        <w:rPr>
          <w:lang w:val="en-GB"/>
        </w:rPr>
        <w:t xml:space="preserve">HP </w:t>
      </w:r>
      <w:proofErr w:type="spellStart"/>
      <w:r w:rsidR="00FA37AF" w:rsidRPr="00FA37AF">
        <w:rPr>
          <w:lang w:val="en-GB"/>
        </w:rPr>
        <w:t>ProDesk</w:t>
      </w:r>
      <w:proofErr w:type="spellEnd"/>
      <w:r w:rsidR="00FA37AF" w:rsidRPr="00FA37AF">
        <w:rPr>
          <w:lang w:val="en-GB"/>
        </w:rPr>
        <w:t xml:space="preserve"> 600 G</w:t>
      </w:r>
      <w:r w:rsidR="009F0F0D">
        <w:rPr>
          <w:lang w:val="en-GB"/>
        </w:rPr>
        <w:t>3</w:t>
      </w:r>
      <w:r w:rsidR="00FA37AF" w:rsidRPr="00FA37AF">
        <w:rPr>
          <w:lang w:val="en-GB"/>
        </w:rPr>
        <w:t xml:space="preserve"> SFF</w:t>
      </w:r>
      <w:r w:rsidR="0052040B">
        <w:rPr>
          <w:lang w:val="en-GB"/>
        </w:rPr>
        <w:t xml:space="preserve"> </w:t>
      </w:r>
      <w:r>
        <w:rPr>
          <w:lang w:val="en-GB"/>
        </w:rPr>
        <w:t xml:space="preserve">desktop with a DVD-RW drive. The Elec </w:t>
      </w:r>
      <w:proofErr w:type="gramStart"/>
      <w:r>
        <w:rPr>
          <w:lang w:val="en-GB"/>
        </w:rPr>
        <w:t>will also be issued</w:t>
      </w:r>
      <w:proofErr w:type="gramEnd"/>
      <w:r>
        <w:rPr>
          <w:lang w:val="en-GB"/>
        </w:rPr>
        <w:t xml:space="preserve"> a laptop.</w:t>
      </w:r>
    </w:p>
    <w:p w:rsidR="00DD3425" w:rsidRDefault="00DD3425" w:rsidP="00FA37AF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All other locations requiring a computer </w:t>
      </w:r>
      <w:proofErr w:type="gramStart"/>
      <w:r>
        <w:rPr>
          <w:lang w:val="en-GB"/>
        </w:rPr>
        <w:t>will be issued</w:t>
      </w:r>
      <w:proofErr w:type="gramEnd"/>
      <w:r>
        <w:rPr>
          <w:lang w:val="en-GB"/>
        </w:rPr>
        <w:t xml:space="preserve"> </w:t>
      </w:r>
      <w:r w:rsidR="00FA37AF" w:rsidRPr="00FA37AF">
        <w:rPr>
          <w:lang w:val="en-GB"/>
        </w:rPr>
        <w:t xml:space="preserve">HP </w:t>
      </w:r>
      <w:proofErr w:type="spellStart"/>
      <w:r w:rsidR="00FA37AF" w:rsidRPr="00FA37AF">
        <w:rPr>
          <w:lang w:val="en-GB"/>
        </w:rPr>
        <w:t>ProDesk</w:t>
      </w:r>
      <w:proofErr w:type="spellEnd"/>
      <w:r w:rsidR="00FA37AF" w:rsidRPr="00FA37AF">
        <w:rPr>
          <w:lang w:val="en-GB"/>
        </w:rPr>
        <w:t xml:space="preserve"> 600 G</w:t>
      </w:r>
      <w:r w:rsidR="009F0F0D">
        <w:rPr>
          <w:lang w:val="en-GB"/>
        </w:rPr>
        <w:t>3</w:t>
      </w:r>
      <w:r w:rsidR="00FA37AF" w:rsidRPr="00FA37AF">
        <w:rPr>
          <w:lang w:val="en-GB"/>
        </w:rPr>
        <w:t xml:space="preserve"> SFF</w:t>
      </w:r>
      <w:r w:rsidR="0052040B">
        <w:rPr>
          <w:lang w:val="en-GB"/>
        </w:rPr>
        <w:t xml:space="preserve"> </w:t>
      </w:r>
      <w:r>
        <w:rPr>
          <w:lang w:val="en-GB"/>
        </w:rPr>
        <w:t>desktops with DVD-RW drives.</w:t>
      </w:r>
    </w:p>
    <w:p w:rsidR="002F5CAC" w:rsidRPr="00DD3425" w:rsidRDefault="002F5CAC" w:rsidP="002F5CAC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r w:rsidRPr="002F5CAC">
        <w:rPr>
          <w:lang w:val="en-GB"/>
        </w:rPr>
        <w:t xml:space="preserve">HP </w:t>
      </w:r>
      <w:proofErr w:type="spellStart"/>
      <w:r w:rsidRPr="002F5CAC">
        <w:rPr>
          <w:lang w:val="en-GB"/>
        </w:rPr>
        <w:t>ProDesk</w:t>
      </w:r>
      <w:proofErr w:type="spellEnd"/>
      <w:r w:rsidRPr="002F5CAC">
        <w:rPr>
          <w:lang w:val="en-GB"/>
        </w:rPr>
        <w:t xml:space="preserve"> 600 G</w:t>
      </w:r>
      <w:r w:rsidR="009F0F0D">
        <w:rPr>
          <w:lang w:val="en-GB"/>
        </w:rPr>
        <w:t>2</w:t>
      </w:r>
      <w:r w:rsidRPr="002F5CAC">
        <w:rPr>
          <w:lang w:val="en-GB"/>
        </w:rPr>
        <w:t xml:space="preserve"> SFF</w:t>
      </w:r>
      <w:r>
        <w:rPr>
          <w:lang w:val="en-GB"/>
        </w:rPr>
        <w:t xml:space="preserve"> are not available, HP </w:t>
      </w:r>
      <w:proofErr w:type="spellStart"/>
      <w:r>
        <w:rPr>
          <w:lang w:val="en-GB"/>
        </w:rPr>
        <w:t>EliteDesk</w:t>
      </w:r>
      <w:proofErr w:type="spellEnd"/>
      <w:r>
        <w:rPr>
          <w:lang w:val="en-GB"/>
        </w:rPr>
        <w:t xml:space="preserve"> 800 G</w:t>
      </w:r>
      <w:r w:rsidR="009F0F0D">
        <w:rPr>
          <w:lang w:val="en-GB"/>
        </w:rPr>
        <w:t>3</w:t>
      </w:r>
      <w:r>
        <w:rPr>
          <w:lang w:val="en-GB"/>
        </w:rPr>
        <w:t xml:space="preserve"> SFF desktops </w:t>
      </w:r>
      <w:proofErr w:type="gramStart"/>
      <w:r>
        <w:rPr>
          <w:lang w:val="en-GB"/>
        </w:rPr>
        <w:t>can be used</w:t>
      </w:r>
      <w:proofErr w:type="gramEnd"/>
      <w:r w:rsidR="00EF6391">
        <w:rPr>
          <w:lang w:val="en-GB"/>
        </w:rPr>
        <w:t xml:space="preserve"> if approved by your team lead</w:t>
      </w:r>
      <w:r>
        <w:rPr>
          <w:lang w:val="en-GB"/>
        </w:rPr>
        <w:t>.</w:t>
      </w:r>
    </w:p>
    <w:p w:rsidR="00674DF8" w:rsidRDefault="00674DF8" w:rsidP="004D592E">
      <w:pPr>
        <w:rPr>
          <w:lang w:val="en-GB"/>
        </w:rPr>
      </w:pPr>
    </w:p>
    <w:p w:rsidR="005247F8" w:rsidRDefault="005247F8" w:rsidP="005247F8">
      <w:pPr>
        <w:pStyle w:val="Heading2"/>
        <w:rPr>
          <w:lang w:val="en-GB"/>
        </w:rPr>
      </w:pPr>
      <w:bookmarkStart w:id="15" w:name="_Toc449514649"/>
      <w:r>
        <w:rPr>
          <w:lang w:val="en-GB"/>
        </w:rPr>
        <w:t>“Offshore” vessels</w:t>
      </w:r>
      <w:bookmarkEnd w:id="15"/>
    </w:p>
    <w:p w:rsidR="005247F8" w:rsidRDefault="005247F8" w:rsidP="005247F8">
      <w:pPr>
        <w:rPr>
          <w:lang w:val="en-GB"/>
        </w:rPr>
      </w:pPr>
      <w:r>
        <w:rPr>
          <w:lang w:val="en-GB"/>
        </w:rPr>
        <w:t xml:space="preserve">Large “Offshore” vessels </w:t>
      </w:r>
      <w:proofErr w:type="gramStart"/>
      <w:r>
        <w:rPr>
          <w:lang w:val="en-GB"/>
        </w:rPr>
        <w:t xml:space="preserve">will </w:t>
      </w:r>
      <w:r w:rsidR="00681B7C">
        <w:rPr>
          <w:lang w:val="en-GB"/>
        </w:rPr>
        <w:t>also</w:t>
      </w:r>
      <w:r>
        <w:rPr>
          <w:lang w:val="en-GB"/>
        </w:rPr>
        <w:t xml:space="preserve"> be provided</w:t>
      </w:r>
      <w:proofErr w:type="gramEnd"/>
      <w:r>
        <w:rPr>
          <w:lang w:val="en-GB"/>
        </w:rPr>
        <w:t xml:space="preserve"> with:</w:t>
      </w:r>
    </w:p>
    <w:p w:rsidR="005247F8" w:rsidRDefault="005247F8" w:rsidP="005247F8">
      <w:pPr>
        <w:pStyle w:val="ListParagraph"/>
        <w:numPr>
          <w:ilvl w:val="0"/>
          <w:numId w:val="28"/>
        </w:numPr>
        <w:rPr>
          <w:lang w:val="en-GB"/>
        </w:rPr>
      </w:pPr>
      <w:r w:rsidRPr="005247F8">
        <w:rPr>
          <w:lang w:val="en-GB"/>
        </w:rPr>
        <w:t xml:space="preserve">a redundant NetApp solution </w:t>
      </w:r>
      <w:r>
        <w:rPr>
          <w:lang w:val="en-GB"/>
        </w:rPr>
        <w:t>for Survey use</w:t>
      </w:r>
    </w:p>
    <w:p w:rsidR="005247F8" w:rsidRDefault="005247F8" w:rsidP="005247F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5247F8">
        <w:rPr>
          <w:lang w:val="en-GB"/>
        </w:rPr>
        <w:t>Moxa</w:t>
      </w:r>
      <w:proofErr w:type="spellEnd"/>
      <w:r w:rsidRPr="005247F8">
        <w:rPr>
          <w:lang w:val="en-GB"/>
        </w:rPr>
        <w:t xml:space="preserve"> </w:t>
      </w:r>
      <w:proofErr w:type="spellStart"/>
      <w:r w:rsidRPr="005247F8">
        <w:rPr>
          <w:lang w:val="en-GB"/>
        </w:rPr>
        <w:t>N</w:t>
      </w:r>
      <w:r>
        <w:rPr>
          <w:lang w:val="en-GB"/>
        </w:rPr>
        <w:t>P</w:t>
      </w:r>
      <w:r w:rsidRPr="005247F8">
        <w:rPr>
          <w:lang w:val="en-GB"/>
        </w:rPr>
        <w:t>ort</w:t>
      </w:r>
      <w:proofErr w:type="spellEnd"/>
      <w:r w:rsidRPr="005247F8">
        <w:rPr>
          <w:lang w:val="en-GB"/>
        </w:rPr>
        <w:t xml:space="preserve"> 5610 </w:t>
      </w:r>
      <w:r>
        <w:rPr>
          <w:lang w:val="en-GB"/>
        </w:rPr>
        <w:t>serial server</w:t>
      </w:r>
    </w:p>
    <w:p w:rsidR="00F7700E" w:rsidRPr="005247F8" w:rsidRDefault="00F7700E" w:rsidP="005247F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larger Synology backup storage</w:t>
      </w:r>
    </w:p>
    <w:p w:rsidR="005247F8" w:rsidRDefault="005247F8" w:rsidP="005247F8">
      <w:pPr>
        <w:rPr>
          <w:lang w:val="en-GB"/>
        </w:rPr>
      </w:pPr>
    </w:p>
    <w:p w:rsidR="005247F8" w:rsidRDefault="005247F8" w:rsidP="005247F8">
      <w:pPr>
        <w:rPr>
          <w:lang w:val="en-GB"/>
        </w:rPr>
      </w:pPr>
      <w:r>
        <w:rPr>
          <w:lang w:val="en-GB"/>
        </w:rPr>
        <w:t xml:space="preserve">The NetApp will be redundant using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shelves with a total of 3 controllers. The primary shelf </w:t>
      </w:r>
      <w:proofErr w:type="gramStart"/>
      <w:r>
        <w:rPr>
          <w:lang w:val="en-GB"/>
        </w:rPr>
        <w:t>will be installed</w:t>
      </w:r>
      <w:proofErr w:type="gramEnd"/>
      <w:r>
        <w:rPr>
          <w:lang w:val="en-GB"/>
        </w:rPr>
        <w:t xml:space="preserve"> in the same location as the VRTX and the second shelf will be installed elsewhere on the ship. </w:t>
      </w:r>
    </w:p>
    <w:p w:rsidR="005247F8" w:rsidRDefault="005247F8" w:rsidP="005247F8">
      <w:pPr>
        <w:rPr>
          <w:lang w:val="en-GB"/>
        </w:rPr>
      </w:pPr>
    </w:p>
    <w:p w:rsidR="005247F8" w:rsidRDefault="005247F8" w:rsidP="005247F8">
      <w:pPr>
        <w:rPr>
          <w:lang w:val="en-GB"/>
        </w:rPr>
      </w:pPr>
      <w:r>
        <w:rPr>
          <w:lang w:val="en-GB"/>
        </w:rPr>
        <w:t xml:space="preserve">Offshore vessels </w:t>
      </w:r>
      <w:proofErr w:type="gramStart"/>
      <w:r>
        <w:rPr>
          <w:lang w:val="en-GB"/>
        </w:rPr>
        <w:t>will also be supplied</w:t>
      </w:r>
      <w:proofErr w:type="gramEnd"/>
      <w:r>
        <w:rPr>
          <w:lang w:val="en-GB"/>
        </w:rPr>
        <w:t xml:space="preserve"> with a </w:t>
      </w:r>
      <w:proofErr w:type="spellStart"/>
      <w:r w:rsidRPr="005247F8">
        <w:rPr>
          <w:lang w:val="en-GB"/>
        </w:rPr>
        <w:t>Moxa</w:t>
      </w:r>
      <w:proofErr w:type="spellEnd"/>
      <w:r w:rsidRPr="005247F8">
        <w:rPr>
          <w:lang w:val="en-GB"/>
        </w:rPr>
        <w:t xml:space="preserve"> </w:t>
      </w:r>
      <w:proofErr w:type="spellStart"/>
      <w:r w:rsidRPr="005247F8">
        <w:rPr>
          <w:lang w:val="en-GB"/>
        </w:rPr>
        <w:t>Nport</w:t>
      </w:r>
      <w:proofErr w:type="spellEnd"/>
      <w:r w:rsidRPr="005247F8">
        <w:rPr>
          <w:lang w:val="en-GB"/>
        </w:rPr>
        <w:t xml:space="preserve"> 5610 16</w:t>
      </w:r>
      <w:r>
        <w:rPr>
          <w:lang w:val="en-GB"/>
        </w:rPr>
        <w:t>-</w:t>
      </w:r>
      <w:r w:rsidRPr="005247F8">
        <w:rPr>
          <w:lang w:val="en-GB"/>
        </w:rPr>
        <w:t>port</w:t>
      </w:r>
      <w:r>
        <w:rPr>
          <w:lang w:val="en-GB"/>
        </w:rPr>
        <w:t xml:space="preserve"> serial server</w:t>
      </w:r>
      <w:r w:rsidR="009C0299">
        <w:rPr>
          <w:lang w:val="en-GB"/>
        </w:rPr>
        <w:t>, as long as the current stock lasts</w:t>
      </w:r>
      <w:r>
        <w:rPr>
          <w:lang w:val="en-GB"/>
        </w:rPr>
        <w:t xml:space="preserve">. </w:t>
      </w:r>
      <w:r w:rsidR="009C0299">
        <w:rPr>
          <w:lang w:val="en-GB"/>
        </w:rPr>
        <w:t xml:space="preserve">Once this stock </w:t>
      </w:r>
      <w:proofErr w:type="gramStart"/>
      <w:r w:rsidR="009C0299">
        <w:rPr>
          <w:lang w:val="en-GB"/>
        </w:rPr>
        <w:t>has been depleted</w:t>
      </w:r>
      <w:proofErr w:type="gramEnd"/>
      <w:r w:rsidR="009C0299">
        <w:rPr>
          <w:lang w:val="en-GB"/>
        </w:rPr>
        <w:t>, no new serial servers will be ordered.</w:t>
      </w:r>
    </w:p>
    <w:p w:rsidR="005247F8" w:rsidRDefault="005247F8" w:rsidP="004D592E">
      <w:pPr>
        <w:rPr>
          <w:lang w:val="en-GB"/>
        </w:rPr>
      </w:pPr>
    </w:p>
    <w:p w:rsidR="00F7700E" w:rsidRPr="007609C5" w:rsidRDefault="00F7700E" w:rsidP="004D592E">
      <w:pPr>
        <w:rPr>
          <w:lang w:val="en-GB"/>
        </w:rPr>
      </w:pPr>
      <w:r>
        <w:rPr>
          <w:lang w:val="en-GB"/>
        </w:rPr>
        <w:t xml:space="preserve">The standard Synology 4TB disks </w:t>
      </w:r>
      <w:proofErr w:type="gramStart"/>
      <w:r>
        <w:rPr>
          <w:lang w:val="en-GB"/>
        </w:rPr>
        <w:t>will be replaced</w:t>
      </w:r>
      <w:proofErr w:type="gramEnd"/>
      <w:r>
        <w:rPr>
          <w:lang w:val="en-GB"/>
        </w:rPr>
        <w:t xml:space="preserve"> with 8TB to make sure sufficient storage is available for backups.</w:t>
      </w:r>
    </w:p>
    <w:sectPr w:rsidR="00F7700E" w:rsidRPr="007609C5" w:rsidSect="004D592E">
      <w:headerReference w:type="default" r:id="rId9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BD" w:rsidRDefault="009E13BD">
      <w:r>
        <w:separator/>
      </w:r>
    </w:p>
  </w:endnote>
  <w:endnote w:type="continuationSeparator" w:id="0">
    <w:p w:rsidR="009E13BD" w:rsidRDefault="009E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BD" w:rsidRDefault="009E13BD">
      <w:r>
        <w:separator/>
      </w:r>
    </w:p>
  </w:footnote>
  <w:footnote w:type="continuationSeparator" w:id="0">
    <w:p w:rsidR="009E13BD" w:rsidRDefault="009E1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6B377B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9759C3" w:rsidP="009759C3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 Deployment Guidelines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6B377B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4D0B5F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Vandoren Gerrit</w:t>
          </w:r>
        </w:p>
        <w:p w:rsidR="009759C3" w:rsidRPr="0082018F" w:rsidRDefault="009759C3" w:rsidP="009759C3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82018F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JDN Standards - Deployment Guidelines.docx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92062">
            <w:rPr>
              <w:noProof/>
              <w:sz w:val="14"/>
              <w:szCs w:val="14"/>
              <w:lang w:val="en-US"/>
            </w:rPr>
            <w:t>20 December 2017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92062">
            <w:rPr>
              <w:noProof/>
              <w:sz w:val="14"/>
              <w:szCs w:val="14"/>
              <w:lang w:val="en-US"/>
            </w:rPr>
            <w:t>11:12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Vandoren Gerrit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Default="009759C3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24889"/>
    <w:multiLevelType w:val="hybridMultilevel"/>
    <w:tmpl w:val="E7B80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0720D"/>
    <w:multiLevelType w:val="hybridMultilevel"/>
    <w:tmpl w:val="B4049600"/>
    <w:lvl w:ilvl="0" w:tplc="F24A9CB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7"/>
  </w:num>
  <w:num w:numId="4">
    <w:abstractNumId w:val="28"/>
  </w:num>
  <w:num w:numId="5">
    <w:abstractNumId w:val="10"/>
  </w:num>
  <w:num w:numId="6">
    <w:abstractNumId w:val="20"/>
  </w:num>
  <w:num w:numId="7">
    <w:abstractNumId w:val="23"/>
  </w:num>
  <w:num w:numId="8">
    <w:abstractNumId w:val="11"/>
  </w:num>
  <w:num w:numId="9">
    <w:abstractNumId w:val="25"/>
  </w:num>
  <w:num w:numId="10">
    <w:abstractNumId w:val="8"/>
  </w:num>
  <w:num w:numId="11">
    <w:abstractNumId w:val="21"/>
  </w:num>
  <w:num w:numId="12">
    <w:abstractNumId w:val="22"/>
  </w:num>
  <w:num w:numId="13">
    <w:abstractNumId w:val="0"/>
  </w:num>
  <w:num w:numId="14">
    <w:abstractNumId w:val="12"/>
  </w:num>
  <w:num w:numId="15">
    <w:abstractNumId w:val="16"/>
  </w:num>
  <w:num w:numId="16">
    <w:abstractNumId w:val="1"/>
  </w:num>
  <w:num w:numId="17">
    <w:abstractNumId w:val="26"/>
  </w:num>
  <w:num w:numId="18">
    <w:abstractNumId w:val="15"/>
  </w:num>
  <w:num w:numId="19">
    <w:abstractNumId w:val="5"/>
  </w:num>
  <w:num w:numId="20">
    <w:abstractNumId w:val="18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27"/>
  </w:num>
  <w:num w:numId="26">
    <w:abstractNumId w:val="2"/>
  </w:num>
  <w:num w:numId="27">
    <w:abstractNumId w:val="14"/>
  </w:num>
  <w:num w:numId="28">
    <w:abstractNumId w:val="19"/>
  </w:num>
  <w:num w:numId="29">
    <w:abstractNumId w:val="17"/>
  </w:num>
  <w:num w:numId="30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04DDA"/>
    <w:rsid w:val="00013958"/>
    <w:rsid w:val="00027CF3"/>
    <w:rsid w:val="000324FB"/>
    <w:rsid w:val="00033A43"/>
    <w:rsid w:val="00034339"/>
    <w:rsid w:val="00041ABA"/>
    <w:rsid w:val="00045278"/>
    <w:rsid w:val="00051549"/>
    <w:rsid w:val="0005575E"/>
    <w:rsid w:val="000673CA"/>
    <w:rsid w:val="00067F62"/>
    <w:rsid w:val="0007116B"/>
    <w:rsid w:val="000759B7"/>
    <w:rsid w:val="00075F9F"/>
    <w:rsid w:val="000821A5"/>
    <w:rsid w:val="00084E71"/>
    <w:rsid w:val="00090E43"/>
    <w:rsid w:val="000914F5"/>
    <w:rsid w:val="00091A81"/>
    <w:rsid w:val="000A7616"/>
    <w:rsid w:val="000B0C3B"/>
    <w:rsid w:val="000B4DE4"/>
    <w:rsid w:val="000B572F"/>
    <w:rsid w:val="000C27E3"/>
    <w:rsid w:val="000C3B96"/>
    <w:rsid w:val="000C3D69"/>
    <w:rsid w:val="000C6A4A"/>
    <w:rsid w:val="000D30F5"/>
    <w:rsid w:val="000D42EC"/>
    <w:rsid w:val="000D4E52"/>
    <w:rsid w:val="000E1967"/>
    <w:rsid w:val="000E6306"/>
    <w:rsid w:val="000E6F10"/>
    <w:rsid w:val="000F1539"/>
    <w:rsid w:val="000F1910"/>
    <w:rsid w:val="00107062"/>
    <w:rsid w:val="00113D19"/>
    <w:rsid w:val="001327AC"/>
    <w:rsid w:val="00133445"/>
    <w:rsid w:val="00134FC1"/>
    <w:rsid w:val="00135FB9"/>
    <w:rsid w:val="00137021"/>
    <w:rsid w:val="00143AD1"/>
    <w:rsid w:val="00150BB2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D1B08"/>
    <w:rsid w:val="001F28A1"/>
    <w:rsid w:val="001F32FC"/>
    <w:rsid w:val="001F62D7"/>
    <w:rsid w:val="001F691F"/>
    <w:rsid w:val="0020253B"/>
    <w:rsid w:val="00205236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A4217"/>
    <w:rsid w:val="002B0AA2"/>
    <w:rsid w:val="002B33E4"/>
    <w:rsid w:val="002B6D2F"/>
    <w:rsid w:val="002C36E3"/>
    <w:rsid w:val="002C3E7C"/>
    <w:rsid w:val="002D59EE"/>
    <w:rsid w:val="002E5F5C"/>
    <w:rsid w:val="002F5CAC"/>
    <w:rsid w:val="002F71A4"/>
    <w:rsid w:val="00342892"/>
    <w:rsid w:val="00347542"/>
    <w:rsid w:val="00353630"/>
    <w:rsid w:val="003570D6"/>
    <w:rsid w:val="003575BE"/>
    <w:rsid w:val="00360BBA"/>
    <w:rsid w:val="00361FFE"/>
    <w:rsid w:val="00363B56"/>
    <w:rsid w:val="0036594D"/>
    <w:rsid w:val="00365B05"/>
    <w:rsid w:val="00365C45"/>
    <w:rsid w:val="00365D93"/>
    <w:rsid w:val="00370F07"/>
    <w:rsid w:val="0037123E"/>
    <w:rsid w:val="00371DA4"/>
    <w:rsid w:val="00383D83"/>
    <w:rsid w:val="003851E2"/>
    <w:rsid w:val="0038779B"/>
    <w:rsid w:val="00391AEA"/>
    <w:rsid w:val="003926EC"/>
    <w:rsid w:val="0039472E"/>
    <w:rsid w:val="00395C51"/>
    <w:rsid w:val="0039646C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3F49E3"/>
    <w:rsid w:val="00401591"/>
    <w:rsid w:val="00402AE4"/>
    <w:rsid w:val="00402EBA"/>
    <w:rsid w:val="00410272"/>
    <w:rsid w:val="004112F0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47CF"/>
    <w:rsid w:val="00455D34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A65AD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45EA"/>
    <w:rsid w:val="00514969"/>
    <w:rsid w:val="00516F48"/>
    <w:rsid w:val="0052040B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81A91"/>
    <w:rsid w:val="00585715"/>
    <w:rsid w:val="00590962"/>
    <w:rsid w:val="005920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600567"/>
    <w:rsid w:val="00602D48"/>
    <w:rsid w:val="00604951"/>
    <w:rsid w:val="0061255E"/>
    <w:rsid w:val="00622CE5"/>
    <w:rsid w:val="006262C5"/>
    <w:rsid w:val="00626A07"/>
    <w:rsid w:val="00642A63"/>
    <w:rsid w:val="00645C90"/>
    <w:rsid w:val="00651AF2"/>
    <w:rsid w:val="00665CAE"/>
    <w:rsid w:val="00666B23"/>
    <w:rsid w:val="00671FAC"/>
    <w:rsid w:val="00673649"/>
    <w:rsid w:val="00674DF8"/>
    <w:rsid w:val="006813F0"/>
    <w:rsid w:val="00681B7C"/>
    <w:rsid w:val="006824D6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3087"/>
    <w:rsid w:val="006D4D55"/>
    <w:rsid w:val="006D7886"/>
    <w:rsid w:val="006E08E1"/>
    <w:rsid w:val="006E299B"/>
    <w:rsid w:val="006E4CD6"/>
    <w:rsid w:val="006E6AFE"/>
    <w:rsid w:val="00711FE9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326A"/>
    <w:rsid w:val="00764270"/>
    <w:rsid w:val="00770F44"/>
    <w:rsid w:val="007805F4"/>
    <w:rsid w:val="007861BA"/>
    <w:rsid w:val="00786ED4"/>
    <w:rsid w:val="00787FE5"/>
    <w:rsid w:val="007A00B1"/>
    <w:rsid w:val="007A1A57"/>
    <w:rsid w:val="007A340D"/>
    <w:rsid w:val="007B2500"/>
    <w:rsid w:val="007B4312"/>
    <w:rsid w:val="007B68DD"/>
    <w:rsid w:val="007B74AE"/>
    <w:rsid w:val="007C0359"/>
    <w:rsid w:val="007C3B20"/>
    <w:rsid w:val="007D1560"/>
    <w:rsid w:val="007D43D9"/>
    <w:rsid w:val="007D54EA"/>
    <w:rsid w:val="007E0547"/>
    <w:rsid w:val="007E0A41"/>
    <w:rsid w:val="007E3546"/>
    <w:rsid w:val="007E5FBA"/>
    <w:rsid w:val="007F65E8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0756"/>
    <w:rsid w:val="008D3CFC"/>
    <w:rsid w:val="008D7915"/>
    <w:rsid w:val="008E5494"/>
    <w:rsid w:val="008E7366"/>
    <w:rsid w:val="008F2742"/>
    <w:rsid w:val="008F3423"/>
    <w:rsid w:val="008F5718"/>
    <w:rsid w:val="009046F7"/>
    <w:rsid w:val="009113DB"/>
    <w:rsid w:val="00924D07"/>
    <w:rsid w:val="009258E1"/>
    <w:rsid w:val="009319E4"/>
    <w:rsid w:val="00942E82"/>
    <w:rsid w:val="00947DE8"/>
    <w:rsid w:val="009538F7"/>
    <w:rsid w:val="0095536C"/>
    <w:rsid w:val="0096281F"/>
    <w:rsid w:val="00965439"/>
    <w:rsid w:val="0096779C"/>
    <w:rsid w:val="0097071B"/>
    <w:rsid w:val="00970C9A"/>
    <w:rsid w:val="00970D3E"/>
    <w:rsid w:val="009742D5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13BD"/>
    <w:rsid w:val="009E21F3"/>
    <w:rsid w:val="009E346C"/>
    <w:rsid w:val="009E3FE3"/>
    <w:rsid w:val="009F0250"/>
    <w:rsid w:val="009F0F0D"/>
    <w:rsid w:val="009F6DDB"/>
    <w:rsid w:val="00A120F4"/>
    <w:rsid w:val="00A12689"/>
    <w:rsid w:val="00A209AE"/>
    <w:rsid w:val="00A2390A"/>
    <w:rsid w:val="00A2506C"/>
    <w:rsid w:val="00A25F63"/>
    <w:rsid w:val="00A264E0"/>
    <w:rsid w:val="00A26C6D"/>
    <w:rsid w:val="00A271DA"/>
    <w:rsid w:val="00A30483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F028B"/>
    <w:rsid w:val="00B10DA1"/>
    <w:rsid w:val="00B11D1C"/>
    <w:rsid w:val="00B23681"/>
    <w:rsid w:val="00B3139D"/>
    <w:rsid w:val="00B34509"/>
    <w:rsid w:val="00B44AE6"/>
    <w:rsid w:val="00B5075C"/>
    <w:rsid w:val="00B5080E"/>
    <w:rsid w:val="00B51036"/>
    <w:rsid w:val="00B5475B"/>
    <w:rsid w:val="00B77921"/>
    <w:rsid w:val="00B914D7"/>
    <w:rsid w:val="00B925F9"/>
    <w:rsid w:val="00B92E6F"/>
    <w:rsid w:val="00B9502C"/>
    <w:rsid w:val="00B96E07"/>
    <w:rsid w:val="00BB37D1"/>
    <w:rsid w:val="00BB4DA8"/>
    <w:rsid w:val="00BB6E4A"/>
    <w:rsid w:val="00BC381C"/>
    <w:rsid w:val="00BC3AE7"/>
    <w:rsid w:val="00BD04DE"/>
    <w:rsid w:val="00BD0A9E"/>
    <w:rsid w:val="00BD0F28"/>
    <w:rsid w:val="00BD1B7A"/>
    <w:rsid w:val="00BD7EA7"/>
    <w:rsid w:val="00BF103E"/>
    <w:rsid w:val="00BF745B"/>
    <w:rsid w:val="00C059C5"/>
    <w:rsid w:val="00C106C7"/>
    <w:rsid w:val="00C11703"/>
    <w:rsid w:val="00C17390"/>
    <w:rsid w:val="00C23870"/>
    <w:rsid w:val="00C24F0B"/>
    <w:rsid w:val="00C42744"/>
    <w:rsid w:val="00C43935"/>
    <w:rsid w:val="00C445D1"/>
    <w:rsid w:val="00C453ED"/>
    <w:rsid w:val="00C4604E"/>
    <w:rsid w:val="00C46342"/>
    <w:rsid w:val="00C5013A"/>
    <w:rsid w:val="00C52A3B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23E6"/>
    <w:rsid w:val="00D13781"/>
    <w:rsid w:val="00D1726A"/>
    <w:rsid w:val="00D22C60"/>
    <w:rsid w:val="00D27042"/>
    <w:rsid w:val="00D34B2E"/>
    <w:rsid w:val="00D41499"/>
    <w:rsid w:val="00D4237C"/>
    <w:rsid w:val="00D47FAC"/>
    <w:rsid w:val="00D532E7"/>
    <w:rsid w:val="00D61D06"/>
    <w:rsid w:val="00D73557"/>
    <w:rsid w:val="00D80662"/>
    <w:rsid w:val="00D942D7"/>
    <w:rsid w:val="00D948C7"/>
    <w:rsid w:val="00DA646E"/>
    <w:rsid w:val="00DC0E0A"/>
    <w:rsid w:val="00DC22AE"/>
    <w:rsid w:val="00DC679F"/>
    <w:rsid w:val="00DD009F"/>
    <w:rsid w:val="00DD0C81"/>
    <w:rsid w:val="00DD28D5"/>
    <w:rsid w:val="00DD30FB"/>
    <w:rsid w:val="00DD3425"/>
    <w:rsid w:val="00DE0A45"/>
    <w:rsid w:val="00DE2783"/>
    <w:rsid w:val="00DE5817"/>
    <w:rsid w:val="00E03563"/>
    <w:rsid w:val="00E102E8"/>
    <w:rsid w:val="00E12EC0"/>
    <w:rsid w:val="00E12FCE"/>
    <w:rsid w:val="00E1427C"/>
    <w:rsid w:val="00E163EB"/>
    <w:rsid w:val="00E21721"/>
    <w:rsid w:val="00E22391"/>
    <w:rsid w:val="00E25758"/>
    <w:rsid w:val="00E31B0A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96C04"/>
    <w:rsid w:val="00EA4170"/>
    <w:rsid w:val="00EA73A8"/>
    <w:rsid w:val="00EA788D"/>
    <w:rsid w:val="00EB1BEE"/>
    <w:rsid w:val="00EB2ED0"/>
    <w:rsid w:val="00EC0505"/>
    <w:rsid w:val="00EC2819"/>
    <w:rsid w:val="00ED0D6A"/>
    <w:rsid w:val="00ED19A8"/>
    <w:rsid w:val="00ED2647"/>
    <w:rsid w:val="00ED2D06"/>
    <w:rsid w:val="00ED3A33"/>
    <w:rsid w:val="00ED4306"/>
    <w:rsid w:val="00ED4FF3"/>
    <w:rsid w:val="00ED7C5A"/>
    <w:rsid w:val="00EE05DA"/>
    <w:rsid w:val="00EE1DA8"/>
    <w:rsid w:val="00EF57D6"/>
    <w:rsid w:val="00EF6391"/>
    <w:rsid w:val="00F046DB"/>
    <w:rsid w:val="00F126BC"/>
    <w:rsid w:val="00F20C60"/>
    <w:rsid w:val="00F26DA2"/>
    <w:rsid w:val="00F317EC"/>
    <w:rsid w:val="00F331A9"/>
    <w:rsid w:val="00F3792A"/>
    <w:rsid w:val="00F406C6"/>
    <w:rsid w:val="00F458B3"/>
    <w:rsid w:val="00F4639F"/>
    <w:rsid w:val="00F52A75"/>
    <w:rsid w:val="00F57CA9"/>
    <w:rsid w:val="00F65A10"/>
    <w:rsid w:val="00F71D7F"/>
    <w:rsid w:val="00F73ECD"/>
    <w:rsid w:val="00F7700E"/>
    <w:rsid w:val="00F7741F"/>
    <w:rsid w:val="00F779C2"/>
    <w:rsid w:val="00F959A8"/>
    <w:rsid w:val="00FA0BEC"/>
    <w:rsid w:val="00FA37AF"/>
    <w:rsid w:val="00FA696F"/>
    <w:rsid w:val="00FB7587"/>
    <w:rsid w:val="00FC113D"/>
    <w:rsid w:val="00FD3608"/>
    <w:rsid w:val="00FD7CC5"/>
    <w:rsid w:val="00FE491F"/>
    <w:rsid w:val="00FE7059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5B79"/>
  <w15:docId w15:val="{36BBC155-48BB-41A7-8761-E59C9333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5544-30EB-42DC-9194-2A123B21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De Boom David</cp:lastModifiedBy>
  <cp:revision>114</cp:revision>
  <cp:lastPrinted>2014-02-24T15:25:00Z</cp:lastPrinted>
  <dcterms:created xsi:type="dcterms:W3CDTF">2015-03-27T09:23:00Z</dcterms:created>
  <dcterms:modified xsi:type="dcterms:W3CDTF">2017-12-20T10:59:00Z</dcterms:modified>
</cp:coreProperties>
</file>