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ello-buddy-cloud-admin"/>
    <w:p>
      <w:pPr>
        <w:pStyle w:val="Heading1"/>
      </w:pPr>
      <w:r>
        <w:t xml:space="preserve">Hello Buddy — Cloud Admin</w:t>
      </w:r>
    </w:p>
    <w:p>
      <w:pPr>
        <w:pStyle w:val="FirstParagraph"/>
      </w:pPr>
      <w:r>
        <w:t xml:space="preserve">Containerised canine-physiotherapy admin running on Azure Container Apps: a public UI, an internal API, and an internal PDF service, backed by managed MySQL, Blob Storage, Key Vault, and Application Insights. Data is synthetic.</w:t>
      </w:r>
    </w:p>
    <w:bookmarkStart w:id="9" w:name="architecture-at-a-glance"/>
    <w:p>
      <w:pPr>
        <w:pStyle w:val="Heading2"/>
      </w:pPr>
      <w:r>
        <w:t xml:space="preserve">Architecture at a glance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ca-hello-buddy-ui</w:t>
      </w:r>
      <w:r>
        <w:t xml:space="preserve"> </w:t>
      </w:r>
      <w:r>
        <w:t xml:space="preserve">— external ingress, the only public surface.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ca-hello-buddy-api</w:t>
      </w:r>
      <w:r>
        <w:t xml:space="preserve"> </w:t>
      </w:r>
      <w:r>
        <w:t xml:space="preserve">— internal-only, reached via the UI.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ca-hello-buddy-pdf</w:t>
      </w:r>
      <w:r>
        <w:t xml:space="preserve"> </w:t>
      </w:r>
      <w:r>
        <w:t xml:space="preserve">— internal-only, renders programme PDFs.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MySQL Flexible Server</w:t>
      </w:r>
      <w:r>
        <w:t xml:space="preserve"> </w:t>
      </w:r>
      <w:r>
        <w:t xml:space="preserve">(private),</w:t>
      </w:r>
      <w:r>
        <w:t xml:space="preserve"> </w:t>
      </w:r>
      <w:r>
        <w:rPr>
          <w:b/>
          <w:bCs/>
        </w:rPr>
        <w:t xml:space="preserve">Blob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published-programmes</w:t>
      </w:r>
      <w:r>
        <w:t xml:space="preserve">, SAS download),</w:t>
      </w:r>
      <w:r>
        <w:t xml:space="preserve"> </w:t>
      </w:r>
      <w:r>
        <w:rPr>
          <w:b/>
          <w:bCs/>
        </w:rPr>
        <w:t xml:space="preserve">Key Vault</w:t>
      </w:r>
      <w:r>
        <w:t xml:space="preserve"> </w:t>
      </w:r>
      <w:r>
        <w:t xml:space="preserve">(secrets via managed identity),</w:t>
      </w:r>
      <w:r>
        <w:t xml:space="preserve"> </w:t>
      </w:r>
      <w:r>
        <w:rPr>
          <w:b/>
          <w:bCs/>
        </w:rPr>
        <w:t xml:space="preserve">App Insights</w:t>
      </w:r>
      <w:r>
        <w:t xml:space="preserve"> </w:t>
      </w:r>
      <w:r>
        <w:t xml:space="preserve">(telemetry).</w:t>
      </w:r>
    </w:p>
    <w:bookmarkEnd w:id="9"/>
    <w:bookmarkStart w:id="10" w:name="quick-start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Prerequisites:</w:t>
      </w:r>
      <w:r>
        <w:t xml:space="preserve"> </w:t>
      </w:r>
      <w:r>
        <w:t xml:space="preserve">Azure CLI, Terraform, Docker, and an Azure subscription.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</w:t>
      </w:r>
      <w:r>
        <w:t xml:space="preserve"> </w:t>
      </w:r>
      <w:r>
        <w:t xml:space="preserve">(in tier order):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for the network tier, then MySQL, then the container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&amp; push images:</w:t>
      </w:r>
      <w:r>
        <w:t xml:space="preserve"> </w:t>
      </w:r>
      <w:r>
        <w:rPr>
          <w:rStyle w:val="VerbatimChar"/>
        </w:rPr>
        <w:t xml:space="preserve">az acr build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images to</w:t>
      </w:r>
      <w:r>
        <w:t xml:space="preserve"> </w:t>
      </w:r>
      <w:r>
        <w:rPr>
          <w:rStyle w:val="VerbatimChar"/>
        </w:rPr>
        <w:t xml:space="preserve">acrhellobuddyprod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Seed &amp; verify:</w:t>
      </w:r>
      <w:r>
        <w:t xml:space="preserve"> </w:t>
      </w:r>
      <w:r>
        <w:t xml:space="preserve">run the database seed, then warm the UI:</w:t>
      </w:r>
      <w:r>
        <w:t xml:space="preserve"> </w:t>
      </w:r>
      <w:r>
        <w:rPr>
          <w:rStyle w:val="VerbatimChar"/>
        </w:rPr>
        <w:t xml:space="preserve">GET https://&lt;ui-fqdn&gt;/healthz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it:</w:t>
      </w:r>
      <w:r>
        <w:t xml:space="preserve"> </w:t>
      </w:r>
      <w:r>
        <w:t xml:space="preserve">open the UI URL → seeded case → programme builder → preview → publish.</w:t>
      </w:r>
    </w:p>
    <w:bookmarkEnd w:id="10"/>
    <w:bookmarkStart w:id="11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Cold-start lag:</w:t>
      </w:r>
      <w:r>
        <w:t xml:space="preserve"> </w:t>
      </w:r>
      <w:r>
        <w:t xml:space="preserve">hit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twice to warm the UI before a demo.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returns 401:</w:t>
      </w:r>
      <w:r>
        <w:t xml:space="preserve"> </w:t>
      </w:r>
      <w:r>
        <w:t xml:space="preserve">requests need the</w:t>
      </w:r>
      <w:r>
        <w:t xml:space="preserve"> </w:t>
      </w:r>
      <w:r>
        <w:rPr>
          <w:rStyle w:val="VerbatimChar"/>
        </w:rPr>
        <w:t xml:space="preserve">X-Practitioner-Id</w:t>
      </w:r>
      <w:r>
        <w:t xml:space="preserve"> </w:t>
      </w:r>
      <w:r>
        <w:t xml:space="preserve">header (the UI injects it; see DEC-010). Calling the API directly without it is rejected by design.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load returns 500:</w:t>
      </w:r>
      <w:r>
        <w:t xml:space="preserve"> </w:t>
      </w:r>
      <w:r>
        <w:t xml:space="preserve">usually an empty database or a bad</w:t>
      </w:r>
      <w:r>
        <w:t xml:space="preserve"> </w:t>
      </w:r>
      <w:r>
        <w:rPr>
          <w:rStyle w:val="VerbatimChar"/>
        </w:rPr>
        <w:t xml:space="preserve">ConnectionStrings</w:t>
      </w:r>
      <w:r>
        <w:t xml:space="preserve"> </w:t>
      </w:r>
      <w:r>
        <w:t xml:space="preserve">secret — reseed, or fix the Key Vault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SAS download returns 403:</w:t>
      </w:r>
      <w:r>
        <w:t xml:space="preserve"> </w:t>
      </w:r>
      <w:r>
        <w:t xml:space="preserve">the link has expired (30-minute TTL by design, DEC-011) — republish the programme to regenerate a fresh link.</w:t>
      </w:r>
    </w:p>
    <w:bookmarkEnd w:id="11"/>
    <w:bookmarkStart w:id="12" w:name="cost-estimate"/>
    <w:p>
      <w:pPr>
        <w:pStyle w:val="Heading2"/>
      </w:pPr>
      <w:r>
        <w:t xml:space="preserve">Cost estimate</w:t>
      </w:r>
    </w:p>
    <w:p>
      <w:pPr>
        <w:pStyle w:val="FirstParagraph"/>
      </w:pPr>
      <w:r>
        <w:t xml:space="preserve">A lean band of roughly</w:t>
      </w:r>
      <w:r>
        <w:t xml:space="preserve"> </w:t>
      </w:r>
      <w:r>
        <w:rPr>
          <w:b/>
          <w:bCs/>
        </w:rPr>
        <w:t xml:space="preserve">£18–£24/month</w:t>
      </w:r>
      <w:r>
        <w:t xml:space="preserve">, with headroom to the ~£30/month design budget. Container Apps scale to zero / down when idle, so the bill tracks ~40 active demand-hours/week rather than the 168 idle hours an always-on VM would charge for. Scheduling MySQL to office-hours-only in development (DEC-002) cuts data-tier compute by ~60%.</w:t>
      </w:r>
    </w:p>
    <w:bookmarkEnd w:id="12"/>
    <w:bookmarkStart w:id="13" w:name="carbon-estimate"/>
    <w:p>
      <w:pPr>
        <w:pStyle w:val="Heading2"/>
      </w:pPr>
      <w:r>
        <w:t xml:space="preserve">Carbon estimate</w:t>
      </w:r>
    </w:p>
    <w:p>
      <w:pPr>
        <w:pStyle w:val="FirstParagraph"/>
      </w:pPr>
      <w:r>
        <w:t xml:space="preserve">Directional only, using the Cloud Carbon Footprint methodology and Microsoft’s Emissions Impact Dashboard guidance. The same property that makes the container model cheaper — not paying for idle compute — also lowers its energy draw versus an always-on VM serving the same intermittent demand. Exact emissions depend on the data-centre grid mix and PUE, which are not transparent at tenant level, so this is a directional claim, not an exact kilogram figure.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2026-05-31T08:33:36Z</dcterms:created>
  <dcterms:modified xsi:type="dcterms:W3CDTF">2026-05-31T08:33:36Z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