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MASTER'S LEVEL RESEARCH &amp; SOFTWARE ENGINEERING PROJECT</w:t>
      </w:r>
    </w:p>
    <w:p>
      <w:pPr>
        <w:pStyle w:val="Title"/>
      </w:pPr>
      <w:r>
        <w:t>NeuroFusion-AI</w:t>
      </w:r>
    </w:p>
    <w:p>
      <w:r>
        <w:rPr>
          <w:b/>
          <w:color w:val="176B87"/>
          <w:sz w:val="36"/>
        </w:rPr>
        <w:t>Explainable Multimodal Machine Learning for Alzheimer's Disease Classification and Longitudinal Progression Prediction Using ADNI</w:t>
      </w:r>
    </w:p>
    <w:p>
      <w:r>
        <w:rPr>
          <w:color w:val="687987"/>
          <w:sz w:val="21"/>
        </w:rPr>
        <w:t>Python • Clinical &amp; Cognitive Data • MRI/PET • Biomarkers • Genetics • Temporal ML • Explainable AI</w:t>
      </w:r>
    </w:p>
    <w:p>
      <w:r>
        <w:drawing>
          <wp:inline xmlns:a="http://schemas.openxmlformats.org/drawingml/2006/main" xmlns:pic="http://schemas.openxmlformats.org/drawingml/2006/picture">
            <wp:extent cx="6446520" cy="360263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46520" cy="3602635"/>
                    </a:xfrm>
                    <a:prstGeom prst="rect"/>
                  </pic:spPr>
                </pic:pic>
              </a:graphicData>
            </a:graphic>
          </wp:inline>
        </w:drawing>
      </w:r>
    </w:p>
    <w:p>
      <w:pPr>
        <w:jc w:val="center"/>
      </w:pPr>
      <w:r>
        <w:rPr>
          <w:i/>
          <w:color w:val="263746"/>
          <w:sz w:val="22"/>
        </w:rPr>
        <w:t>A rigorous research platform for disease-state modelling, MCI-to-AD progression forecasting, multimodal fusion, uncertainty quantification and reproducible evaluation.</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rFonts w:ascii="Aptos" w:hAnsi="Aptos"/>
                <w:b/>
                <w:color w:val="FFFFFF"/>
                <w:sz w:val="17"/>
              </w:rPr>
              <w:t>PROJECT DIMENSION</w:t>
            </w:r>
          </w:p>
        </w:tc>
        <w:tc>
          <w:tcPr>
            <w:tcW w:type="dxa" w:w="5083"/>
            <w:shd w:fill="102A43"/>
            <w:vAlign w:val="center"/>
          </w:tcPr>
          <w:p>
            <w:r/>
            <w:r>
              <w:rPr>
                <w:rFonts w:ascii="Aptos" w:hAnsi="Aptos"/>
                <w:b/>
                <w:color w:val="FFFFFF"/>
                <w:sz w:val="17"/>
              </w:rPr>
              <w:t>SCOPE</w:t>
            </w:r>
          </w:p>
        </w:tc>
      </w:tr>
      <w:tr>
        <w:tc>
          <w:tcPr>
            <w:tcW w:type="dxa" w:w="5083"/>
            <w:vAlign w:val="center"/>
          </w:tcPr>
          <w:p>
            <w:r/>
            <w:r>
              <w:rPr>
                <w:rFonts w:ascii="Aptos" w:hAnsi="Aptos"/>
                <w:b w:val="0"/>
                <w:color w:val="263746"/>
                <w:sz w:val="17"/>
              </w:rPr>
              <w:t>Primary dataset</w:t>
            </w:r>
          </w:p>
        </w:tc>
        <w:tc>
          <w:tcPr>
            <w:tcW w:type="dxa" w:w="5083"/>
            <w:vAlign w:val="center"/>
          </w:tcPr>
          <w:p>
            <w:r/>
            <w:r>
              <w:rPr>
                <w:rFonts w:ascii="Aptos" w:hAnsi="Aptos"/>
                <w:b w:val="0"/>
                <w:color w:val="263746"/>
                <w:sz w:val="17"/>
              </w:rPr>
              <w:t>Alzheimer's Disease Neuroimaging Initiative (ADNI)</w:t>
            </w:r>
          </w:p>
        </w:tc>
      </w:tr>
      <w:tr>
        <w:tc>
          <w:tcPr>
            <w:tcW w:type="dxa" w:w="5083"/>
            <w:shd w:fill="F5F8FA"/>
            <w:vAlign w:val="center"/>
          </w:tcPr>
          <w:p>
            <w:r/>
            <w:r>
              <w:rPr>
                <w:rFonts w:ascii="Aptos" w:hAnsi="Aptos"/>
                <w:b w:val="0"/>
                <w:color w:val="263746"/>
                <w:sz w:val="17"/>
              </w:rPr>
              <w:t>Core tasks</w:t>
            </w:r>
          </w:p>
        </w:tc>
        <w:tc>
          <w:tcPr>
            <w:tcW w:type="dxa" w:w="5083"/>
            <w:shd w:fill="F5F8FA"/>
            <w:vAlign w:val="center"/>
          </w:tcPr>
          <w:p>
            <w:r/>
            <w:r>
              <w:rPr>
                <w:rFonts w:ascii="Aptos" w:hAnsi="Aptos"/>
                <w:b w:val="0"/>
                <w:color w:val="263746"/>
                <w:sz w:val="17"/>
              </w:rPr>
              <w:t>CN/MCI/AD classification; MCI→AD progression prediction</w:t>
            </w:r>
          </w:p>
        </w:tc>
      </w:tr>
      <w:tr>
        <w:tc>
          <w:tcPr>
            <w:tcW w:type="dxa" w:w="5083"/>
            <w:vAlign w:val="center"/>
          </w:tcPr>
          <w:p>
            <w:r/>
            <w:r>
              <w:rPr>
                <w:rFonts w:ascii="Aptos" w:hAnsi="Aptos"/>
                <w:b w:val="0"/>
                <w:color w:val="263746"/>
                <w:sz w:val="17"/>
              </w:rPr>
              <w:t>Data paradigm</w:t>
            </w:r>
          </w:p>
        </w:tc>
        <w:tc>
          <w:tcPr>
            <w:tcW w:type="dxa" w:w="5083"/>
            <w:vAlign w:val="center"/>
          </w:tcPr>
          <w:p>
            <w:r/>
            <w:r>
              <w:rPr>
                <w:rFonts w:ascii="Aptos" w:hAnsi="Aptos"/>
                <w:b w:val="0"/>
                <w:color w:val="263746"/>
                <w:sz w:val="17"/>
              </w:rPr>
              <w:t>Heterogeneous, longitudinal, multimodal patient data</w:t>
            </w:r>
          </w:p>
        </w:tc>
      </w:tr>
      <w:tr>
        <w:tc>
          <w:tcPr>
            <w:tcW w:type="dxa" w:w="5083"/>
            <w:shd w:fill="F5F8FA"/>
            <w:vAlign w:val="center"/>
          </w:tcPr>
          <w:p>
            <w:r/>
            <w:r>
              <w:rPr>
                <w:rFonts w:ascii="Aptos" w:hAnsi="Aptos"/>
                <w:b w:val="0"/>
                <w:color w:val="263746"/>
                <w:sz w:val="17"/>
              </w:rPr>
              <w:t>Implementation</w:t>
            </w:r>
          </w:p>
        </w:tc>
        <w:tc>
          <w:tcPr>
            <w:tcW w:type="dxa" w:w="5083"/>
            <w:shd w:fill="F5F8FA"/>
            <w:vAlign w:val="center"/>
          </w:tcPr>
          <w:p>
            <w:r/>
            <w:r>
              <w:rPr>
                <w:rFonts w:ascii="Aptos" w:hAnsi="Aptos"/>
                <w:b w:val="0"/>
                <w:color w:val="263746"/>
                <w:sz w:val="17"/>
              </w:rPr>
              <w:t>Python research platform + experiment manager + dashboard</w:t>
            </w:r>
          </w:p>
        </w:tc>
      </w:tr>
      <w:tr>
        <w:tc>
          <w:tcPr>
            <w:tcW w:type="dxa" w:w="5083"/>
            <w:vAlign w:val="center"/>
          </w:tcPr>
          <w:p>
            <w:r/>
            <w:r>
              <w:rPr>
                <w:rFonts w:ascii="Aptos" w:hAnsi="Aptos"/>
                <w:b w:val="0"/>
                <w:color w:val="263746"/>
                <w:sz w:val="17"/>
              </w:rPr>
              <w:t>Scientific emphasis</w:t>
            </w:r>
          </w:p>
        </w:tc>
        <w:tc>
          <w:tcPr>
            <w:tcW w:type="dxa" w:w="5083"/>
            <w:vAlign w:val="center"/>
          </w:tcPr>
          <w:p>
            <w:r/>
            <w:r>
              <w:rPr>
                <w:rFonts w:ascii="Aptos" w:hAnsi="Aptos"/>
                <w:b w:val="0"/>
                <w:color w:val="263746"/>
                <w:sz w:val="17"/>
              </w:rPr>
              <w:t>Fusion, temporal modelling, missing modalities, calibration, XAI</w:t>
            </w:r>
          </w:p>
        </w:tc>
      </w:tr>
    </w:tbl>
    <w:p>
      <w:r>
        <w:br w:type="page"/>
      </w:r>
    </w:p>
    <w:p>
      <w:pPr>
        <w:pStyle w:val="Heading1"/>
      </w:pPr>
      <w:r>
        <w:t>01  Research vision and project rationale</w:t>
      </w:r>
    </w:p>
    <w:p>
      <w:pPr>
        <w:spacing w:after="100" w:line="254" w:lineRule="auto"/>
      </w:pPr>
      <w:r>
        <w:t>Alzheimer's disease research increasingly depends on combining heterogeneous evidence rather than interpreting one measurement in isolation. NeuroFusion-AI will design, implement and evaluate a Python-based research platform that integrates clinical, cognitive, neuroimaging, biofluid biomarker and genetic information from ADNI into unified predictive models.</w:t>
      </w:r>
    </w:p>
    <w:p>
      <w:pPr>
        <w:spacing w:after="100" w:line="254" w:lineRule="auto"/>
      </w:pPr>
      <w:r>
        <w:t>ADNI is a longitudinal, multi-center observational study and provides clinical/cognitive assessments, MRI and PET imaging, biofluid biomarkers, genetic/omics information and demographic data to approved researchers. This multimodal structure makes it particularly suitable for studying both disease-state classification and longitudinal progression.</w:t>
      </w:r>
    </w:p>
    <w:p>
      <w:pPr>
        <w:pStyle w:val="Heading2"/>
      </w:pPr>
      <w:r>
        <w:t>Central research question</w:t>
      </w:r>
    </w:p>
    <w:p>
      <w:pPr>
        <w:spacing w:after="100" w:line="254" w:lineRule="auto"/>
      </w:pPr>
      <w:r>
        <w:t>Can multimodal machine learning that integrates heterogeneous and longitudinal ADNI information improve Alzheimer's disease-state classification and MCI-to-AD progression prediction compared with single-modality and conventional baseline models, while remaining calibrated, interpretable and robust to missing modalities?</w:t>
      </w:r>
    </w:p>
    <w:p>
      <w:pPr>
        <w:pStyle w:val="Heading2"/>
      </w:pPr>
      <w:r>
        <w:t>Primary hypotheses</w:t>
      </w:r>
    </w:p>
    <w:p>
      <w:pPr>
        <w:pStyle w:val="ListBullet"/>
        <w:spacing w:after="40"/>
      </w:pPr>
      <w:r>
        <w:t>H1 — Multimodal models will provide stronger out-of-sample discrimination and/or calibration than the best single-modality model.</w:t>
      </w:r>
    </w:p>
    <w:p>
      <w:pPr>
        <w:pStyle w:val="ListBullet"/>
        <w:spacing w:after="40"/>
      </w:pPr>
      <w:r>
        <w:t>H2 — Longitudinal representations will add predictive information beyond baseline-only representations.</w:t>
      </w:r>
    </w:p>
    <w:p>
      <w:pPr>
        <w:pStyle w:val="ListBullet"/>
        <w:spacing w:after="40"/>
      </w:pPr>
      <w:r>
        <w:t>H3 — Learned hybrid fusion will be competitive with or superior to simple concatenation and fixed late fusion.</w:t>
      </w:r>
    </w:p>
    <w:p>
      <w:pPr>
        <w:pStyle w:val="ListBullet"/>
        <w:spacing w:after="40"/>
      </w:pPr>
      <w:r>
        <w:t>H4 — Explicit missing-modality handling and uncertainty estimation will improve robustness when diagnostic modalities are unavailable.</w:t>
      </w:r>
    </w:p>
    <w:p>
      <w:pPr>
        <w:pStyle w:val="Heading2"/>
      </w:pPr>
      <w:r>
        <w:t>Research outputs</w:t>
      </w:r>
    </w:p>
    <w:p>
      <w:pPr>
        <w:pStyle w:val="ListBullet"/>
        <w:spacing w:after="40"/>
      </w:pPr>
      <w:r>
        <w:t>A reproducible ADNI cohort-building pipeline.</w:t>
      </w:r>
    </w:p>
    <w:p>
      <w:pPr>
        <w:pStyle w:val="ListBullet"/>
        <w:spacing w:after="40"/>
      </w:pPr>
      <w:r>
        <w:t>A benchmark suite of classical ML and deep-learning models.</w:t>
      </w:r>
    </w:p>
    <w:p>
      <w:pPr>
        <w:pStyle w:val="ListBullet"/>
        <w:spacing w:after="40"/>
      </w:pPr>
      <w:r>
        <w:t>A multimodal fusion framework.</w:t>
      </w:r>
    </w:p>
    <w:p>
      <w:pPr>
        <w:pStyle w:val="ListBullet"/>
        <w:spacing w:after="40"/>
      </w:pPr>
      <w:r>
        <w:t>Leakage-safe longitudinal progression experiments.</w:t>
      </w:r>
    </w:p>
    <w:p>
      <w:pPr>
        <w:pStyle w:val="ListBullet"/>
        <w:spacing w:after="40"/>
      </w:pPr>
      <w:r>
        <w:t>Explainability, calibration, uncertainty and subgroup analyses.</w:t>
      </w:r>
    </w:p>
    <w:p>
      <w:pPr>
        <w:pStyle w:val="ListBullet"/>
        <w:spacing w:after="40"/>
      </w:pPr>
      <w:r>
        <w:t>A research dashboard and auditable prediction ledger.</w:t>
      </w:r>
    </w:p>
    <w:p>
      <w:r>
        <w:br w:type="page"/>
      </w:r>
    </w:p>
    <w:p>
      <w:pPr>
        <w:pStyle w:val="Heading1"/>
      </w:pPr>
      <w:r>
        <w:t>02  ADNI data foundation</w:t>
      </w:r>
    </w:p>
    <w:p>
      <w:pPr>
        <w:spacing w:after="100" w:line="254" w:lineRule="auto"/>
      </w:pPr>
      <w:r>
        <w:t>The project will use ADNI as its primary dataset. The implementation must preserve participant identifiers only in the controlled research environment and must follow the ADNI Data Use Agreement and publication requirements. Data availability differs across ADNI phases and visits; therefore, the software must track provenance, acquisition time, modality availability and processing version.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2A43"/>
            <w:vAlign w:val="center"/>
          </w:tcPr>
          <w:p>
            <w:r/>
            <w:r>
              <w:rPr>
                <w:rFonts w:ascii="Aptos" w:hAnsi="Aptos"/>
                <w:b/>
                <w:color w:val="FFFFFF"/>
                <w:sz w:val="17"/>
              </w:rPr>
              <w:t>MODALITY</w:t>
            </w:r>
          </w:p>
        </w:tc>
        <w:tc>
          <w:tcPr>
            <w:tcW w:type="dxa" w:w="3389"/>
            <w:shd w:fill="102A43"/>
            <w:vAlign w:val="center"/>
          </w:tcPr>
          <w:p>
            <w:r/>
            <w:r>
              <w:rPr>
                <w:rFonts w:ascii="Aptos" w:hAnsi="Aptos"/>
                <w:b/>
                <w:color w:val="FFFFFF"/>
                <w:sz w:val="17"/>
              </w:rPr>
              <w:t>REPRESENTATIVE INFORMATION</w:t>
            </w:r>
          </w:p>
        </w:tc>
        <w:tc>
          <w:tcPr>
            <w:tcW w:type="dxa" w:w="3389"/>
            <w:shd w:fill="102A43"/>
            <w:vAlign w:val="center"/>
          </w:tcPr>
          <w:p>
            <w:r/>
            <w:r>
              <w:rPr>
                <w:rFonts w:ascii="Aptos" w:hAnsi="Aptos"/>
                <w:b/>
                <w:color w:val="FFFFFF"/>
                <w:sz w:val="17"/>
              </w:rPr>
              <w:t>MODELLING ROLE</w:t>
            </w:r>
          </w:p>
        </w:tc>
      </w:tr>
      <w:tr>
        <w:tc>
          <w:tcPr>
            <w:tcW w:type="dxa" w:w="3389"/>
            <w:vAlign w:val="center"/>
          </w:tcPr>
          <w:p>
            <w:r/>
            <w:r>
              <w:rPr>
                <w:rFonts w:ascii="Aptos" w:hAnsi="Aptos"/>
                <w:b w:val="0"/>
                <w:color w:val="263746"/>
                <w:sz w:val="17"/>
              </w:rPr>
              <w:t>Clinical</w:t>
            </w:r>
          </w:p>
        </w:tc>
        <w:tc>
          <w:tcPr>
            <w:tcW w:type="dxa" w:w="3389"/>
            <w:vAlign w:val="center"/>
          </w:tcPr>
          <w:p>
            <w:r/>
            <w:r>
              <w:rPr>
                <w:rFonts w:ascii="Aptos" w:hAnsi="Aptos"/>
                <w:b w:val="0"/>
                <w:color w:val="263746"/>
                <w:sz w:val="17"/>
              </w:rPr>
              <w:t>Diagnosis, medical history, function, neurological/physical assessments</w:t>
            </w:r>
          </w:p>
        </w:tc>
        <w:tc>
          <w:tcPr>
            <w:tcW w:type="dxa" w:w="3389"/>
            <w:vAlign w:val="center"/>
          </w:tcPr>
          <w:p>
            <w:r/>
            <w:r>
              <w:rPr>
                <w:rFonts w:ascii="Aptos" w:hAnsi="Aptos"/>
                <w:b w:val="0"/>
                <w:color w:val="263746"/>
                <w:sz w:val="17"/>
              </w:rPr>
              <w:t>Tabular + longitudinal</w:t>
            </w:r>
          </w:p>
        </w:tc>
      </w:tr>
      <w:tr>
        <w:tc>
          <w:tcPr>
            <w:tcW w:type="dxa" w:w="3389"/>
            <w:shd w:fill="F5F8FA"/>
            <w:vAlign w:val="center"/>
          </w:tcPr>
          <w:p>
            <w:r/>
            <w:r>
              <w:rPr>
                <w:rFonts w:ascii="Aptos" w:hAnsi="Aptos"/>
                <w:b w:val="0"/>
                <w:color w:val="263746"/>
                <w:sz w:val="17"/>
              </w:rPr>
              <w:t>Cognitive</w:t>
            </w:r>
          </w:p>
        </w:tc>
        <w:tc>
          <w:tcPr>
            <w:tcW w:type="dxa" w:w="3389"/>
            <w:shd w:fill="F5F8FA"/>
            <w:vAlign w:val="center"/>
          </w:tcPr>
          <w:p>
            <w:r/>
            <w:r>
              <w:rPr>
                <w:rFonts w:ascii="Aptos" w:hAnsi="Aptos"/>
                <w:b w:val="0"/>
                <w:color w:val="263746"/>
                <w:sz w:val="17"/>
              </w:rPr>
              <w:t>ADAS-Cog, CDR, MMSE, MoCA, AVLT, FAQ and related instruments</w:t>
            </w:r>
          </w:p>
        </w:tc>
        <w:tc>
          <w:tcPr>
            <w:tcW w:type="dxa" w:w="3389"/>
            <w:shd w:fill="F5F8FA"/>
            <w:vAlign w:val="center"/>
          </w:tcPr>
          <w:p>
            <w:r/>
            <w:r>
              <w:rPr>
                <w:rFonts w:ascii="Aptos" w:hAnsi="Aptos"/>
                <w:b w:val="0"/>
                <w:color w:val="263746"/>
                <w:sz w:val="17"/>
              </w:rPr>
              <w:t>Trajectory modelling</w:t>
            </w:r>
          </w:p>
        </w:tc>
      </w:tr>
      <w:tr>
        <w:tc>
          <w:tcPr>
            <w:tcW w:type="dxa" w:w="3389"/>
            <w:vAlign w:val="center"/>
          </w:tcPr>
          <w:p>
            <w:r/>
            <w:r>
              <w:rPr>
                <w:rFonts w:ascii="Aptos" w:hAnsi="Aptos"/>
                <w:b w:val="0"/>
                <w:color w:val="263746"/>
                <w:sz w:val="17"/>
              </w:rPr>
              <w:t>MRI</w:t>
            </w:r>
          </w:p>
        </w:tc>
        <w:tc>
          <w:tcPr>
            <w:tcW w:type="dxa" w:w="3389"/>
            <w:vAlign w:val="center"/>
          </w:tcPr>
          <w:p>
            <w:r/>
            <w:r>
              <w:rPr>
                <w:rFonts w:ascii="Aptos" w:hAnsi="Aptos"/>
                <w:b w:val="0"/>
                <w:color w:val="263746"/>
                <w:sz w:val="17"/>
              </w:rPr>
              <w:t>Structural/functional MRI; processed regional measures or raw images</w:t>
            </w:r>
          </w:p>
        </w:tc>
        <w:tc>
          <w:tcPr>
            <w:tcW w:type="dxa" w:w="3389"/>
            <w:vAlign w:val="center"/>
          </w:tcPr>
          <w:p>
            <w:r/>
            <w:r>
              <w:rPr>
                <w:rFonts w:ascii="Aptos" w:hAnsi="Aptos"/>
                <w:b w:val="0"/>
                <w:color w:val="263746"/>
                <w:sz w:val="17"/>
              </w:rPr>
              <w:t>Imaging / numeric biomarkers</w:t>
            </w:r>
          </w:p>
        </w:tc>
      </w:tr>
      <w:tr>
        <w:tc>
          <w:tcPr>
            <w:tcW w:type="dxa" w:w="3389"/>
            <w:shd w:fill="F5F8FA"/>
            <w:vAlign w:val="center"/>
          </w:tcPr>
          <w:p>
            <w:r/>
            <w:r>
              <w:rPr>
                <w:rFonts w:ascii="Aptos" w:hAnsi="Aptos"/>
                <w:b w:val="0"/>
                <w:color w:val="263746"/>
                <w:sz w:val="17"/>
              </w:rPr>
              <w:t>PET</w:t>
            </w:r>
          </w:p>
        </w:tc>
        <w:tc>
          <w:tcPr>
            <w:tcW w:type="dxa" w:w="3389"/>
            <w:shd w:fill="F5F8FA"/>
            <w:vAlign w:val="center"/>
          </w:tcPr>
          <w:p>
            <w:r/>
            <w:r>
              <w:rPr>
                <w:rFonts w:ascii="Aptos" w:hAnsi="Aptos"/>
                <w:b w:val="0"/>
                <w:color w:val="263746"/>
                <w:sz w:val="17"/>
              </w:rPr>
              <w:t>FDG, amyloid and tau PET where available</w:t>
            </w:r>
          </w:p>
        </w:tc>
        <w:tc>
          <w:tcPr>
            <w:tcW w:type="dxa" w:w="3389"/>
            <w:shd w:fill="F5F8FA"/>
            <w:vAlign w:val="center"/>
          </w:tcPr>
          <w:p>
            <w:r/>
            <w:r>
              <w:rPr>
                <w:rFonts w:ascii="Aptos" w:hAnsi="Aptos"/>
                <w:b w:val="0"/>
                <w:color w:val="263746"/>
                <w:sz w:val="17"/>
              </w:rPr>
              <w:t>Molecular imaging</w:t>
            </w:r>
          </w:p>
        </w:tc>
      </w:tr>
      <w:tr>
        <w:tc>
          <w:tcPr>
            <w:tcW w:type="dxa" w:w="3389"/>
            <w:vAlign w:val="center"/>
          </w:tcPr>
          <w:p>
            <w:r/>
            <w:r>
              <w:rPr>
                <w:rFonts w:ascii="Aptos" w:hAnsi="Aptos"/>
                <w:b w:val="0"/>
                <w:color w:val="263746"/>
                <w:sz w:val="17"/>
              </w:rPr>
              <w:t>Biofluid</w:t>
            </w:r>
          </w:p>
        </w:tc>
        <w:tc>
          <w:tcPr>
            <w:tcW w:type="dxa" w:w="3389"/>
            <w:vAlign w:val="center"/>
          </w:tcPr>
          <w:p>
            <w:r/>
            <w:r>
              <w:rPr>
                <w:rFonts w:ascii="Aptos" w:hAnsi="Aptos"/>
                <w:b w:val="0"/>
                <w:color w:val="263746"/>
                <w:sz w:val="17"/>
              </w:rPr>
              <w:t>Blood/CSF biomarker measurements</w:t>
            </w:r>
          </w:p>
        </w:tc>
        <w:tc>
          <w:tcPr>
            <w:tcW w:type="dxa" w:w="3389"/>
            <w:vAlign w:val="center"/>
          </w:tcPr>
          <w:p>
            <w:r/>
            <w:r>
              <w:rPr>
                <w:rFonts w:ascii="Aptos" w:hAnsi="Aptos"/>
                <w:b w:val="0"/>
                <w:color w:val="263746"/>
                <w:sz w:val="17"/>
              </w:rPr>
              <w:t>Tabular biomarker encoder</w:t>
            </w:r>
          </w:p>
        </w:tc>
      </w:tr>
      <w:tr>
        <w:tc>
          <w:tcPr>
            <w:tcW w:type="dxa" w:w="3389"/>
            <w:shd w:fill="F5F8FA"/>
            <w:vAlign w:val="center"/>
          </w:tcPr>
          <w:p>
            <w:r/>
            <w:r>
              <w:rPr>
                <w:rFonts w:ascii="Aptos" w:hAnsi="Aptos"/>
                <w:b w:val="0"/>
                <w:color w:val="263746"/>
                <w:sz w:val="17"/>
              </w:rPr>
              <w:t>Genetic/omics</w:t>
            </w:r>
          </w:p>
        </w:tc>
        <w:tc>
          <w:tcPr>
            <w:tcW w:type="dxa" w:w="3389"/>
            <w:shd w:fill="F5F8FA"/>
            <w:vAlign w:val="center"/>
          </w:tcPr>
          <w:p>
            <w:r/>
            <w:r>
              <w:rPr>
                <w:rFonts w:ascii="Aptos" w:hAnsi="Aptos"/>
                <w:b w:val="0"/>
                <w:color w:val="263746"/>
                <w:sz w:val="17"/>
              </w:rPr>
              <w:t>APOE and selected genomic/omics features</w:t>
            </w:r>
          </w:p>
        </w:tc>
        <w:tc>
          <w:tcPr>
            <w:tcW w:type="dxa" w:w="3389"/>
            <w:shd w:fill="F5F8FA"/>
            <w:vAlign w:val="center"/>
          </w:tcPr>
          <w:p>
            <w:r/>
            <w:r>
              <w:rPr>
                <w:rFonts w:ascii="Aptos" w:hAnsi="Aptos"/>
                <w:b w:val="0"/>
                <w:color w:val="263746"/>
                <w:sz w:val="17"/>
              </w:rPr>
              <w:t>Static / high-dimensional encoder</w:t>
            </w:r>
          </w:p>
        </w:tc>
      </w:tr>
    </w:tbl>
    <w:p>
      <w:pPr>
        <w:spacing w:after="100" w:line="254" w:lineRule="auto"/>
      </w:pPr>
      <w:r>
        <w:t>The core implementation should begin with standardized numerical features and processed imaging summaries. Direct 3D MRI/PET learning is an advanced extension, not a prerequisite for completing the scientifically rigorous multimodal pipeline.</w:t>
      </w:r>
    </w:p>
    <w:p>
      <w:r>
        <w:br w:type="page"/>
      </w:r>
    </w:p>
    <w:p>
      <w:pPr>
        <w:pStyle w:val="Heading1"/>
      </w:pPr>
      <w:r>
        <w:t>03  System architecture</w:t>
      </w:r>
    </w:p>
    <w:p>
      <w:pPr>
        <w:jc w:val="center"/>
      </w:pPr>
      <w:r>
        <w:drawing>
          <wp:inline xmlns:a="http://schemas.openxmlformats.org/drawingml/2006/main" xmlns:pic="http://schemas.openxmlformats.org/drawingml/2006/picture">
            <wp:extent cx="6400800" cy="3577084"/>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577084"/>
                    </a:xfrm>
                    <a:prstGeom prst="rect"/>
                  </pic:spPr>
                </pic:pic>
              </a:graphicData>
            </a:graphic>
          </wp:inline>
        </w:drawing>
      </w:r>
    </w:p>
    <w:p>
      <w:pPr>
        <w:spacing w:after="140"/>
        <w:jc w:val="center"/>
      </w:pPr>
      <w:r>
        <w:rPr>
          <w:i/>
          <w:color w:val="687987"/>
          <w:sz w:val="17"/>
        </w:rPr>
        <w:t>Figure 1. NeuroFusion-AI end-to-end architecture: heterogeneous ADNI modalities are harmonized, encoded, fused and evaluated through classification, progression, explainability and uncertainty layers.</w:t>
      </w:r>
    </w:p>
    <w:p>
      <w:pPr>
        <w:spacing w:after="100" w:line="254" w:lineRule="auto"/>
      </w:pPr>
      <w:r>
        <w:t>The architecture separates data engineering from modelling. This is deliberate: cohort definition, temporal alignment, quality control and leakage prevention are first-class research components rather than preprocessing details.</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rFonts w:ascii="Aptos" w:hAnsi="Aptos"/>
                <w:b/>
                <w:color w:val="FFFFFF"/>
                <w:sz w:val="17"/>
              </w:rPr>
              <w:t>LAYER</w:t>
            </w:r>
          </w:p>
        </w:tc>
        <w:tc>
          <w:tcPr>
            <w:tcW w:type="dxa" w:w="5083"/>
            <w:shd w:fill="102A43"/>
            <w:vAlign w:val="center"/>
          </w:tcPr>
          <w:p>
            <w:r/>
            <w:r>
              <w:rPr>
                <w:rFonts w:ascii="Aptos" w:hAnsi="Aptos"/>
                <w:b/>
                <w:color w:val="FFFFFF"/>
                <w:sz w:val="17"/>
              </w:rPr>
              <w:t>RESPONSIBILITY</w:t>
            </w:r>
          </w:p>
        </w:tc>
      </w:tr>
      <w:tr>
        <w:tc>
          <w:tcPr>
            <w:tcW w:type="dxa" w:w="5083"/>
            <w:vAlign w:val="center"/>
          </w:tcPr>
          <w:p>
            <w:r/>
            <w:r>
              <w:rPr>
                <w:rFonts w:ascii="Aptos" w:hAnsi="Aptos"/>
                <w:b w:val="0"/>
                <w:color w:val="263746"/>
                <w:sz w:val="17"/>
              </w:rPr>
              <w:t>Data governance</w:t>
            </w:r>
          </w:p>
        </w:tc>
        <w:tc>
          <w:tcPr>
            <w:tcW w:type="dxa" w:w="5083"/>
            <w:vAlign w:val="center"/>
          </w:tcPr>
          <w:p>
            <w:r/>
            <w:r>
              <w:rPr>
                <w:rFonts w:ascii="Aptos" w:hAnsi="Aptos"/>
                <w:b w:val="0"/>
                <w:color w:val="263746"/>
                <w:sz w:val="17"/>
              </w:rPr>
              <w:t>ADNI access, provenance, dictionaries, version tracking</w:t>
            </w:r>
          </w:p>
        </w:tc>
      </w:tr>
      <w:tr>
        <w:tc>
          <w:tcPr>
            <w:tcW w:type="dxa" w:w="5083"/>
            <w:shd w:fill="F5F8FA"/>
            <w:vAlign w:val="center"/>
          </w:tcPr>
          <w:p>
            <w:r/>
            <w:r>
              <w:rPr>
                <w:rFonts w:ascii="Aptos" w:hAnsi="Aptos"/>
                <w:b w:val="0"/>
                <w:color w:val="263746"/>
                <w:sz w:val="17"/>
              </w:rPr>
              <w:t>Harmonization</w:t>
            </w:r>
          </w:p>
        </w:tc>
        <w:tc>
          <w:tcPr>
            <w:tcW w:type="dxa" w:w="5083"/>
            <w:shd w:fill="F5F8FA"/>
            <w:vAlign w:val="center"/>
          </w:tcPr>
          <w:p>
            <w:r/>
            <w:r>
              <w:rPr>
                <w:rFonts w:ascii="Aptos" w:hAnsi="Aptos"/>
                <w:b w:val="0"/>
                <w:color w:val="263746"/>
                <w:sz w:val="17"/>
              </w:rPr>
              <w:t>Visit alignment, coding normalization, QC, missingness metadata</w:t>
            </w:r>
          </w:p>
        </w:tc>
      </w:tr>
      <w:tr>
        <w:tc>
          <w:tcPr>
            <w:tcW w:type="dxa" w:w="5083"/>
            <w:vAlign w:val="center"/>
          </w:tcPr>
          <w:p>
            <w:r/>
            <w:r>
              <w:rPr>
                <w:rFonts w:ascii="Aptos" w:hAnsi="Aptos"/>
                <w:b w:val="0"/>
                <w:color w:val="263746"/>
                <w:sz w:val="17"/>
              </w:rPr>
              <w:t>Representation</w:t>
            </w:r>
          </w:p>
        </w:tc>
        <w:tc>
          <w:tcPr>
            <w:tcW w:type="dxa" w:w="5083"/>
            <w:vAlign w:val="center"/>
          </w:tcPr>
          <w:p>
            <w:r/>
            <w:r>
              <w:rPr>
                <w:rFonts w:ascii="Aptos" w:hAnsi="Aptos"/>
                <w:b w:val="0"/>
                <w:color w:val="263746"/>
                <w:sz w:val="17"/>
              </w:rPr>
              <w:t>Static/tabular, imaging and temporal encoders</w:t>
            </w:r>
          </w:p>
        </w:tc>
      </w:tr>
      <w:tr>
        <w:tc>
          <w:tcPr>
            <w:tcW w:type="dxa" w:w="5083"/>
            <w:shd w:fill="F5F8FA"/>
            <w:vAlign w:val="center"/>
          </w:tcPr>
          <w:p>
            <w:r/>
            <w:r>
              <w:rPr>
                <w:rFonts w:ascii="Aptos" w:hAnsi="Aptos"/>
                <w:b w:val="0"/>
                <w:color w:val="263746"/>
                <w:sz w:val="17"/>
              </w:rPr>
              <w:t>Fusion</w:t>
            </w:r>
          </w:p>
        </w:tc>
        <w:tc>
          <w:tcPr>
            <w:tcW w:type="dxa" w:w="5083"/>
            <w:shd w:fill="F5F8FA"/>
            <w:vAlign w:val="center"/>
          </w:tcPr>
          <w:p>
            <w:r/>
            <w:r>
              <w:rPr>
                <w:rFonts w:ascii="Aptos" w:hAnsi="Aptos"/>
                <w:b w:val="0"/>
                <w:color w:val="263746"/>
                <w:sz w:val="17"/>
              </w:rPr>
              <w:t>Early, late and learned hybrid multimodal fusion</w:t>
            </w:r>
          </w:p>
        </w:tc>
      </w:tr>
      <w:tr>
        <w:tc>
          <w:tcPr>
            <w:tcW w:type="dxa" w:w="5083"/>
            <w:vAlign w:val="center"/>
          </w:tcPr>
          <w:p>
            <w:r/>
            <w:r>
              <w:rPr>
                <w:rFonts w:ascii="Aptos" w:hAnsi="Aptos"/>
                <w:b w:val="0"/>
                <w:color w:val="263746"/>
                <w:sz w:val="17"/>
              </w:rPr>
              <w:t>Prediction</w:t>
            </w:r>
          </w:p>
        </w:tc>
        <w:tc>
          <w:tcPr>
            <w:tcW w:type="dxa" w:w="5083"/>
            <w:vAlign w:val="center"/>
          </w:tcPr>
          <w:p>
            <w:r/>
            <w:r>
              <w:rPr>
                <w:rFonts w:ascii="Aptos" w:hAnsi="Aptos"/>
                <w:b w:val="0"/>
                <w:color w:val="263746"/>
                <w:sz w:val="17"/>
              </w:rPr>
              <w:t>CN/MCI/AD classification and MCI→AD progression</w:t>
            </w:r>
          </w:p>
        </w:tc>
      </w:tr>
      <w:tr>
        <w:tc>
          <w:tcPr>
            <w:tcW w:type="dxa" w:w="5083"/>
            <w:shd w:fill="F5F8FA"/>
            <w:vAlign w:val="center"/>
          </w:tcPr>
          <w:p>
            <w:r/>
            <w:r>
              <w:rPr>
                <w:rFonts w:ascii="Aptos" w:hAnsi="Aptos"/>
                <w:b w:val="0"/>
                <w:color w:val="263746"/>
                <w:sz w:val="17"/>
              </w:rPr>
              <w:t>Trustworthiness</w:t>
            </w:r>
          </w:p>
        </w:tc>
        <w:tc>
          <w:tcPr>
            <w:tcW w:type="dxa" w:w="5083"/>
            <w:shd w:fill="F5F8FA"/>
            <w:vAlign w:val="center"/>
          </w:tcPr>
          <w:p>
            <w:r/>
            <w:r>
              <w:rPr>
                <w:rFonts w:ascii="Aptos" w:hAnsi="Aptos"/>
                <w:b w:val="0"/>
                <w:color w:val="263746"/>
                <w:sz w:val="17"/>
              </w:rPr>
              <w:t>Calibration, uncertainty, XAI, subgroup and stress testing</w:t>
            </w:r>
          </w:p>
        </w:tc>
      </w:tr>
      <w:tr>
        <w:tc>
          <w:tcPr>
            <w:tcW w:type="dxa" w:w="5083"/>
            <w:vAlign w:val="center"/>
          </w:tcPr>
          <w:p>
            <w:r/>
            <w:r>
              <w:rPr>
                <w:rFonts w:ascii="Aptos" w:hAnsi="Aptos"/>
                <w:b w:val="0"/>
                <w:color w:val="263746"/>
                <w:sz w:val="17"/>
              </w:rPr>
              <w:t>Research interface</w:t>
            </w:r>
          </w:p>
        </w:tc>
        <w:tc>
          <w:tcPr>
            <w:tcW w:type="dxa" w:w="5083"/>
            <w:vAlign w:val="center"/>
          </w:tcPr>
          <w:p>
            <w:r/>
            <w:r>
              <w:rPr>
                <w:rFonts w:ascii="Aptos" w:hAnsi="Aptos"/>
                <w:b w:val="0"/>
                <w:color w:val="263746"/>
                <w:sz w:val="17"/>
              </w:rPr>
              <w:t>Experiment registry, prediction ledger, dashboard</w:t>
            </w:r>
          </w:p>
        </w:tc>
      </w:tr>
    </w:tbl>
    <w:p>
      <w:r>
        <w:br w:type="page"/>
      </w:r>
    </w:p>
    <w:p>
      <w:pPr>
        <w:pStyle w:val="Heading1"/>
      </w:pPr>
      <w:r>
        <w:t>04  Multimodal patient representation</w:t>
      </w:r>
    </w:p>
    <w:p>
      <w:pPr>
        <w:spacing w:after="100" w:line="254" w:lineRule="auto"/>
      </w:pPr>
      <w:r>
        <w:t>For participant p at visit time t, NeuroFusion-AI constructs a multimodal state from modality-specific representations. The notation below is conceptual; the exact dimensionality depends on the selected ADNI cohort and feature set.</w:t>
      </w:r>
    </w:p>
    <w:p>
      <w:pPr>
        <w:spacing w:before="60" w:after="120"/>
        <w:jc w:val="center"/>
      </w:pPr>
      <m:oMathPara>
        <m:oMathParaPr>
          <m:jc m:val="center"/>
        </m:oMathParaPr>
        <m:oMath>
          <m:sSub>
            <m:e>
              <m:r>
                <m:rPr>
                  <m:sty m:val="b"/>
                </m:rPr>
                <m:t>Z</m:t>
              </m:r>
            </m:e>
            <m:sub>
              <m:r>
                <m:t>p</m:t>
              </m:r>
              <m:r>
                <m:rPr>
                  <m:sty m:val="p"/>
                </m:rPr>
                <m:t>,</m:t>
              </m:r>
              <m:r>
                <m:t>t</m:t>
              </m:r>
            </m:sub>
          </m:sSub>
          <m:r>
            <m:rPr>
              <m:sty m:val="p"/>
            </m:rPr>
            <m:t>=</m:t>
          </m:r>
          <m:d>
            <m:dPr>
              <m:begChr m:val="["/>
              <m:endChr m:val="]"/>
              <m:sepChr m:val=""/>
              <m:grow/>
            </m:dPr>
            <m:e>
              <m:sSubSup>
                <m:e>
                  <m:r>
                    <m:rPr>
                      <m:sty m:val="b"/>
                    </m:rPr>
                    <m:t>z</m:t>
                  </m:r>
                </m:e>
                <m:sub>
                  <m:r>
                    <m:t>p</m:t>
                  </m:r>
                  <m:r>
                    <m:rPr>
                      <m:sty m:val="p"/>
                    </m:rPr>
                    <m:t>,</m:t>
                  </m:r>
                  <m:r>
                    <m:t>t</m:t>
                  </m:r>
                </m:sub>
                <m:sup>
                  <m:r>
                    <m:rPr>
                      <m:sty m:val="p"/>
                    </m:rPr>
                    <m:t>c</m:t>
                  </m:r>
                  <m:r>
                    <m:rPr>
                      <m:sty m:val="p"/>
                    </m:rPr>
                    <m:t>l</m:t>
                  </m:r>
                  <m:r>
                    <m:rPr>
                      <m:sty m:val="p"/>
                    </m:rPr>
                    <m:t>i</m:t>
                  </m:r>
                  <m:r>
                    <m:rPr>
                      <m:sty m:val="p"/>
                    </m:rPr>
                    <m:t>n</m:t>
                  </m:r>
                </m:sup>
              </m:sSubSup>
              <m:r>
                <m:t> </m:t>
              </m:r>
              <m:r>
                <m:rPr>
                  <m:sty m:val="p"/>
                </m:rPr>
                <m:t>‖</m:t>
              </m:r>
              <m:r>
                <m:t> </m:t>
              </m:r>
              <m:sSubSup>
                <m:e>
                  <m:r>
                    <m:rPr>
                      <m:sty m:val="b"/>
                    </m:rPr>
                    <m:t>z</m:t>
                  </m:r>
                </m:e>
                <m:sub>
                  <m:r>
                    <m:t>p</m:t>
                  </m:r>
                  <m:r>
                    <m:rPr>
                      <m:sty m:val="p"/>
                    </m:rPr>
                    <m:t>,</m:t>
                  </m:r>
                  <m:r>
                    <m:t>t</m:t>
                  </m:r>
                </m:sub>
                <m:sup>
                  <m:r>
                    <m:rPr>
                      <m:sty m:val="p"/>
                    </m:rPr>
                    <m:t>c</m:t>
                  </m:r>
                  <m:r>
                    <m:rPr>
                      <m:sty m:val="p"/>
                    </m:rPr>
                    <m:t>o</m:t>
                  </m:r>
                  <m:r>
                    <m:rPr>
                      <m:sty m:val="p"/>
                    </m:rPr>
                    <m:t>g</m:t>
                  </m:r>
                </m:sup>
              </m:sSubSup>
              <m:r>
                <m:t> </m:t>
              </m:r>
              <m:r>
                <m:rPr>
                  <m:sty m:val="p"/>
                </m:rPr>
                <m:t>‖</m:t>
              </m:r>
              <m:r>
                <m:t> </m:t>
              </m:r>
              <m:sSubSup>
                <m:e>
                  <m:r>
                    <m:rPr>
                      <m:sty m:val="b"/>
                    </m:rPr>
                    <m:t>z</m:t>
                  </m:r>
                </m:e>
                <m:sub>
                  <m:r>
                    <m:t>p</m:t>
                  </m:r>
                  <m:r>
                    <m:rPr>
                      <m:sty m:val="p"/>
                    </m:rPr>
                    <m:t>,</m:t>
                  </m:r>
                  <m:r>
                    <m:t>t</m:t>
                  </m:r>
                </m:sub>
                <m:sup>
                  <m:r>
                    <m:rPr>
                      <m:sty m:val="p"/>
                    </m:rPr>
                    <m:t>M</m:t>
                  </m:r>
                  <m:r>
                    <m:rPr>
                      <m:sty m:val="p"/>
                    </m:rPr>
                    <m:t>R</m:t>
                  </m:r>
                  <m:r>
                    <m:rPr>
                      <m:sty m:val="p"/>
                    </m:rPr>
                    <m:t>I</m:t>
                  </m:r>
                </m:sup>
              </m:sSubSup>
              <m:r>
                <m:t> </m:t>
              </m:r>
              <m:r>
                <m:rPr>
                  <m:sty m:val="p"/>
                </m:rPr>
                <m:t>‖</m:t>
              </m:r>
              <m:r>
                <m:t> </m:t>
              </m:r>
              <m:sSubSup>
                <m:e>
                  <m:r>
                    <m:rPr>
                      <m:sty m:val="b"/>
                    </m:rPr>
                    <m:t>z</m:t>
                  </m:r>
                </m:e>
                <m:sub>
                  <m:r>
                    <m:t>p</m:t>
                  </m:r>
                  <m:r>
                    <m:rPr>
                      <m:sty m:val="p"/>
                    </m:rPr>
                    <m:t>,</m:t>
                  </m:r>
                  <m:r>
                    <m:t>t</m:t>
                  </m:r>
                </m:sub>
                <m:sup>
                  <m:r>
                    <m:rPr>
                      <m:sty m:val="p"/>
                    </m:rPr>
                    <m:t>P</m:t>
                  </m:r>
                  <m:r>
                    <m:rPr>
                      <m:sty m:val="p"/>
                    </m:rPr>
                    <m:t>E</m:t>
                  </m:r>
                  <m:r>
                    <m:rPr>
                      <m:sty m:val="p"/>
                    </m:rPr>
                    <m:t>T</m:t>
                  </m:r>
                </m:sup>
              </m:sSubSup>
              <m:r>
                <m:t> </m:t>
              </m:r>
              <m:r>
                <m:rPr>
                  <m:sty m:val="p"/>
                </m:rPr>
                <m:t>‖</m:t>
              </m:r>
              <m:r>
                <m:t> </m:t>
              </m:r>
              <m:sSubSup>
                <m:e>
                  <m:r>
                    <m:rPr>
                      <m:sty m:val="b"/>
                    </m:rPr>
                    <m:t>z</m:t>
                  </m:r>
                </m:e>
                <m:sub>
                  <m:r>
                    <m:t>p</m:t>
                  </m:r>
                  <m:r>
                    <m:rPr>
                      <m:sty m:val="p"/>
                    </m:rPr>
                    <m:t>,</m:t>
                  </m:r>
                  <m:r>
                    <m:t>t</m:t>
                  </m:r>
                </m:sub>
                <m:sup>
                  <m:r>
                    <m:rPr>
                      <m:sty m:val="p"/>
                    </m:rPr>
                    <m:t>b</m:t>
                  </m:r>
                  <m:r>
                    <m:rPr>
                      <m:sty m:val="p"/>
                    </m:rPr>
                    <m:t>i</m:t>
                  </m:r>
                  <m:r>
                    <m:rPr>
                      <m:sty m:val="p"/>
                    </m:rPr>
                    <m:t>o</m:t>
                  </m:r>
                </m:sup>
              </m:sSubSup>
              <m:r>
                <m:t> </m:t>
              </m:r>
              <m:r>
                <m:rPr>
                  <m:sty m:val="p"/>
                </m:rPr>
                <m:t>‖</m:t>
              </m:r>
              <m:r>
                <m:t> </m:t>
              </m:r>
              <m:sSubSup>
                <m:e>
                  <m:r>
                    <m:rPr>
                      <m:sty m:val="b"/>
                    </m:rPr>
                    <m:t>z</m:t>
                  </m:r>
                </m:e>
                <m:sub>
                  <m:r>
                    <m:t>p</m:t>
                  </m:r>
                </m:sub>
                <m:sup>
                  <m:r>
                    <m:rPr>
                      <m:sty m:val="p"/>
                    </m:rPr>
                    <m:t>g</m:t>
                  </m:r>
                  <m:r>
                    <m:rPr>
                      <m:sty m:val="p"/>
                    </m:rPr>
                    <m:t>e</m:t>
                  </m:r>
                  <m:r>
                    <m:rPr>
                      <m:sty m:val="p"/>
                    </m:rPr>
                    <m:t>n</m:t>
                  </m:r>
                </m:sup>
              </m:sSubSup>
            </m:e>
          </m:d>
        </m:oMath>
      </m:oMathPara>
    </w:p>
    <w:p>
      <w:pPr>
        <w:spacing w:after="100" w:line="254" w:lineRule="auto"/>
      </w:pPr>
      <w:r>
        <w:t>The modality-availability vector explicitly records whether each information source is available:</w:t>
      </w:r>
    </w:p>
    <w:p>
      <w:pPr>
        <w:spacing w:before="60" w:after="120"/>
        <w:jc w:val="center"/>
      </w:pPr>
      <m:oMathPara>
        <m:oMathParaPr>
          <m:jc m:val="center"/>
        </m:oMathParaPr>
        <m:oMath>
          <m:sSub>
            <m:e>
              <m:r>
                <m:rPr>
                  <m:sty m:val="b"/>
                </m:rPr>
                <m:t>M</m:t>
              </m:r>
            </m:e>
            <m:sub>
              <m:r>
                <m:t>p</m:t>
              </m:r>
            </m:sub>
          </m:sSub>
          <m:r>
            <m:rPr>
              <m:sty m:val="p"/>
            </m:rPr>
            <m:t>=</m:t>
          </m:r>
          <m:d>
            <m:dPr>
              <m:begChr m:val="["/>
              <m:endChr m:val="]"/>
              <m:sepChr m:val=""/>
              <m:grow/>
            </m:dPr>
            <m:e>
              <m:sSub>
                <m:e>
                  <m:r>
                    <m:t>m</m:t>
                  </m:r>
                </m:e>
                <m:sub>
                  <m:r>
                    <m:rPr>
                      <m:sty m:val="p"/>
                    </m:rPr>
                    <m:t>c</m:t>
                  </m:r>
                  <m:r>
                    <m:rPr>
                      <m:sty m:val="p"/>
                    </m:rPr>
                    <m:t>l</m:t>
                  </m:r>
                  <m:r>
                    <m:rPr>
                      <m:sty m:val="p"/>
                    </m:rPr>
                    <m:t>i</m:t>
                  </m:r>
                  <m:r>
                    <m:rPr>
                      <m:sty m:val="p"/>
                    </m:rPr>
                    <m:t>n</m:t>
                  </m:r>
                </m:sub>
              </m:sSub>
              <m:r>
                <m:rPr>
                  <m:sty m:val="p"/>
                </m:rPr>
                <m:t>,</m:t>
              </m:r>
              <m:sSub>
                <m:e>
                  <m:r>
                    <m:t>m</m:t>
                  </m:r>
                </m:e>
                <m:sub>
                  <m:r>
                    <m:rPr>
                      <m:sty m:val="p"/>
                    </m:rPr>
                    <m:t>c</m:t>
                  </m:r>
                  <m:r>
                    <m:rPr>
                      <m:sty m:val="p"/>
                    </m:rPr>
                    <m:t>o</m:t>
                  </m:r>
                  <m:r>
                    <m:rPr>
                      <m:sty m:val="p"/>
                    </m:rPr>
                    <m:t>g</m:t>
                  </m:r>
                </m:sub>
              </m:sSub>
              <m:r>
                <m:rPr>
                  <m:sty m:val="p"/>
                </m:rPr>
                <m:t>,</m:t>
              </m:r>
              <m:sSub>
                <m:e>
                  <m:r>
                    <m:t>m</m:t>
                  </m:r>
                </m:e>
                <m:sub>
                  <m:r>
                    <m:rPr>
                      <m:sty m:val="p"/>
                    </m:rPr>
                    <m:t>M</m:t>
                  </m:r>
                  <m:r>
                    <m:rPr>
                      <m:sty m:val="p"/>
                    </m:rPr>
                    <m:t>R</m:t>
                  </m:r>
                  <m:r>
                    <m:rPr>
                      <m:sty m:val="p"/>
                    </m:rPr>
                    <m:t>I</m:t>
                  </m:r>
                </m:sub>
              </m:sSub>
              <m:r>
                <m:rPr>
                  <m:sty m:val="p"/>
                </m:rPr>
                <m:t>,</m:t>
              </m:r>
              <m:sSub>
                <m:e>
                  <m:r>
                    <m:t>m</m:t>
                  </m:r>
                </m:e>
                <m:sub>
                  <m:r>
                    <m:rPr>
                      <m:sty m:val="p"/>
                    </m:rPr>
                    <m:t>P</m:t>
                  </m:r>
                  <m:r>
                    <m:rPr>
                      <m:sty m:val="p"/>
                    </m:rPr>
                    <m:t>E</m:t>
                  </m:r>
                  <m:r>
                    <m:rPr>
                      <m:sty m:val="p"/>
                    </m:rPr>
                    <m:t>T</m:t>
                  </m:r>
                </m:sub>
              </m:sSub>
              <m:r>
                <m:rPr>
                  <m:sty m:val="p"/>
                </m:rPr>
                <m:t>,</m:t>
              </m:r>
              <m:sSub>
                <m:e>
                  <m:r>
                    <m:t>m</m:t>
                  </m:r>
                </m:e>
                <m:sub>
                  <m:r>
                    <m:rPr>
                      <m:sty m:val="p"/>
                    </m:rPr>
                    <m:t>b</m:t>
                  </m:r>
                  <m:r>
                    <m:rPr>
                      <m:sty m:val="p"/>
                    </m:rPr>
                    <m:t>i</m:t>
                  </m:r>
                  <m:r>
                    <m:rPr>
                      <m:sty m:val="p"/>
                    </m:rPr>
                    <m:t>o</m:t>
                  </m:r>
                </m:sub>
              </m:sSub>
              <m:r>
                <m:rPr>
                  <m:sty m:val="p"/>
                </m:rPr>
                <m:t>,</m:t>
              </m:r>
              <m:sSub>
                <m:e>
                  <m:r>
                    <m:t>m</m:t>
                  </m:r>
                </m:e>
                <m:sub>
                  <m:r>
                    <m:rPr>
                      <m:sty m:val="p"/>
                    </m:rPr>
                    <m:t>g</m:t>
                  </m:r>
                  <m:r>
                    <m:rPr>
                      <m:sty m:val="p"/>
                    </m:rPr>
                    <m:t>e</m:t>
                  </m:r>
                  <m:r>
                    <m:rPr>
                      <m:sty m:val="p"/>
                    </m:rPr>
                    <m:t>n</m:t>
                  </m:r>
                </m:sub>
              </m:sSub>
            </m:e>
          </m:d>
          <m:r>
            <m:rPr>
              <m:sty m:val="p"/>
            </m:rPr>
            <m:t>,</m:t>
          </m:r>
          <m:r>
            <m:t>  </m:t>
          </m:r>
          <m:sSub>
            <m:e>
              <m:r>
                <m:t>m</m:t>
              </m:r>
            </m:e>
            <m:sub>
              <m:r>
                <m:t>j</m:t>
              </m:r>
            </m:sub>
          </m:sSub>
          <m:r>
            <m:rPr>
              <m:sty m:val="p"/>
            </m:rPr>
            <m:t>∈</m:t>
          </m:r>
          <m:r>
            <m:rPr>
              <m:sty m:val="p"/>
            </m:rPr>
            <m:t>{</m:t>
          </m:r>
          <m:r>
            <m:t>0</m:t>
          </m:r>
          <m:r>
            <m:rPr>
              <m:sty m:val="p"/>
            </m:rPr>
            <m:t>,</m:t>
          </m:r>
          <m:r>
            <m:t>1</m:t>
          </m:r>
          <m:r>
            <m:rPr>
              <m:sty m:val="p"/>
            </m:rPr>
            <m:t>}</m:t>
          </m:r>
        </m:oMath>
      </m:oMathPara>
    </w:p>
    <w:p>
      <w:pPr>
        <w:spacing w:after="100" w:line="254" w:lineRule="auto"/>
      </w:pPr>
      <w:r>
        <w:t>Continuous features should be standardized using training-set statistics only:</w:t>
      </w:r>
    </w:p>
    <w:p>
      <w:pPr>
        <w:spacing w:before="60" w:after="120"/>
        <w:jc w:val="center"/>
      </w:pPr>
      <m:oMathPara>
        <m:oMathParaPr>
          <m:jc m:val="center"/>
        </m:oMathParaPr>
        <m:oMath>
          <m:sSub>
            <m:e>
              <m:r>
                <m:t>z</m:t>
              </m:r>
            </m:e>
            <m:sub>
              <m:r>
                <m:t>i</m:t>
              </m:r>
            </m:sub>
          </m:sSub>
          <m:r>
            <m:rPr>
              <m:sty m:val="p"/>
            </m:rPr>
            <m:t>=</m:t>
          </m:r>
          <m:f>
            <m:fPr>
              <m:type m:val="bar"/>
            </m:fPr>
            <m:num>
              <m:sSub>
                <m:e>
                  <m:r>
                    <m:t>x</m:t>
                  </m:r>
                </m:e>
                <m:sub>
                  <m:r>
                    <m:t>i</m:t>
                  </m:r>
                </m:sub>
              </m:sSub>
              <m:r>
                <m:rPr>
                  <m:sty m:val="p"/>
                </m:rPr>
                <m:t>−</m:t>
              </m:r>
              <m:sSub>
                <m:e>
                  <m:r>
                    <m:t>μ</m:t>
                  </m:r>
                </m:e>
                <m:sub>
                  <m:r>
                    <m:t>i</m:t>
                  </m:r>
                </m:sub>
              </m:sSub>
            </m:num>
            <m:den>
              <m:sSub>
                <m:e>
                  <m:r>
                    <m:t>σ</m:t>
                  </m:r>
                </m:e>
                <m:sub>
                  <m:r>
                    <m:t>i</m:t>
                  </m:r>
                </m:sub>
              </m:sSub>
            </m:den>
          </m:f>
        </m:oMath>
      </m:oMathPara>
    </w:p>
    <w:p>
      <w:pPr>
        <w:spacing w:after="100" w:line="254" w:lineRule="auto"/>
      </w:pPr>
      <w:r>
        <w:t>Where appropriate, MRI region-of-interest volumes can be normalized by intracranial volume:</w:t>
      </w:r>
    </w:p>
    <w:p>
      <w:pPr>
        <w:spacing w:before="60" w:after="120"/>
        <w:jc w:val="center"/>
      </w:pPr>
      <m:oMathPara>
        <m:oMathParaPr>
          <m:jc m:val="center"/>
        </m:oMathParaPr>
        <m:oMath>
          <m:sSub>
            <m:e>
              <m:r>
                <m:t>V</m:t>
              </m:r>
            </m:e>
            <m:sub>
              <m:r>
                <m:rPr>
                  <m:sty m:val="p"/>
                </m:rPr>
                <m:t>n</m:t>
              </m:r>
              <m:r>
                <m:rPr>
                  <m:sty m:val="p"/>
                </m:rPr>
                <m:t>o</m:t>
              </m:r>
              <m:r>
                <m:rPr>
                  <m:sty m:val="p"/>
                </m:rPr>
                <m:t>r</m:t>
              </m:r>
              <m:r>
                <m:rPr>
                  <m:sty m:val="p"/>
                </m:rPr>
                <m:t>m</m:t>
              </m:r>
            </m:sub>
          </m:sSub>
          <m:r>
            <m:rPr>
              <m:sty m:val="p"/>
            </m:rPr>
            <m:t>=</m:t>
          </m:r>
          <m:f>
            <m:fPr>
              <m:type m:val="bar"/>
            </m:fPr>
            <m:num>
              <m:sSub>
                <m:e>
                  <m:r>
                    <m:t>V</m:t>
                  </m:r>
                </m:e>
                <m:sub>
                  <m:r>
                    <m:rPr>
                      <m:sty m:val="p"/>
                    </m:rPr>
                    <m:t>R</m:t>
                  </m:r>
                  <m:r>
                    <m:rPr>
                      <m:sty m:val="p"/>
                    </m:rPr>
                    <m:t>O</m:t>
                  </m:r>
                  <m:r>
                    <m:rPr>
                      <m:sty m:val="p"/>
                    </m:rPr>
                    <m:t>I</m:t>
                  </m:r>
                </m:sub>
              </m:sSub>
            </m:num>
            <m:den>
              <m:sSub>
                <m:e>
                  <m:r>
                    <m:t>V</m:t>
                  </m:r>
                </m:e>
                <m:sub>
                  <m:r>
                    <m:rPr>
                      <m:sty m:val="p"/>
                    </m:rPr>
                    <m:t>I</m:t>
                  </m:r>
                  <m:r>
                    <m:rPr>
                      <m:sty m:val="p"/>
                    </m:rPr>
                    <m:t>C</m:t>
                  </m:r>
                  <m:r>
                    <m:rPr>
                      <m:sty m:val="p"/>
                    </m:rPr>
                    <m:t>V</m:t>
                  </m:r>
                </m:sub>
              </m:sSub>
            </m:den>
          </m:f>
        </m:oMath>
      </m:oMathPara>
    </w:p>
    <w:p>
      <w:pPr>
        <w:spacing w:after="100" w:line="254" w:lineRule="auto"/>
      </w:pPr>
      <w:r>
        <w:t>The project must maintain both the transformed value and the transformation provenance so that each experiment can be reproduced exactly.</w:t>
      </w:r>
    </w:p>
    <w:p>
      <w:r>
        <w:br w:type="page"/>
      </w:r>
    </w:p>
    <w:p>
      <w:pPr>
        <w:pStyle w:val="Heading1"/>
      </w:pPr>
      <w:r>
        <w:t>05  Multimodal fusion strategies</w:t>
      </w:r>
    </w:p>
    <w:p>
      <w:pPr>
        <w:jc w:val="center"/>
      </w:pPr>
      <w:r>
        <w:drawing>
          <wp:inline xmlns:a="http://schemas.openxmlformats.org/drawingml/2006/main" xmlns:pic="http://schemas.openxmlformats.org/drawingml/2006/picture">
            <wp:extent cx="6309360" cy="3173535"/>
            <wp:docPr id="3" name="Picture 3"/>
            <wp:cNvGraphicFramePr>
              <a:graphicFrameLocks noChangeAspect="1"/>
            </wp:cNvGraphicFramePr>
            <a:graphic>
              <a:graphicData uri="http://schemas.openxmlformats.org/drawingml/2006/picture">
                <pic:pic>
                  <pic:nvPicPr>
                    <pic:cNvPr id="0" name="fusion.png"/>
                    <pic:cNvPicPr/>
                  </pic:nvPicPr>
                  <pic:blipFill>
                    <a:blip r:embed="rId12"/>
                    <a:stretch>
                      <a:fillRect/>
                    </a:stretch>
                  </pic:blipFill>
                  <pic:spPr>
                    <a:xfrm>
                      <a:off x="0" y="0"/>
                      <a:ext cx="6309360" cy="3173535"/>
                    </a:xfrm>
                    <a:prstGeom prst="rect"/>
                  </pic:spPr>
                </pic:pic>
              </a:graphicData>
            </a:graphic>
          </wp:inline>
        </w:drawing>
      </w:r>
    </w:p>
    <w:p>
      <w:pPr>
        <w:spacing w:after="140"/>
        <w:jc w:val="center"/>
      </w:pPr>
      <w:r>
        <w:rPr>
          <w:i/>
          <w:color w:val="687987"/>
          <w:sz w:val="17"/>
        </w:rPr>
        <w:t>Figure 2. Early, late and learned hybrid fusion strategies to be compared experimentally.</w:t>
      </w:r>
    </w:p>
    <w:p>
      <w:pPr>
        <w:pStyle w:val="Heading2"/>
      </w:pPr>
      <w:r>
        <w:t>Early fusion</w:t>
      </w:r>
    </w:p>
    <w:p>
      <w:pPr>
        <w:spacing w:before="60" w:after="120"/>
        <w:jc w:val="center"/>
      </w:pPr>
      <m:oMathPara>
        <m:oMathParaPr>
          <m:jc m:val="center"/>
        </m:oMathParaPr>
        <m:oMath>
          <m:sSub>
            <m:e>
              <m:r>
                <m:rPr>
                  <m:sty m:val="b"/>
                </m:rPr>
                <m:t>Z</m:t>
              </m:r>
            </m:e>
            <m:sub>
              <m:r>
                <m:rPr>
                  <m:sty m:val="p"/>
                </m:rPr>
                <m:t>e</m:t>
              </m:r>
              <m:r>
                <m:rPr>
                  <m:sty m:val="p"/>
                </m:rPr>
                <m:t>a</m:t>
              </m:r>
              <m:r>
                <m:rPr>
                  <m:sty m:val="p"/>
                </m:rPr>
                <m:t>r</m:t>
              </m:r>
              <m:r>
                <m:rPr>
                  <m:sty m:val="p"/>
                </m:rPr>
                <m:t>l</m:t>
              </m:r>
              <m:r>
                <m:rPr>
                  <m:sty m:val="p"/>
                </m:rPr>
                <m:t>y</m:t>
              </m:r>
            </m:sub>
          </m:sSub>
          <m:r>
            <m:rPr>
              <m:sty m:val="p"/>
            </m:rPr>
            <m:t>=</m:t>
          </m:r>
          <m:d>
            <m:dPr>
              <m:begChr m:val="["/>
              <m:endChr m:val="]"/>
              <m:sepChr m:val=""/>
              <m:grow/>
            </m:dPr>
            <m:e>
              <m:sSub>
                <m:e>
                  <m:r>
                    <m:rPr>
                      <m:sty m:val="b"/>
                    </m:rPr>
                    <m:t>Z</m:t>
                  </m:r>
                </m:e>
                <m:sub>
                  <m:r>
                    <m:rPr>
                      <m:sty m:val="p"/>
                    </m:rPr>
                    <m:t>c</m:t>
                  </m:r>
                  <m:r>
                    <m:rPr>
                      <m:sty m:val="p"/>
                    </m:rPr>
                    <m:t>l</m:t>
                  </m:r>
                  <m:r>
                    <m:rPr>
                      <m:sty m:val="p"/>
                    </m:rPr>
                    <m:t>i</m:t>
                  </m:r>
                  <m:r>
                    <m:rPr>
                      <m:sty m:val="p"/>
                    </m:rPr>
                    <m:t>n</m:t>
                  </m:r>
                </m:sub>
              </m:sSub>
              <m:r>
                <m:rPr>
                  <m:sty m:val="p"/>
                </m:rPr>
                <m:t>‖</m:t>
              </m:r>
              <m:sSub>
                <m:e>
                  <m:r>
                    <m:rPr>
                      <m:sty m:val="b"/>
                    </m:rPr>
                    <m:t>Z</m:t>
                  </m:r>
                </m:e>
                <m:sub>
                  <m:r>
                    <m:rPr>
                      <m:sty m:val="p"/>
                    </m:rPr>
                    <m:t>c</m:t>
                  </m:r>
                  <m:r>
                    <m:rPr>
                      <m:sty m:val="p"/>
                    </m:rPr>
                    <m:t>o</m:t>
                  </m:r>
                  <m:r>
                    <m:rPr>
                      <m:sty m:val="p"/>
                    </m:rPr>
                    <m:t>g</m:t>
                  </m:r>
                </m:sub>
              </m:sSub>
              <m:r>
                <m:rPr>
                  <m:sty m:val="p"/>
                </m:rPr>
                <m:t>‖</m:t>
              </m:r>
              <m:sSub>
                <m:e>
                  <m:r>
                    <m:rPr>
                      <m:sty m:val="b"/>
                    </m:rPr>
                    <m:t>Z</m:t>
                  </m:r>
                </m:e>
                <m:sub>
                  <m:r>
                    <m:rPr>
                      <m:sty m:val="p"/>
                    </m:rPr>
                    <m:t>M</m:t>
                  </m:r>
                  <m:r>
                    <m:rPr>
                      <m:sty m:val="p"/>
                    </m:rPr>
                    <m:t>R</m:t>
                  </m:r>
                  <m:r>
                    <m:rPr>
                      <m:sty m:val="p"/>
                    </m:rPr>
                    <m:t>I</m:t>
                  </m:r>
                </m:sub>
              </m:sSub>
              <m:r>
                <m:rPr>
                  <m:sty m:val="p"/>
                </m:rPr>
                <m:t>‖</m:t>
              </m:r>
              <m:sSub>
                <m:e>
                  <m:r>
                    <m:rPr>
                      <m:sty m:val="b"/>
                    </m:rPr>
                    <m:t>Z</m:t>
                  </m:r>
                </m:e>
                <m:sub>
                  <m:r>
                    <m:rPr>
                      <m:sty m:val="p"/>
                    </m:rPr>
                    <m:t>P</m:t>
                  </m:r>
                  <m:r>
                    <m:rPr>
                      <m:sty m:val="p"/>
                    </m:rPr>
                    <m:t>E</m:t>
                  </m:r>
                  <m:r>
                    <m:rPr>
                      <m:sty m:val="p"/>
                    </m:rPr>
                    <m:t>T</m:t>
                  </m:r>
                </m:sub>
              </m:sSub>
              <m:r>
                <m:rPr>
                  <m:sty m:val="p"/>
                </m:rPr>
                <m:t>‖</m:t>
              </m:r>
              <m:sSub>
                <m:e>
                  <m:r>
                    <m:rPr>
                      <m:sty m:val="b"/>
                    </m:rPr>
                    <m:t>Z</m:t>
                  </m:r>
                </m:e>
                <m:sub>
                  <m:r>
                    <m:rPr>
                      <m:sty m:val="p"/>
                    </m:rPr>
                    <m:t>b</m:t>
                  </m:r>
                  <m:r>
                    <m:rPr>
                      <m:sty m:val="p"/>
                    </m:rPr>
                    <m:t>i</m:t>
                  </m:r>
                  <m:r>
                    <m:rPr>
                      <m:sty m:val="p"/>
                    </m:rPr>
                    <m:t>o</m:t>
                  </m:r>
                </m:sub>
              </m:sSub>
              <m:r>
                <m:rPr>
                  <m:sty m:val="p"/>
                </m:rPr>
                <m:t>‖</m:t>
              </m:r>
              <m:sSub>
                <m:e>
                  <m:r>
                    <m:rPr>
                      <m:sty m:val="b"/>
                    </m:rPr>
                    <m:t>Z</m:t>
                  </m:r>
                </m:e>
                <m:sub>
                  <m:r>
                    <m:rPr>
                      <m:sty m:val="p"/>
                    </m:rPr>
                    <m:t>g</m:t>
                  </m:r>
                  <m:r>
                    <m:rPr>
                      <m:sty m:val="p"/>
                    </m:rPr>
                    <m:t>e</m:t>
                  </m:r>
                  <m:r>
                    <m:rPr>
                      <m:sty m:val="p"/>
                    </m:rPr>
                    <m:t>n</m:t>
                  </m:r>
                </m:sub>
              </m:sSub>
            </m:e>
          </m:d>
        </m:oMath>
      </m:oMathPara>
    </w:p>
    <w:p>
      <w:pPr>
        <w:spacing w:before="60" w:after="120"/>
        <w:jc w:val="center"/>
      </w:pPr>
      <m:oMathPara>
        <m:oMathParaPr>
          <m:jc m:val="center"/>
        </m:oMathParaPr>
        <m:oMath>
          <m:acc>
            <m:accPr>
              <m:chr m:val="̂"/>
            </m:accPr>
            <m:e>
              <m:r>
                <m:t>y</m:t>
              </m:r>
            </m:e>
          </m:acc>
          <m:r>
            <m:rPr>
              <m:sty m:val="p"/>
            </m:rPr>
            <m:t>=</m:t>
          </m:r>
          <m:sSub>
            <m:e>
              <m:r>
                <m:t>f</m:t>
              </m:r>
            </m:e>
            <m:sub>
              <m:r>
                <m:t>θ</m:t>
              </m:r>
            </m:sub>
          </m:sSub>
          <m:r>
            <m:t>​</m:t>
          </m:r>
          <m:d>
            <m:dPr>
              <m:begChr m:val="("/>
              <m:endChr m:val=")"/>
              <m:sepChr m:val=""/>
              <m:grow/>
            </m:dPr>
            <m:e>
              <m:sSub>
                <m:e>
                  <m:r>
                    <m:rPr>
                      <m:sty m:val="b"/>
                    </m:rPr>
                    <m:t>Z</m:t>
                  </m:r>
                </m:e>
                <m:sub>
                  <m:r>
                    <m:rPr>
                      <m:sty m:val="p"/>
                    </m:rPr>
                    <m:t>e</m:t>
                  </m:r>
                  <m:r>
                    <m:rPr>
                      <m:sty m:val="p"/>
                    </m:rPr>
                    <m:t>a</m:t>
                  </m:r>
                  <m:r>
                    <m:rPr>
                      <m:sty m:val="p"/>
                    </m:rPr>
                    <m:t>r</m:t>
                  </m:r>
                  <m:r>
                    <m:rPr>
                      <m:sty m:val="p"/>
                    </m:rPr>
                    <m:t>l</m:t>
                  </m:r>
                  <m:r>
                    <m:rPr>
                      <m:sty m:val="p"/>
                    </m:rPr>
                    <m:t>y</m:t>
                  </m:r>
                </m:sub>
              </m:sSub>
            </m:e>
          </m:d>
        </m:oMath>
      </m:oMathPara>
    </w:p>
    <w:p>
      <w:pPr>
        <w:pStyle w:val="Heading2"/>
      </w:pPr>
      <w:r>
        <w:t>Late fusion</w:t>
      </w:r>
    </w:p>
    <w:p>
      <w:pPr>
        <w:spacing w:before="60" w:after="120"/>
        <w:jc w:val="center"/>
      </w:pPr>
      <m:oMathPara>
        <m:oMathParaPr>
          <m:jc m:val="center"/>
        </m:oMathParaPr>
        <m:oMath>
          <m:r>
            <m:t>P</m:t>
          </m:r>
          <m:d>
            <m:dPr>
              <m:begChr m:val="("/>
              <m:endChr m:val=")"/>
              <m:sepChr m:val=""/>
              <m:grow/>
            </m:dPr>
            <m:e>
              <m:r>
                <m:t>Y</m:t>
              </m:r>
              <m:r>
                <m:rPr>
                  <m:sty m:val="p"/>
                </m:rPr>
                <m:t>=</m:t>
              </m:r>
              <m:r>
                <m:t>c</m:t>
              </m:r>
              <m:r>
                <m:rPr>
                  <m:sty m:val="p"/>
                </m:rPr>
                <m:t>∣</m:t>
              </m:r>
              <m:r>
                <m:t>X</m:t>
              </m:r>
            </m:e>
          </m:d>
          <m:r>
            <m:rPr>
              <m:sty m:val="p"/>
            </m:rPr>
            <m:t>=</m:t>
          </m:r>
          <m:nary>
            <m:naryPr>
              <m:chr m:val="∑"/>
              <m:limLoc m:val="undOvr"/>
              <m:subHide m:val="off"/>
              <m:supHide m:val="off"/>
            </m:naryPr>
            <m:sub>
              <m:r>
                <m:t>m</m:t>
              </m:r>
              <m:r>
                <m:rPr>
                  <m:sty m:val="p"/>
                </m:rPr>
                <m:t>=</m:t>
              </m:r>
              <m:r>
                <m:t>1</m:t>
              </m:r>
            </m:sub>
            <m:sup>
              <m:r>
                <m:t>M</m:t>
              </m:r>
            </m:sup>
            <m:e>
              <m:sSub>
                <m:e>
                  <m:r>
                    <m:t>w</m:t>
                  </m:r>
                </m:e>
                <m:sub>
                  <m:r>
                    <m:t>m</m:t>
                  </m:r>
                </m:sub>
              </m:sSub>
            </m:e>
          </m:nary>
          <m:r>
            <m:t> </m:t>
          </m:r>
          <m:sSub>
            <m:e>
              <m:r>
                <m:t>P</m:t>
              </m:r>
            </m:e>
            <m:sub>
              <m:r>
                <m:t>m</m:t>
              </m:r>
            </m:sub>
          </m:sSub>
          <m:d>
            <m:dPr>
              <m:begChr m:val="("/>
              <m:endChr m:val=")"/>
              <m:sepChr m:val=""/>
              <m:grow/>
            </m:dPr>
            <m:e>
              <m:r>
                <m:t>Y</m:t>
              </m:r>
              <m:r>
                <m:rPr>
                  <m:sty m:val="p"/>
                </m:rPr>
                <m:t>=</m:t>
              </m:r>
              <m:r>
                <m:t>c</m:t>
              </m:r>
              <m:r>
                <m:rPr>
                  <m:sty m:val="p"/>
                </m:rPr>
                <m:t>∣</m:t>
              </m:r>
              <m:sSub>
                <m:e>
                  <m:r>
                    <m:t>X</m:t>
                  </m:r>
                </m:e>
                <m:sub>
                  <m:r>
                    <m:t>m</m:t>
                  </m:r>
                </m:sub>
              </m:sSub>
            </m:e>
          </m:d>
        </m:oMath>
      </m:oMathPara>
    </w:p>
    <w:p>
      <w:pPr>
        <w:spacing w:before="60" w:after="120"/>
        <w:jc w:val="center"/>
      </w:pPr>
      <m:oMathPara>
        <m:oMathParaPr>
          <m:jc m:val="center"/>
        </m:oMathParaPr>
        <m:oMath>
          <m:sSub>
            <m:e>
              <m:r>
                <m:t>w</m:t>
              </m:r>
            </m:e>
            <m:sub>
              <m:r>
                <m:t>m</m:t>
              </m:r>
            </m:sub>
          </m:sSub>
          <m:r>
            <m:rPr>
              <m:sty m:val="p"/>
            </m:rPr>
            <m:t>≥</m:t>
          </m:r>
          <m:r>
            <m:t>0</m:t>
          </m:r>
          <m:r>
            <m:rPr>
              <m:sty m:val="p"/>
            </m:rPr>
            <m:t>,</m:t>
          </m:r>
          <m:r>
            <m:t>  </m:t>
          </m:r>
          <m:nary>
            <m:naryPr>
              <m:chr m:val="∑"/>
              <m:limLoc m:val="undOvr"/>
              <m:subHide m:val="off"/>
              <m:supHide m:val="off"/>
            </m:naryPr>
            <m:sub>
              <m:r>
                <m:t>m</m:t>
              </m:r>
              <m:r>
                <m:rPr>
                  <m:sty m:val="p"/>
                </m:rPr>
                <m:t>=</m:t>
              </m:r>
              <m:r>
                <m:t>1</m:t>
              </m:r>
            </m:sub>
            <m:sup>
              <m:r>
                <m:t>M</m:t>
              </m:r>
            </m:sup>
            <m:e>
              <m:sSub>
                <m:e>
                  <m:r>
                    <m:t>w</m:t>
                  </m:r>
                </m:e>
                <m:sub>
                  <m:r>
                    <m:t>m</m:t>
                  </m:r>
                </m:sub>
              </m:sSub>
            </m:e>
          </m:nary>
          <m:r>
            <m:rPr>
              <m:sty m:val="p"/>
            </m:rPr>
            <m:t>=</m:t>
          </m:r>
          <m:r>
            <m:t>1</m:t>
          </m:r>
        </m:oMath>
      </m:oMathPara>
    </w:p>
    <w:p>
      <w:pPr>
        <w:pStyle w:val="Heading2"/>
      </w:pPr>
      <w:r>
        <w:t>Learned hybrid fusion</w:t>
      </w:r>
    </w:p>
    <w:p>
      <w:pPr>
        <w:spacing w:before="60" w:after="120"/>
        <w:jc w:val="center"/>
      </w:pPr>
      <m:oMathPara>
        <m:oMathParaPr>
          <m:jc m:val="center"/>
        </m:oMathParaPr>
        <m:oMath>
          <m:sSub>
            <m:e>
              <m:r>
                <m:rPr>
                  <m:sty m:val="b"/>
                </m:rPr>
                <m:t>h</m:t>
              </m:r>
            </m:e>
            <m:sub>
              <m:r>
                <m:t>m</m:t>
              </m:r>
            </m:sub>
          </m:sSub>
          <m:r>
            <m:rPr>
              <m:sty m:val="p"/>
            </m:rPr>
            <m:t>=</m:t>
          </m:r>
          <m:sSub>
            <m:e>
              <m:r>
                <m:t>f</m:t>
              </m:r>
            </m:e>
            <m:sub>
              <m:r>
                <m:t>m</m:t>
              </m:r>
            </m:sub>
          </m:sSub>
          <m:d>
            <m:dPr>
              <m:begChr m:val="("/>
              <m:endChr m:val=")"/>
              <m:sepChr m:val=""/>
              <m:grow/>
            </m:dPr>
            <m:e>
              <m:sSub>
                <m:e>
                  <m:r>
                    <m:rPr>
                      <m:sty m:val="b"/>
                    </m:rPr>
                    <m:t>X</m:t>
                  </m:r>
                </m:e>
                <m:sub>
                  <m:r>
                    <m:t>m</m:t>
                  </m:r>
                </m:sub>
              </m:sSub>
            </m:e>
          </m:d>
        </m:oMath>
      </m:oMathPara>
    </w:p>
    <w:p>
      <w:pPr>
        <w:spacing w:before="60" w:after="120"/>
        <w:jc w:val="center"/>
      </w:pPr>
      <m:oMathPara>
        <m:oMathParaPr>
          <m:jc m:val="center"/>
        </m:oMathParaPr>
        <m:oMath>
          <m:sSub>
            <m:e>
              <m:r>
                <m:t>α</m:t>
              </m:r>
            </m:e>
            <m:sub>
              <m:r>
                <m:t>m</m:t>
              </m:r>
            </m:sub>
          </m:sSub>
          <m:r>
            <m:rPr>
              <m:sty m:val="p"/>
            </m:rPr>
            <m:t>=</m:t>
          </m:r>
          <m:f>
            <m:fPr>
              <m:type m:val="bar"/>
            </m:fPr>
            <m:num>
              <m:r>
                <m:rPr>
                  <m:sty m:val="p"/>
                </m:rPr>
                <m:t>exp</m:t>
              </m:r>
              <m:d>
                <m:dPr>
                  <m:begChr m:val="("/>
                  <m:endChr m:val=")"/>
                  <m:sepChr m:val=""/>
                  <m:grow/>
                </m:dPr>
                <m:e>
                  <m:sSub>
                    <m:e>
                      <m:r>
                        <m:t>e</m:t>
                      </m:r>
                    </m:e>
                    <m:sub>
                      <m:r>
                        <m:t>m</m:t>
                      </m:r>
                    </m:sub>
                  </m:sSub>
                </m:e>
              </m:d>
            </m:num>
            <m:den>
              <m:nary>
                <m:naryPr>
                  <m:chr m:val="∑"/>
                  <m:limLoc m:val="undOvr"/>
                  <m:subHide m:val="off"/>
                  <m:supHide m:val="off"/>
                </m:naryPr>
                <m:sub>
                  <m:r>
                    <m:t>k</m:t>
                  </m:r>
                  <m:r>
                    <m:rPr>
                      <m:sty m:val="p"/>
                    </m:rPr>
                    <m:t>=</m:t>
                  </m:r>
                  <m:r>
                    <m:t>1</m:t>
                  </m:r>
                </m:sub>
                <m:sup>
                  <m:r>
                    <m:t>M</m:t>
                  </m:r>
                </m:sup>
                <m:e>
                  <m:r>
                    <m:rPr>
                      <m:sty m:val="p"/>
                    </m:rPr>
                    <m:t>exp</m:t>
                  </m:r>
                </m:e>
              </m:nary>
              <m:d>
                <m:dPr>
                  <m:begChr m:val="("/>
                  <m:endChr m:val=")"/>
                  <m:sepChr m:val=""/>
                  <m:grow/>
                </m:dPr>
                <m:e>
                  <m:sSub>
                    <m:e>
                      <m:r>
                        <m:t>e</m:t>
                      </m:r>
                    </m:e>
                    <m:sub>
                      <m:r>
                        <m:t>k</m:t>
                      </m:r>
                    </m:sub>
                  </m:sSub>
                </m:e>
              </m:d>
            </m:den>
          </m:f>
        </m:oMath>
      </m:oMathPara>
    </w:p>
    <w:p>
      <w:pPr>
        <w:spacing w:before="60" w:after="120"/>
        <w:jc w:val="center"/>
      </w:pPr>
      <m:oMathPara>
        <m:oMathParaPr>
          <m:jc m:val="center"/>
        </m:oMathParaPr>
        <m:oMath>
          <m:sSub>
            <m:e>
              <m:r>
                <m:rPr>
                  <m:sty m:val="b"/>
                </m:rPr>
                <m:t>h</m:t>
              </m:r>
            </m:e>
            <m:sub>
              <m:r>
                <m:rPr>
                  <m:sty m:val="p"/>
                </m:rPr>
                <m:t>f</m:t>
              </m:r>
              <m:r>
                <m:rPr>
                  <m:sty m:val="p"/>
                </m:rPr>
                <m:t>u</m:t>
              </m:r>
              <m:r>
                <m:rPr>
                  <m:sty m:val="p"/>
                </m:rPr>
                <m:t>s</m:t>
              </m:r>
              <m:r>
                <m:rPr>
                  <m:sty m:val="p"/>
                </m:rPr>
                <m:t>i</m:t>
              </m:r>
              <m:r>
                <m:rPr>
                  <m:sty m:val="p"/>
                </m:rPr>
                <m:t>o</m:t>
              </m:r>
              <m:r>
                <m:rPr>
                  <m:sty m:val="p"/>
                </m:rPr>
                <m:t>n</m:t>
              </m:r>
            </m:sub>
          </m:sSub>
          <m:r>
            <m:rPr>
              <m:sty m:val="p"/>
            </m:rPr>
            <m:t>=</m:t>
          </m:r>
          <m:nary>
            <m:naryPr>
              <m:chr m:val="∑"/>
              <m:limLoc m:val="undOvr"/>
              <m:subHide m:val="off"/>
              <m:supHide m:val="off"/>
            </m:naryPr>
            <m:sub>
              <m:r>
                <m:t>m</m:t>
              </m:r>
              <m:r>
                <m:rPr>
                  <m:sty m:val="p"/>
                </m:rPr>
                <m:t>=</m:t>
              </m:r>
              <m:r>
                <m:t>1</m:t>
              </m:r>
            </m:sub>
            <m:sup>
              <m:r>
                <m:t>M</m:t>
              </m:r>
            </m:sup>
            <m:e>
              <m:sSub>
                <m:e>
                  <m:r>
                    <m:t>α</m:t>
                  </m:r>
                </m:e>
                <m:sub>
                  <m:r>
                    <m:t>m</m:t>
                  </m:r>
                </m:sub>
              </m:sSub>
            </m:e>
          </m:nary>
          <m:sSub>
            <m:e>
              <m:r>
                <m:rPr>
                  <m:sty m:val="b"/>
                </m:rPr>
                <m:t>h</m:t>
              </m:r>
            </m:e>
            <m:sub>
              <m:r>
                <m:t>m</m:t>
              </m:r>
            </m:sub>
          </m:sSub>
        </m:oMath>
      </m:oMathPara>
    </w:p>
    <w:p>
      <w:pPr>
        <w:spacing w:after="100" w:line="254" w:lineRule="auto"/>
      </w:pPr>
      <w:r>
        <w:t>Attention weights may help characterize how the fusion model combines modalities, but they must not be presented as causal explanations.</w:t>
      </w:r>
    </w:p>
    <w:p>
      <w:r>
        <w:br w:type="page"/>
      </w:r>
    </w:p>
    <w:p>
      <w:pPr>
        <w:pStyle w:val="Heading1"/>
      </w:pPr>
      <w:r>
        <w:t>06  Task A — CN / MCI / AD classification</w:t>
      </w:r>
    </w:p>
    <w:p>
      <w:pPr>
        <w:spacing w:after="100" w:line="254" w:lineRule="auto"/>
      </w:pPr>
      <w:r>
        <w:t>The first predictive task is multiclass disease-state classification. The model must return a probability distribution, not only a hard label.</w:t>
      </w:r>
    </w:p>
    <w:p>
      <w:pPr>
        <w:spacing w:before="60" w:after="120"/>
        <w:jc w:val="center"/>
      </w:pPr>
      <m:oMathPara>
        <m:oMathParaPr>
          <m:jc m:val="center"/>
        </m:oMathParaPr>
        <m:oMath>
          <m:r>
            <m:t>Y</m:t>
          </m:r>
          <m:r>
            <m:rPr>
              <m:sty m:val="p"/>
            </m:rPr>
            <m:t>∈</m:t>
          </m:r>
          <m:r>
            <m:rPr>
              <m:sty m:val="p"/>
            </m:rPr>
            <m:t>{</m:t>
          </m:r>
          <m:r>
            <m:rPr>
              <m:sty m:val="p"/>
            </m:rPr>
            <m:t>C</m:t>
          </m:r>
          <m:r>
            <m:rPr>
              <m:sty m:val="p"/>
            </m:rPr>
            <m:t>N</m:t>
          </m:r>
          <m:r>
            <m:rPr>
              <m:sty m:val="p"/>
            </m:rPr>
            <m:t>,</m:t>
          </m:r>
          <m:r>
            <m:rPr>
              <m:sty m:val="p"/>
            </m:rPr>
            <m:t>M</m:t>
          </m:r>
          <m:r>
            <m:rPr>
              <m:sty m:val="p"/>
            </m:rPr>
            <m:t>C</m:t>
          </m:r>
          <m:r>
            <m:rPr>
              <m:sty m:val="p"/>
            </m:rPr>
            <m:t>I</m:t>
          </m:r>
          <m:r>
            <m:rPr>
              <m:sty m:val="p"/>
            </m:rPr>
            <m:t>,</m:t>
          </m:r>
          <m:r>
            <m:rPr>
              <m:sty m:val="p"/>
            </m:rPr>
            <m:t>A</m:t>
          </m:r>
          <m:r>
            <m:rPr>
              <m:sty m:val="p"/>
            </m:rPr>
            <m:t>D</m:t>
          </m:r>
          <m:r>
            <m:rPr>
              <m:sty m:val="p"/>
            </m:rPr>
            <m:t>}</m:t>
          </m:r>
        </m:oMath>
      </m:oMathPara>
    </w:p>
    <w:p>
      <w:pPr>
        <w:spacing w:before="60" w:after="120"/>
        <w:jc w:val="center"/>
      </w:pPr>
      <m:oMathPara>
        <m:oMathParaPr>
          <m:jc m:val="center"/>
        </m:oMathParaPr>
        <m:oMath>
          <m:r>
            <m:t>P</m:t>
          </m:r>
          <m:d>
            <m:dPr>
              <m:begChr m:val="("/>
              <m:endChr m:val=")"/>
              <m:sepChr m:val=""/>
              <m:grow/>
            </m:dPr>
            <m:e>
              <m:r>
                <m:t>Y</m:t>
              </m:r>
              <m:r>
                <m:rPr>
                  <m:sty m:val="p"/>
                </m:rPr>
                <m:t>=</m:t>
              </m:r>
              <m:r>
                <m:t>c</m:t>
              </m:r>
              <m:r>
                <m:rPr>
                  <m:sty m:val="p"/>
                </m:rPr>
                <m:t>∣</m:t>
              </m:r>
              <m:r>
                <m:t>X</m:t>
              </m:r>
            </m:e>
          </m:d>
          <m:r>
            <m:rPr>
              <m:sty m:val="p"/>
            </m:rPr>
            <m:t>=</m:t>
          </m:r>
          <m:f>
            <m:fPr>
              <m:type m:val="bar"/>
            </m:fPr>
            <m:num>
              <m:r>
                <m:rPr>
                  <m:sty m:val="p"/>
                </m:rPr>
                <m:t>exp</m:t>
              </m:r>
              <m:d>
                <m:dPr>
                  <m:begChr m:val="("/>
                  <m:endChr m:val=")"/>
                  <m:sepChr m:val=""/>
                  <m:grow/>
                </m:dPr>
                <m:e>
                  <m:sSub>
                    <m:e>
                      <m:r>
                        <m:t>z</m:t>
                      </m:r>
                    </m:e>
                    <m:sub>
                      <m:r>
                        <m:t>c</m:t>
                      </m:r>
                    </m:sub>
                  </m:sSub>
                </m:e>
              </m:d>
            </m:num>
            <m:den>
              <m:nary>
                <m:naryPr>
                  <m:chr m:val="∑"/>
                  <m:limLoc m:val="undOvr"/>
                  <m:subHide m:val="off"/>
                  <m:supHide m:val="off"/>
                </m:naryPr>
                <m:sub>
                  <m:r>
                    <m:t>k</m:t>
                  </m:r>
                  <m:r>
                    <m:rPr>
                      <m:sty m:val="p"/>
                    </m:rPr>
                    <m:t>=</m:t>
                  </m:r>
                  <m:r>
                    <m:t>1</m:t>
                  </m:r>
                </m:sub>
                <m:sup>
                  <m:r>
                    <m:t>K</m:t>
                  </m:r>
                </m:sup>
                <m:e>
                  <m:r>
                    <m:rPr>
                      <m:sty m:val="p"/>
                    </m:rPr>
                    <m:t>exp</m:t>
                  </m:r>
                </m:e>
              </m:nary>
              <m:d>
                <m:dPr>
                  <m:begChr m:val="("/>
                  <m:endChr m:val=")"/>
                  <m:sepChr m:val=""/>
                  <m:grow/>
                </m:dPr>
                <m:e>
                  <m:sSub>
                    <m:e>
                      <m:r>
                        <m:t>z</m:t>
                      </m:r>
                    </m:e>
                    <m:sub>
                      <m:r>
                        <m:t>k</m:t>
                      </m:r>
                    </m:sub>
                  </m:sSub>
                </m:e>
              </m:d>
            </m:den>
          </m:f>
        </m:oMath>
      </m:oMathPara>
    </w:p>
    <w:p>
      <w:pPr>
        <w:spacing w:after="100" w:line="254" w:lineRule="auto"/>
      </w:pPr>
      <w:r>
        <w:t>Classical baselines should include multinomial logistic regression, SVM, Random Forest and gradient-boosted trees. Neural baselines can include an MLP for tabular data and modality-specific encoders when imaging is introduced.</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rFonts w:ascii="Aptos" w:hAnsi="Aptos"/>
                <w:b/>
                <w:color w:val="FFFFFF"/>
                <w:sz w:val="17"/>
              </w:rPr>
              <w:t>MODEL FAMILY</w:t>
            </w:r>
          </w:p>
        </w:tc>
        <w:tc>
          <w:tcPr>
            <w:tcW w:type="dxa" w:w="5083"/>
            <w:shd w:fill="102A43"/>
            <w:vAlign w:val="center"/>
          </w:tcPr>
          <w:p>
            <w:r/>
            <w:r>
              <w:rPr>
                <w:rFonts w:ascii="Aptos" w:hAnsi="Aptos"/>
                <w:b/>
                <w:color w:val="FFFFFF"/>
                <w:sz w:val="17"/>
              </w:rPr>
              <w:t>PURPOSE</w:t>
            </w:r>
          </w:p>
        </w:tc>
      </w:tr>
      <w:tr>
        <w:tc>
          <w:tcPr>
            <w:tcW w:type="dxa" w:w="5083"/>
            <w:vAlign w:val="center"/>
          </w:tcPr>
          <w:p>
            <w:r/>
            <w:r>
              <w:rPr>
                <w:rFonts w:ascii="Aptos" w:hAnsi="Aptos"/>
                <w:b w:val="0"/>
                <w:color w:val="263746"/>
                <w:sz w:val="17"/>
              </w:rPr>
              <w:t>Logistic regression</w:t>
            </w:r>
          </w:p>
        </w:tc>
        <w:tc>
          <w:tcPr>
            <w:tcW w:type="dxa" w:w="5083"/>
            <w:vAlign w:val="center"/>
          </w:tcPr>
          <w:p>
            <w:r/>
            <w:r>
              <w:rPr>
                <w:rFonts w:ascii="Aptos" w:hAnsi="Aptos"/>
                <w:b w:val="0"/>
                <w:color w:val="263746"/>
                <w:sz w:val="17"/>
              </w:rPr>
              <w:t>Transparent linear baseline and calibration reference</w:t>
            </w:r>
          </w:p>
        </w:tc>
      </w:tr>
      <w:tr>
        <w:tc>
          <w:tcPr>
            <w:tcW w:type="dxa" w:w="5083"/>
            <w:shd w:fill="F5F8FA"/>
            <w:vAlign w:val="center"/>
          </w:tcPr>
          <w:p>
            <w:r/>
            <w:r>
              <w:rPr>
                <w:rFonts w:ascii="Aptos" w:hAnsi="Aptos"/>
                <w:b w:val="0"/>
                <w:color w:val="263746"/>
                <w:sz w:val="17"/>
              </w:rPr>
              <w:t>SVM</w:t>
            </w:r>
          </w:p>
        </w:tc>
        <w:tc>
          <w:tcPr>
            <w:tcW w:type="dxa" w:w="5083"/>
            <w:shd w:fill="F5F8FA"/>
            <w:vAlign w:val="center"/>
          </w:tcPr>
          <w:p>
            <w:r/>
            <w:r>
              <w:rPr>
                <w:rFonts w:ascii="Aptos" w:hAnsi="Aptos"/>
                <w:b w:val="0"/>
                <w:color w:val="263746"/>
                <w:sz w:val="17"/>
              </w:rPr>
              <w:t>Strong nonlinear baseline for standardized feature spaces</w:t>
            </w:r>
          </w:p>
        </w:tc>
      </w:tr>
      <w:tr>
        <w:tc>
          <w:tcPr>
            <w:tcW w:type="dxa" w:w="5083"/>
            <w:vAlign w:val="center"/>
          </w:tcPr>
          <w:p>
            <w:r/>
            <w:r>
              <w:rPr>
                <w:rFonts w:ascii="Aptos" w:hAnsi="Aptos"/>
                <w:b w:val="0"/>
                <w:color w:val="263746"/>
                <w:sz w:val="17"/>
              </w:rPr>
              <w:t>Random Forest</w:t>
            </w:r>
          </w:p>
        </w:tc>
        <w:tc>
          <w:tcPr>
            <w:tcW w:type="dxa" w:w="5083"/>
            <w:vAlign w:val="center"/>
          </w:tcPr>
          <w:p>
            <w:r/>
            <w:r>
              <w:rPr>
                <w:rFonts w:ascii="Aptos" w:hAnsi="Aptos"/>
                <w:b w:val="0"/>
                <w:color w:val="263746"/>
                <w:sz w:val="17"/>
              </w:rPr>
              <w:t>Nonlinear interactions and robust tabular baseline</w:t>
            </w:r>
          </w:p>
        </w:tc>
      </w:tr>
      <w:tr>
        <w:tc>
          <w:tcPr>
            <w:tcW w:type="dxa" w:w="5083"/>
            <w:shd w:fill="F5F8FA"/>
            <w:vAlign w:val="center"/>
          </w:tcPr>
          <w:p>
            <w:r/>
            <w:r>
              <w:rPr>
                <w:rFonts w:ascii="Aptos" w:hAnsi="Aptos"/>
                <w:b w:val="0"/>
                <w:color w:val="263746"/>
                <w:sz w:val="17"/>
              </w:rPr>
              <w:t>XGBoost / LightGBM</w:t>
            </w:r>
          </w:p>
        </w:tc>
        <w:tc>
          <w:tcPr>
            <w:tcW w:type="dxa" w:w="5083"/>
            <w:shd w:fill="F5F8FA"/>
            <w:vAlign w:val="center"/>
          </w:tcPr>
          <w:p>
            <w:r/>
            <w:r>
              <w:rPr>
                <w:rFonts w:ascii="Aptos" w:hAnsi="Aptos"/>
                <w:b w:val="0"/>
                <w:color w:val="263746"/>
                <w:sz w:val="17"/>
              </w:rPr>
              <w:t>High-performance tabular benchmark</w:t>
            </w:r>
          </w:p>
        </w:tc>
      </w:tr>
      <w:tr>
        <w:tc>
          <w:tcPr>
            <w:tcW w:type="dxa" w:w="5083"/>
            <w:vAlign w:val="center"/>
          </w:tcPr>
          <w:p>
            <w:r/>
            <w:r>
              <w:rPr>
                <w:rFonts w:ascii="Aptos" w:hAnsi="Aptos"/>
                <w:b w:val="0"/>
                <w:color w:val="263746"/>
                <w:sz w:val="17"/>
              </w:rPr>
              <w:t>MLP</w:t>
            </w:r>
          </w:p>
        </w:tc>
        <w:tc>
          <w:tcPr>
            <w:tcW w:type="dxa" w:w="5083"/>
            <w:vAlign w:val="center"/>
          </w:tcPr>
          <w:p>
            <w:r/>
            <w:r>
              <w:rPr>
                <w:rFonts w:ascii="Aptos" w:hAnsi="Aptos"/>
                <w:b w:val="0"/>
                <w:color w:val="263746"/>
                <w:sz w:val="17"/>
              </w:rPr>
              <w:t>Neural tabular representation</w:t>
            </w:r>
          </w:p>
        </w:tc>
      </w:tr>
      <w:tr>
        <w:tc>
          <w:tcPr>
            <w:tcW w:type="dxa" w:w="5083"/>
            <w:shd w:fill="F5F8FA"/>
            <w:vAlign w:val="center"/>
          </w:tcPr>
          <w:p>
            <w:r/>
            <w:r>
              <w:rPr>
                <w:rFonts w:ascii="Aptos" w:hAnsi="Aptos"/>
                <w:b w:val="0"/>
                <w:color w:val="263746"/>
                <w:sz w:val="17"/>
              </w:rPr>
              <w:t>3D CNN / medical imaging network</w:t>
            </w:r>
          </w:p>
        </w:tc>
        <w:tc>
          <w:tcPr>
            <w:tcW w:type="dxa" w:w="5083"/>
            <w:shd w:fill="F5F8FA"/>
            <w:vAlign w:val="center"/>
          </w:tcPr>
          <w:p>
            <w:r/>
            <w:r>
              <w:rPr>
                <w:rFonts w:ascii="Aptos" w:hAnsi="Aptos"/>
                <w:b w:val="0"/>
                <w:color w:val="263746"/>
                <w:sz w:val="17"/>
              </w:rPr>
              <w:t>Advanced direct MRI/PET representation</w:t>
            </w:r>
          </w:p>
        </w:tc>
      </w:tr>
    </w:tbl>
    <w:p>
      <w:r>
        <w:br w:type="page"/>
      </w:r>
    </w:p>
    <w:p>
      <w:pPr>
        <w:pStyle w:val="Heading1"/>
      </w:pPr>
      <w:r>
        <w:t>07  Task B — MCI-to-AD progression prediction</w:t>
      </w:r>
    </w:p>
    <w:p>
      <w:pPr>
        <w:spacing w:after="100" w:line="254" w:lineRule="auto"/>
      </w:pPr>
      <w:r>
        <w:t>The primary research task predicts future progression among participants with MCI at an index time t₀. Prediction horizons should be selected only after inspecting follow-up coverage and class counts; candidate horizons are 12, 24 and 36 months.</w:t>
      </w:r>
    </w:p>
    <w:p>
      <w:pPr>
        <w:spacing w:before="60" w:after="120"/>
        <w:jc w:val="center"/>
      </w:pPr>
      <m:oMathPara>
        <m:oMathParaPr>
          <m:jc m:val="center"/>
        </m:oMathParaPr>
        <m:oMath>
          <m:sSub>
            <m:e>
              <m:r>
                <m:t>R</m:t>
              </m:r>
            </m:e>
            <m:sub>
              <m:r>
                <m:t>p</m:t>
              </m:r>
            </m:sub>
          </m:sSub>
          <m:d>
            <m:dPr>
              <m:begChr m:val="("/>
              <m:endChr m:val=")"/>
              <m:sepChr m:val=""/>
              <m:grow/>
            </m:dPr>
            <m:e>
              <m:r>
                <m:t>T</m:t>
              </m:r>
            </m:e>
          </m:d>
          <m:r>
            <m:rPr>
              <m:sty m:val="p"/>
            </m:rPr>
            <m:t>=</m:t>
          </m:r>
          <m:r>
            <m:t>P</m:t>
          </m:r>
          <m:r>
            <m:t>​</m:t>
          </m:r>
          <m:d>
            <m:dPr>
              <m:begChr m:val="("/>
              <m:endChr m:val=")"/>
              <m:sepChr m:val=""/>
              <m:grow/>
            </m:dPr>
            <m:e>
              <m:r>
                <m:t>A</m:t>
              </m:r>
              <m:sSub>
                <m:e>
                  <m:r>
                    <m:t>D</m:t>
                  </m:r>
                </m:e>
                <m:sub>
                  <m:r>
                    <m:t>p</m:t>
                  </m:r>
                  <m:r>
                    <m:rPr>
                      <m:sty m:val="p"/>
                    </m:rPr>
                    <m:t>,</m:t>
                  </m:r>
                  <m:sSub>
                    <m:e>
                      <m:r>
                        <m:t>t</m:t>
                      </m:r>
                    </m:e>
                    <m:sub>
                      <m:r>
                        <m:t>0</m:t>
                      </m:r>
                    </m:sub>
                  </m:sSub>
                  <m:r>
                    <m:rPr>
                      <m:sty m:val="p"/>
                    </m:rPr>
                    <m:t>+</m:t>
                  </m:r>
                  <m:r>
                    <m:t>T</m:t>
                  </m:r>
                </m:sub>
              </m:sSub>
              <m:r>
                <m:rPr>
                  <m:sty m:val="p"/>
                </m:rPr>
                <m:t>=</m:t>
              </m:r>
              <m:r>
                <m:t>1</m:t>
              </m:r>
              <m:r>
                <m:rPr>
                  <m:sty m:val="p"/>
                </m:rPr>
                <m:t>∣</m:t>
              </m:r>
              <m:sSub>
                <m:e>
                  <m:r>
                    <m:rPr>
                      <m:sty m:val="b"/>
                    </m:rPr>
                    <m:t>X</m:t>
                  </m:r>
                </m:e>
                <m:sub>
                  <m:r>
                    <m:t>p</m:t>
                  </m:r>
                  <m:r>
                    <m:rPr>
                      <m:sty m:val="p"/>
                    </m:rPr>
                    <m:t>,</m:t>
                  </m:r>
                  <m:r>
                    <m:rPr>
                      <m:sty m:val="p"/>
                    </m:rPr>
                    <m:t>≤</m:t>
                  </m:r>
                  <m:sSub>
                    <m:e>
                      <m:r>
                        <m:t>t</m:t>
                      </m:r>
                    </m:e>
                    <m:sub>
                      <m:r>
                        <m:t>0</m:t>
                      </m:r>
                    </m:sub>
                  </m:sSub>
                </m:sub>
              </m:sSub>
            </m:e>
          </m:d>
        </m:oMath>
      </m:oMathPara>
    </w:p>
    <w:p>
      <w:pPr>
        <w:jc w:val="center"/>
      </w:pPr>
      <w:r>
        <w:drawing>
          <wp:inline xmlns:a="http://schemas.openxmlformats.org/drawingml/2006/main" xmlns:pic="http://schemas.openxmlformats.org/drawingml/2006/picture">
            <wp:extent cx="6217920" cy="2544344"/>
            <wp:docPr id="4" name="Picture 4"/>
            <wp:cNvGraphicFramePr>
              <a:graphicFrameLocks noChangeAspect="1"/>
            </wp:cNvGraphicFramePr>
            <a:graphic>
              <a:graphicData uri="http://schemas.openxmlformats.org/drawingml/2006/picture">
                <pic:pic>
                  <pic:nvPicPr>
                    <pic:cNvPr id="0" name="timeline.png"/>
                    <pic:cNvPicPr/>
                  </pic:nvPicPr>
                  <pic:blipFill>
                    <a:blip r:embed="rId13"/>
                    <a:stretch>
                      <a:fillRect/>
                    </a:stretch>
                  </pic:blipFill>
                  <pic:spPr>
                    <a:xfrm>
                      <a:off x="0" y="0"/>
                      <a:ext cx="6217920" cy="2544344"/>
                    </a:xfrm>
                    <a:prstGeom prst="rect"/>
                  </pic:spPr>
                </pic:pic>
              </a:graphicData>
            </a:graphic>
          </wp:inline>
        </w:drawing>
      </w:r>
    </w:p>
    <w:p>
      <w:pPr>
        <w:spacing w:after="140"/>
        <w:jc w:val="center"/>
      </w:pPr>
      <w:r>
        <w:rPr>
          <w:i/>
          <w:color w:val="687987"/>
          <w:sz w:val="17"/>
        </w:rPr>
        <w:t>Figure 3. Leakage-safe temporal design. All predictors must be available at or before the index time; the outcome is observed strictly afterward.</w:t>
      </w:r>
    </w:p>
    <w:p>
      <w:pPr>
        <w:spacing w:after="100" w:line="254" w:lineRule="auto"/>
      </w:pPr>
      <w:r>
        <w:t>The cohort builder must define conversion consistently, document diagnostic-label rules, handle censoring transparently and report the number of eligible participants for every horizon.</w:t>
      </w:r>
    </w:p>
    <w:p>
      <w:pPr>
        <w:spacing w:before="60" w:after="120"/>
        <w:jc w:val="center"/>
      </w:pPr>
      <m:oMathPara>
        <m:oMathParaPr>
          <m:jc m:val="center"/>
        </m:oMathParaPr>
        <m:oMath>
          <m:sSub>
            <m:e>
              <m:r>
                <m:t>t</m:t>
              </m:r>
            </m:e>
            <m:sub>
              <m:r>
                <m:rPr>
                  <m:sty m:val="p"/>
                </m:rPr>
                <m:t>f</m:t>
              </m:r>
              <m:r>
                <m:rPr>
                  <m:sty m:val="p"/>
                </m:rPr>
                <m:t>e</m:t>
              </m:r>
              <m:r>
                <m:rPr>
                  <m:sty m:val="p"/>
                </m:rPr>
                <m:t>a</m:t>
              </m:r>
              <m:r>
                <m:rPr>
                  <m:sty m:val="p"/>
                </m:rPr>
                <m:t>t</m:t>
              </m:r>
              <m:r>
                <m:rPr>
                  <m:sty m:val="p"/>
                </m:rPr>
                <m:t>u</m:t>
              </m:r>
              <m:r>
                <m:rPr>
                  <m:sty m:val="p"/>
                </m:rPr>
                <m:t>r</m:t>
              </m:r>
              <m:r>
                <m:rPr>
                  <m:sty m:val="p"/>
                </m:rPr>
                <m:t>e</m:t>
              </m:r>
            </m:sub>
          </m:sSub>
          <m:r>
            <m:rPr>
              <m:sty m:val="p"/>
            </m:rPr>
            <m:t>≤</m:t>
          </m:r>
          <m:sSub>
            <m:e>
              <m:r>
                <m:t>t</m:t>
              </m:r>
            </m:e>
            <m:sub>
              <m:r>
                <m:t>0</m:t>
              </m:r>
            </m:sub>
          </m:sSub>
        </m:oMath>
      </m:oMathPara>
    </w:p>
    <w:p>
      <w:pPr>
        <w:spacing w:before="60" w:after="120"/>
        <w:jc w:val="center"/>
      </w:pPr>
      <m:oMathPara>
        <m:oMathParaPr>
          <m:jc m:val="center"/>
        </m:oMathParaPr>
        <m:oMath>
          <m:sSub>
            <m:e>
              <m:r>
                <m:t>t</m:t>
              </m:r>
            </m:e>
            <m:sub>
              <m:r>
                <m:rPr>
                  <m:sty m:val="p"/>
                </m:rPr>
                <m:t>o</m:t>
              </m:r>
              <m:r>
                <m:rPr>
                  <m:sty m:val="p"/>
                </m:rPr>
                <m:t>u</m:t>
              </m:r>
              <m:r>
                <m:rPr>
                  <m:sty m:val="p"/>
                </m:rPr>
                <m:t>t</m:t>
              </m:r>
              <m:r>
                <m:rPr>
                  <m:sty m:val="p"/>
                </m:rPr>
                <m:t>c</m:t>
              </m:r>
              <m:r>
                <m:rPr>
                  <m:sty m:val="p"/>
                </m:rPr>
                <m:t>o</m:t>
              </m:r>
              <m:r>
                <m:rPr>
                  <m:sty m:val="p"/>
                </m:rPr>
                <m:t>m</m:t>
              </m:r>
              <m:r>
                <m:rPr>
                  <m:sty m:val="p"/>
                </m:rPr>
                <m:t>e</m:t>
              </m:r>
            </m:sub>
          </m:sSub>
          <m:r>
            <m:rPr>
              <m:sty m:val="p"/>
            </m:rPr>
            <m:t>&gt;</m:t>
          </m:r>
          <m:sSub>
            <m:e>
              <m:r>
                <m:t>t</m:t>
              </m:r>
            </m:e>
            <m:sub>
              <m:r>
                <m:t>0</m:t>
              </m:r>
            </m:sub>
          </m:sSub>
        </m:oMath>
      </m:oMathPara>
    </w:p>
    <w:p>
      <w:r>
        <w:br w:type="page"/>
      </w:r>
    </w:p>
    <w:p>
      <w:pPr>
        <w:pStyle w:val="Heading1"/>
      </w:pPr>
      <w:r>
        <w:t>08  Longitudinal and trajectory modelling</w:t>
      </w:r>
    </w:p>
    <w:p>
      <w:pPr>
        <w:spacing w:after="100" w:line="254" w:lineRule="auto"/>
      </w:pPr>
      <w:r>
        <w:t>ADNI's repeated assessments permit trajectory-aware modelling. A participant history is represented as an ordered sequence:</w:t>
      </w:r>
    </w:p>
    <w:p>
      <w:pPr>
        <w:spacing w:before="60" w:after="120"/>
        <w:jc w:val="center"/>
      </w:pPr>
      <m:oMathPara>
        <m:oMathParaPr>
          <m:jc m:val="center"/>
        </m:oMathParaPr>
        <m:oMath>
          <m:sSub>
            <m:e>
              <m:r>
                <m:rPr>
                  <m:sty m:val="p"/>
                  <m:scr m:val="script"/>
                </m:rPr>
                <m:t>X</m:t>
              </m:r>
            </m:e>
            <m:sub>
              <m:r>
                <m:t>p</m:t>
              </m:r>
            </m:sub>
          </m:sSub>
          <m:r>
            <m:rPr>
              <m:sty m:val="p"/>
            </m:rPr>
            <m:t>=</m:t>
          </m:r>
          <m:d>
            <m:dPr>
              <m:begChr m:val="{"/>
              <m:endChr m:val="}"/>
              <m:sepChr m:val=""/>
              <m:grow/>
            </m:dPr>
            <m:e>
              <m:sSub>
                <m:e>
                  <m:r>
                    <m:rPr>
                      <m:sty m:val="b"/>
                    </m:rPr>
                    <m:t>x</m:t>
                  </m:r>
                </m:e>
                <m:sub>
                  <m:r>
                    <m:t>p</m:t>
                  </m:r>
                  <m:r>
                    <m:rPr>
                      <m:sty m:val="p"/>
                    </m:rPr>
                    <m:t>,</m:t>
                  </m:r>
                  <m:sSub>
                    <m:e>
                      <m:r>
                        <m:t>t</m:t>
                      </m:r>
                    </m:e>
                    <m:sub>
                      <m:r>
                        <m:t>1</m:t>
                      </m:r>
                    </m:sub>
                  </m:sSub>
                </m:sub>
              </m:sSub>
              <m:r>
                <m:rPr>
                  <m:sty m:val="p"/>
                </m:rPr>
                <m:t>,</m:t>
              </m:r>
              <m:sSub>
                <m:e>
                  <m:r>
                    <m:rPr>
                      <m:sty m:val="b"/>
                    </m:rPr>
                    <m:t>x</m:t>
                  </m:r>
                </m:e>
                <m:sub>
                  <m:r>
                    <m:t>p</m:t>
                  </m:r>
                  <m:r>
                    <m:rPr>
                      <m:sty m:val="p"/>
                    </m:rPr>
                    <m:t>,</m:t>
                  </m:r>
                  <m:sSub>
                    <m:e>
                      <m:r>
                        <m:t>t</m:t>
                      </m:r>
                    </m:e>
                    <m:sub>
                      <m:r>
                        <m:t>2</m:t>
                      </m:r>
                    </m:sub>
                  </m:sSub>
                </m:sub>
              </m:sSub>
              <m:r>
                <m:rPr>
                  <m:sty m:val="p"/>
                </m:rPr>
                <m:t>,</m:t>
              </m:r>
              <m:r>
                <m:rPr>
                  <m:sty m:val="p"/>
                </m:rPr>
                <m:t>…</m:t>
              </m:r>
              <m:r>
                <m:rPr>
                  <m:sty m:val="p"/>
                </m:rPr>
                <m:t>,</m:t>
              </m:r>
              <m:sSub>
                <m:e>
                  <m:r>
                    <m:rPr>
                      <m:sty m:val="b"/>
                    </m:rPr>
                    <m:t>x</m:t>
                  </m:r>
                </m:e>
                <m:sub>
                  <m:r>
                    <m:t>p</m:t>
                  </m:r>
                  <m:r>
                    <m:rPr>
                      <m:sty m:val="p"/>
                    </m:rPr>
                    <m:t>,</m:t>
                  </m:r>
                  <m:sSub>
                    <m:e>
                      <m:r>
                        <m:t>t</m:t>
                      </m:r>
                    </m:e>
                    <m:sub>
                      <m:r>
                        <m:t>n</m:t>
                      </m:r>
                    </m:sub>
                  </m:sSub>
                </m:sub>
              </m:sSub>
            </m:e>
          </m:d>
        </m:oMath>
      </m:oMathPara>
    </w:p>
    <w:p>
      <w:pPr>
        <w:spacing w:after="100" w:line="254" w:lineRule="auto"/>
      </w:pPr>
      <w:r>
        <w:t>The project will compare baseline-only prediction with temporal models such as GRU, LSTM and, if data volume supports it, Transformer-style encoders.</w:t>
      </w:r>
    </w:p>
    <w:p>
      <w:pPr>
        <w:spacing w:before="60" w:after="120"/>
        <w:jc w:val="center"/>
      </w:pPr>
      <m:oMathPara>
        <m:oMathParaPr>
          <m:jc m:val="center"/>
        </m:oMathParaPr>
        <m:oMath>
          <m:sSub>
            <m:e>
              <m:acc>
                <m:accPr>
                  <m:chr m:val="̂"/>
                </m:accPr>
                <m:e>
                  <m:r>
                    <m:t>y</m:t>
                  </m:r>
                </m:e>
              </m:acc>
            </m:e>
            <m:sub>
              <m:r>
                <m:rPr>
                  <m:sty m:val="p"/>
                </m:rPr>
                <m:t>s</m:t>
              </m:r>
              <m:r>
                <m:rPr>
                  <m:sty m:val="p"/>
                </m:rPr>
                <m:t>t</m:t>
              </m:r>
              <m:r>
                <m:rPr>
                  <m:sty m:val="p"/>
                </m:rPr>
                <m:t>a</m:t>
              </m:r>
              <m:r>
                <m:rPr>
                  <m:sty m:val="p"/>
                </m:rPr>
                <m:t>t</m:t>
              </m:r>
              <m:r>
                <m:rPr>
                  <m:sty m:val="p"/>
                </m:rPr>
                <m:t>i</m:t>
              </m:r>
              <m:r>
                <m:rPr>
                  <m:sty m:val="p"/>
                </m:rPr>
                <m:t>c</m:t>
              </m:r>
            </m:sub>
          </m:sSub>
          <m:r>
            <m:rPr>
              <m:sty m:val="p"/>
            </m:rPr>
            <m:t>=</m:t>
          </m:r>
          <m:r>
            <m:t>f</m:t>
          </m:r>
          <m:r>
            <m:t>​</m:t>
          </m:r>
          <m:d>
            <m:dPr>
              <m:begChr m:val="("/>
              <m:endChr m:val=")"/>
              <m:sepChr m:val=""/>
              <m:grow/>
            </m:dPr>
            <m:e>
              <m:sSub>
                <m:e>
                  <m:r>
                    <m:rPr>
                      <m:sty m:val="b"/>
                    </m:rPr>
                    <m:t>X</m:t>
                  </m:r>
                </m:e>
                <m:sub>
                  <m:r>
                    <m:t>p</m:t>
                  </m:r>
                  <m:r>
                    <m:rPr>
                      <m:sty m:val="p"/>
                    </m:rPr>
                    <m:t>,</m:t>
                  </m:r>
                  <m:sSub>
                    <m:e>
                      <m:r>
                        <m:t>t</m:t>
                      </m:r>
                    </m:e>
                    <m:sub>
                      <m:r>
                        <m:t>0</m:t>
                      </m:r>
                    </m:sub>
                  </m:sSub>
                </m:sub>
              </m:sSub>
            </m:e>
          </m:d>
        </m:oMath>
      </m:oMathPara>
    </w:p>
    <w:p>
      <w:pPr>
        <w:spacing w:before="60" w:after="120"/>
        <w:jc w:val="center"/>
      </w:pPr>
      <m:oMathPara>
        <m:oMathParaPr>
          <m:jc m:val="center"/>
        </m:oMathParaPr>
        <m:oMath>
          <m:sSub>
            <m:e>
              <m:acc>
                <m:accPr>
                  <m:chr m:val="̂"/>
                </m:accPr>
                <m:e>
                  <m:r>
                    <m:t>y</m:t>
                  </m:r>
                </m:e>
              </m:acc>
            </m:e>
            <m:sub>
              <m:r>
                <m:rPr>
                  <m:sty m:val="p"/>
                </m:rPr>
                <m:t>l</m:t>
              </m:r>
              <m:r>
                <m:rPr>
                  <m:sty m:val="p"/>
                </m:rPr>
                <m:t>o</m:t>
              </m:r>
              <m:r>
                <m:rPr>
                  <m:sty m:val="p"/>
                </m:rPr>
                <m:t>n</m:t>
              </m:r>
              <m:r>
                <m:rPr>
                  <m:sty m:val="p"/>
                </m:rPr>
                <m:t>g</m:t>
              </m:r>
            </m:sub>
          </m:sSub>
          <m:r>
            <m:rPr>
              <m:sty m:val="p"/>
            </m:rPr>
            <m:t>=</m:t>
          </m:r>
          <m:r>
            <m:t>f</m:t>
          </m:r>
          <m:r>
            <m:t>​</m:t>
          </m:r>
          <m:d>
            <m:dPr>
              <m:begChr m:val="("/>
              <m:endChr m:val=")"/>
              <m:sepChr m:val=""/>
              <m:grow/>
            </m:dPr>
            <m:e>
              <m:sSub>
                <m:e>
                  <m:r>
                    <m:rPr>
                      <m:sty m:val="b"/>
                    </m:rPr>
                    <m:t>X</m:t>
                  </m:r>
                </m:e>
                <m:sub>
                  <m:r>
                    <m:t>p</m:t>
                  </m:r>
                  <m:r>
                    <m:rPr>
                      <m:sty m:val="p"/>
                    </m:rPr>
                    <m:t>,</m:t>
                  </m:r>
                  <m:sSub>
                    <m:e>
                      <m:r>
                        <m:t>t</m:t>
                      </m:r>
                    </m:e>
                    <m:sub>
                      <m:r>
                        <m:t>1</m:t>
                      </m:r>
                    </m:sub>
                  </m:sSub>
                </m:sub>
              </m:sSub>
              <m:r>
                <m:rPr>
                  <m:sty m:val="p"/>
                </m:rPr>
                <m:t>,</m:t>
              </m:r>
              <m:sSub>
                <m:e>
                  <m:r>
                    <m:rPr>
                      <m:sty m:val="b"/>
                    </m:rPr>
                    <m:t>X</m:t>
                  </m:r>
                </m:e>
                <m:sub>
                  <m:r>
                    <m:t>p</m:t>
                  </m:r>
                  <m:r>
                    <m:rPr>
                      <m:sty m:val="p"/>
                    </m:rPr>
                    <m:t>,</m:t>
                  </m:r>
                  <m:sSub>
                    <m:e>
                      <m:r>
                        <m:t>t</m:t>
                      </m:r>
                    </m:e>
                    <m:sub>
                      <m:r>
                        <m:t>2</m:t>
                      </m:r>
                    </m:sub>
                  </m:sSub>
                </m:sub>
              </m:sSub>
              <m:r>
                <m:rPr>
                  <m:sty m:val="p"/>
                </m:rPr>
                <m:t>,</m:t>
              </m:r>
              <m:r>
                <m:rPr>
                  <m:sty m:val="p"/>
                </m:rPr>
                <m:t>…</m:t>
              </m:r>
              <m:r>
                <m:rPr>
                  <m:sty m:val="p"/>
                </m:rPr>
                <m:t>,</m:t>
              </m:r>
              <m:sSub>
                <m:e>
                  <m:r>
                    <m:rPr>
                      <m:sty m:val="b"/>
                    </m:rPr>
                    <m:t>X</m:t>
                  </m:r>
                </m:e>
                <m:sub>
                  <m:r>
                    <m:t>p</m:t>
                  </m:r>
                  <m:r>
                    <m:rPr>
                      <m:sty m:val="p"/>
                    </m:rPr>
                    <m:t>,</m:t>
                  </m:r>
                  <m:sSub>
                    <m:e>
                      <m:r>
                        <m:t>t</m:t>
                      </m:r>
                    </m:e>
                    <m:sub>
                      <m:r>
                        <m:t>0</m:t>
                      </m:r>
                    </m:sub>
                  </m:sSub>
                </m:sub>
              </m:sSub>
            </m:e>
          </m:d>
        </m:oMath>
      </m:oMathPara>
    </w:p>
    <w:p>
      <w:pPr>
        <w:pStyle w:val="Heading2"/>
      </w:pPr>
      <w:r>
        <w:t>Cognitive trajectory features</w:t>
      </w:r>
    </w:p>
    <w:p>
      <w:pPr>
        <w:spacing w:before="60" w:after="120"/>
        <w:jc w:val="center"/>
      </w:pPr>
      <m:oMathPara>
        <m:oMathParaPr>
          <m:jc m:val="center"/>
        </m:oMathParaPr>
        <m:oMath>
          <m:r>
            <m:t>Δ</m:t>
          </m:r>
          <m:sSub>
            <m:e>
              <m:r>
                <m:t>C</m:t>
              </m:r>
            </m:e>
            <m:sub>
              <m:r>
                <m:t>p</m:t>
              </m:r>
            </m:sub>
          </m:sSub>
          <m:r>
            <m:rPr>
              <m:sty m:val="p"/>
            </m:rPr>
            <m:t>=</m:t>
          </m:r>
          <m:sSub>
            <m:e>
              <m:r>
                <m:t>C</m:t>
              </m:r>
            </m:e>
            <m:sub>
              <m:r>
                <m:t>p</m:t>
              </m:r>
            </m:sub>
          </m:sSub>
          <m:d>
            <m:dPr>
              <m:begChr m:val="("/>
              <m:endChr m:val=")"/>
              <m:sepChr m:val=""/>
              <m:grow/>
            </m:dPr>
            <m:e>
              <m:sSub>
                <m:e>
                  <m:r>
                    <m:t>t</m:t>
                  </m:r>
                </m:e>
                <m:sub>
                  <m:r>
                    <m:t>2</m:t>
                  </m:r>
                </m:sub>
              </m:sSub>
            </m:e>
          </m:d>
          <m:r>
            <m:rPr>
              <m:sty m:val="p"/>
            </m:rPr>
            <m:t>−</m:t>
          </m:r>
          <m:sSub>
            <m:e>
              <m:r>
                <m:t>C</m:t>
              </m:r>
            </m:e>
            <m:sub>
              <m:r>
                <m:t>p</m:t>
              </m:r>
            </m:sub>
          </m:sSub>
          <m:d>
            <m:dPr>
              <m:begChr m:val="("/>
              <m:endChr m:val=")"/>
              <m:sepChr m:val=""/>
              <m:grow/>
            </m:dPr>
            <m:e>
              <m:sSub>
                <m:e>
                  <m:r>
                    <m:t>t</m:t>
                  </m:r>
                </m:e>
                <m:sub>
                  <m:r>
                    <m:t>1</m:t>
                  </m:r>
                </m:sub>
              </m:sSub>
            </m:e>
          </m:d>
        </m:oMath>
      </m:oMathPara>
    </w:p>
    <w:p>
      <w:pPr>
        <w:spacing w:before="60" w:after="120"/>
        <w:jc w:val="center"/>
      </w:pPr>
      <m:oMathPara>
        <m:oMathParaPr>
          <m:jc m:val="center"/>
        </m:oMathParaPr>
        <m:oMath>
          <m:sSub>
            <m:e>
              <m:r>
                <m:t>v</m:t>
              </m:r>
            </m:e>
            <m:sub>
              <m:r>
                <m:t>C</m:t>
              </m:r>
            </m:sub>
          </m:sSub>
          <m:r>
            <m:rPr>
              <m:sty m:val="p"/>
            </m:rPr>
            <m:t>=</m:t>
          </m:r>
          <m:f>
            <m:fPr>
              <m:type m:val="bar"/>
            </m:fPr>
            <m:num>
              <m:r>
                <m:t>C</m:t>
              </m:r>
              <m:d>
                <m:dPr>
                  <m:begChr m:val="("/>
                  <m:endChr m:val=")"/>
                  <m:sepChr m:val=""/>
                  <m:grow/>
                </m:dPr>
                <m:e>
                  <m:sSub>
                    <m:e>
                      <m:r>
                        <m:t>t</m:t>
                      </m:r>
                    </m:e>
                    <m:sub>
                      <m:r>
                        <m:t>2</m:t>
                      </m:r>
                    </m:sub>
                  </m:sSub>
                </m:e>
              </m:d>
              <m:r>
                <m:rPr>
                  <m:sty m:val="p"/>
                </m:rPr>
                <m:t>−</m:t>
              </m:r>
              <m:r>
                <m:t>C</m:t>
              </m:r>
              <m:d>
                <m:dPr>
                  <m:begChr m:val="("/>
                  <m:endChr m:val=")"/>
                  <m:sepChr m:val=""/>
                  <m:grow/>
                </m:dPr>
                <m:e>
                  <m:sSub>
                    <m:e>
                      <m:r>
                        <m:t>t</m:t>
                      </m:r>
                    </m:e>
                    <m:sub>
                      <m:r>
                        <m:t>1</m:t>
                      </m:r>
                    </m:sub>
                  </m:sSub>
                </m:e>
              </m:d>
            </m:num>
            <m:den>
              <m:sSub>
                <m:e>
                  <m:r>
                    <m:t>t</m:t>
                  </m:r>
                </m:e>
                <m:sub>
                  <m:r>
                    <m:t>2</m:t>
                  </m:r>
                </m:sub>
              </m:sSub>
              <m:r>
                <m:rPr>
                  <m:sty m:val="p"/>
                </m:rPr>
                <m:t>−</m:t>
              </m:r>
              <m:sSub>
                <m:e>
                  <m:r>
                    <m:t>t</m:t>
                  </m:r>
                </m:e>
                <m:sub>
                  <m:r>
                    <m:t>1</m:t>
                  </m:r>
                </m:sub>
              </m:sSub>
            </m:den>
          </m:f>
        </m:oMath>
      </m:oMathPara>
    </w:p>
    <w:p>
      <w:pPr>
        <w:spacing w:before="60" w:after="120"/>
        <w:jc w:val="center"/>
      </w:pPr>
      <m:oMathPara>
        <m:oMathParaPr>
          <m:jc m:val="center"/>
        </m:oMathParaPr>
        <m:oMath>
          <m:sSub>
            <m:e>
              <m:r>
                <m:t>C</m:t>
              </m:r>
            </m:e>
            <m:sub>
              <m:r>
                <m:t>p</m:t>
              </m:r>
            </m:sub>
          </m:sSub>
          <m:d>
            <m:dPr>
              <m:begChr m:val="("/>
              <m:endChr m:val=")"/>
              <m:sepChr m:val=""/>
              <m:grow/>
            </m:dPr>
            <m:e>
              <m:r>
                <m:t>t</m:t>
              </m:r>
            </m:e>
          </m:d>
          <m:r>
            <m:rPr>
              <m:sty m:val="p"/>
            </m:rPr>
            <m:t>=</m:t>
          </m:r>
          <m:sSub>
            <m:e>
              <m:r>
                <m:t>β</m:t>
              </m:r>
            </m:e>
            <m:sub>
              <m:r>
                <m:t>0</m:t>
              </m:r>
            </m:sub>
          </m:sSub>
          <m:r>
            <m:rPr>
              <m:sty m:val="p"/>
            </m:rPr>
            <m:t>+</m:t>
          </m:r>
          <m:sSub>
            <m:e>
              <m:r>
                <m:t>β</m:t>
              </m:r>
            </m:e>
            <m:sub>
              <m:r>
                <m:t>1</m:t>
              </m:r>
            </m:sub>
          </m:sSub>
          <m:r>
            <m:t>t</m:t>
          </m:r>
          <m:r>
            <m:rPr>
              <m:sty m:val="p"/>
            </m:rPr>
            <m:t>+</m:t>
          </m:r>
          <m:sSub>
            <m:e>
              <m:r>
                <m:t>β</m:t>
              </m:r>
            </m:e>
            <m:sub>
              <m:r>
                <m:t>2</m:t>
              </m:r>
            </m:sub>
          </m:sSub>
          <m:sSup>
            <m:e>
              <m:r>
                <m:t>t</m:t>
              </m:r>
            </m:e>
            <m:sup>
              <m:r>
                <m:t>2</m:t>
              </m:r>
            </m:sup>
          </m:sSup>
          <m:r>
            <m:rPr>
              <m:sty m:val="p"/>
            </m:rPr>
            <m:t>+</m:t>
          </m:r>
          <m:r>
            <m:t>ε</m:t>
          </m:r>
        </m:oMath>
      </m:oMathPara>
    </w:p>
    <w:p>
      <w:pPr>
        <w:spacing w:after="100" w:line="254" w:lineRule="auto"/>
      </w:pPr>
      <w:r>
        <w:t>Trajectory features should be computed using only observations within the permitted feature window. The software must reject any feature whose timestamp violates the experiment's prediction cut-off.</w:t>
      </w:r>
    </w:p>
    <w:p>
      <w:r>
        <w:br w:type="page"/>
      </w:r>
    </w:p>
    <w:p>
      <w:pPr>
        <w:pStyle w:val="Heading1"/>
      </w:pPr>
      <w:r>
        <w:t>09  MRI and PET intelligence</w:t>
      </w:r>
    </w:p>
    <w:p>
      <w:pPr>
        <w:spacing w:after="100" w:line="254" w:lineRule="auto"/>
      </w:pPr>
      <w:r>
        <w:t>The imaging subsystem should be implemented in two stages. Stage 1 uses processed numerical imaging summaries to establish a complete multimodal benchmark with manageable computational cost. Stage 2 may use raw or preprocessed 3D images and a dedicated imaging encoder.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2A43"/>
            <w:vAlign w:val="center"/>
          </w:tcPr>
          <w:p>
            <w:r/>
            <w:r>
              <w:rPr>
                <w:rFonts w:ascii="Aptos" w:hAnsi="Aptos"/>
                <w:b/>
                <w:color w:val="FFFFFF"/>
                <w:sz w:val="17"/>
              </w:rPr>
              <w:t>STAGE</w:t>
            </w:r>
          </w:p>
        </w:tc>
        <w:tc>
          <w:tcPr>
            <w:tcW w:type="dxa" w:w="3389"/>
            <w:shd w:fill="102A43"/>
            <w:vAlign w:val="center"/>
          </w:tcPr>
          <w:p>
            <w:r/>
            <w:r>
              <w:rPr>
                <w:rFonts w:ascii="Aptos" w:hAnsi="Aptos"/>
                <w:b/>
                <w:color w:val="FFFFFF"/>
                <w:sz w:val="17"/>
              </w:rPr>
              <w:t>MRI/PET REPRESENTATION</w:t>
            </w:r>
          </w:p>
        </w:tc>
        <w:tc>
          <w:tcPr>
            <w:tcW w:type="dxa" w:w="3389"/>
            <w:shd w:fill="102A43"/>
            <w:vAlign w:val="center"/>
          </w:tcPr>
          <w:p>
            <w:r/>
            <w:r>
              <w:rPr>
                <w:rFonts w:ascii="Aptos" w:hAnsi="Aptos"/>
                <w:b/>
                <w:color w:val="FFFFFF"/>
                <w:sz w:val="17"/>
              </w:rPr>
              <w:t>BENEFIT</w:t>
            </w:r>
          </w:p>
        </w:tc>
      </w:tr>
      <w:tr>
        <w:tc>
          <w:tcPr>
            <w:tcW w:type="dxa" w:w="3389"/>
            <w:vAlign w:val="center"/>
          </w:tcPr>
          <w:p>
            <w:r/>
            <w:r>
              <w:rPr>
                <w:rFonts w:ascii="Aptos" w:hAnsi="Aptos"/>
                <w:b w:val="0"/>
                <w:color w:val="263746"/>
                <w:sz w:val="17"/>
              </w:rPr>
              <w:t>Stage 1</w:t>
            </w:r>
          </w:p>
        </w:tc>
        <w:tc>
          <w:tcPr>
            <w:tcW w:type="dxa" w:w="3389"/>
            <w:vAlign w:val="center"/>
          </w:tcPr>
          <w:p>
            <w:r/>
            <w:r>
              <w:rPr>
                <w:rFonts w:ascii="Aptos" w:hAnsi="Aptos"/>
                <w:b w:val="0"/>
                <w:color w:val="263746"/>
                <w:sz w:val="17"/>
              </w:rPr>
              <w:t>ROI volumes, cortical measures, PET regional uptake summaries</w:t>
            </w:r>
          </w:p>
        </w:tc>
        <w:tc>
          <w:tcPr>
            <w:tcW w:type="dxa" w:w="3389"/>
            <w:vAlign w:val="center"/>
          </w:tcPr>
          <w:p>
            <w:r/>
            <w:r>
              <w:rPr>
                <w:rFonts w:ascii="Aptos" w:hAnsi="Aptos"/>
                <w:b w:val="0"/>
                <w:color w:val="263746"/>
                <w:sz w:val="17"/>
              </w:rPr>
              <w:t>Fast, interpretable, reproducible</w:t>
            </w:r>
          </w:p>
        </w:tc>
      </w:tr>
      <w:tr>
        <w:tc>
          <w:tcPr>
            <w:tcW w:type="dxa" w:w="3389"/>
            <w:shd w:fill="F5F8FA"/>
            <w:vAlign w:val="center"/>
          </w:tcPr>
          <w:p>
            <w:r/>
            <w:r>
              <w:rPr>
                <w:rFonts w:ascii="Aptos" w:hAnsi="Aptos"/>
                <w:b w:val="0"/>
                <w:color w:val="263746"/>
                <w:sz w:val="17"/>
              </w:rPr>
              <w:t>Stage 2</w:t>
            </w:r>
          </w:p>
        </w:tc>
        <w:tc>
          <w:tcPr>
            <w:tcW w:type="dxa" w:w="3389"/>
            <w:shd w:fill="F5F8FA"/>
            <w:vAlign w:val="center"/>
          </w:tcPr>
          <w:p>
            <w:r/>
            <w:r>
              <w:rPr>
                <w:rFonts w:ascii="Aptos" w:hAnsi="Aptos"/>
                <w:b w:val="0"/>
                <w:color w:val="263746"/>
                <w:sz w:val="17"/>
              </w:rPr>
              <w:t>3D MRI/PET volumes</w:t>
            </w:r>
          </w:p>
        </w:tc>
        <w:tc>
          <w:tcPr>
            <w:tcW w:type="dxa" w:w="3389"/>
            <w:shd w:fill="F5F8FA"/>
            <w:vAlign w:val="center"/>
          </w:tcPr>
          <w:p>
            <w:r/>
            <w:r>
              <w:rPr>
                <w:rFonts w:ascii="Aptos" w:hAnsi="Aptos"/>
                <w:b w:val="0"/>
                <w:color w:val="263746"/>
                <w:sz w:val="17"/>
              </w:rPr>
              <w:t>Learns spatial representation directly</w:t>
            </w:r>
          </w:p>
        </w:tc>
      </w:tr>
    </w:tbl>
    <w:p>
      <w:pPr>
        <w:pStyle w:val="Heading2"/>
      </w:pPr>
      <w:r>
        <w:t>PET normalization</w:t>
      </w:r>
    </w:p>
    <w:p>
      <w:pPr>
        <w:spacing w:before="60" w:after="120"/>
        <w:jc w:val="center"/>
      </w:pPr>
      <m:oMathPara>
        <m:oMathParaPr>
          <m:jc m:val="center"/>
        </m:oMathParaPr>
        <m:oMath>
          <m:r>
            <m:rPr>
              <m:sty m:val="p"/>
            </m:rPr>
            <m:t>S</m:t>
          </m:r>
          <m:r>
            <m:rPr>
              <m:sty m:val="p"/>
            </m:rPr>
            <m:t>U</m:t>
          </m:r>
          <m:r>
            <m:rPr>
              <m:sty m:val="p"/>
            </m:rPr>
            <m:t>V</m:t>
          </m:r>
          <m:r>
            <m:rPr>
              <m:sty m:val="p"/>
            </m:rPr>
            <m:t>R</m:t>
          </m:r>
          <m:r>
            <m:rPr>
              <m:sty m:val="p"/>
            </m:rPr>
            <m:t>=</m:t>
          </m:r>
          <m:f>
            <m:fPr>
              <m:type m:val="bar"/>
            </m:fPr>
            <m:num>
              <m:r>
                <m:rPr>
                  <m:nor/>
                  <m:sty m:val="p"/>
                </m:rPr>
                <m:t>Tracer uptake in target ROI</m:t>
              </m:r>
            </m:num>
            <m:den>
              <m:r>
                <m:rPr>
                  <m:nor/>
                  <m:sty m:val="p"/>
                </m:rPr>
                <m:t>Tracer uptake in reference region</m:t>
              </m:r>
            </m:den>
          </m:f>
        </m:oMath>
      </m:oMathPara>
    </w:p>
    <w:p>
      <w:pPr>
        <w:pStyle w:val="Heading2"/>
      </w:pPr>
      <w:r>
        <w:t>Direct imaging encoder</w:t>
      </w:r>
    </w:p>
    <w:p>
      <w:pPr>
        <w:spacing w:before="60" w:after="120"/>
        <w:jc w:val="center"/>
      </w:pPr>
      <m:oMathPara>
        <m:oMathParaPr>
          <m:jc m:val="center"/>
        </m:oMathParaPr>
        <m:oMath>
          <m:sSub>
            <m:e>
              <m:r>
                <m:rPr>
                  <m:sty m:val="b"/>
                </m:rPr>
                <m:t>h</m:t>
              </m:r>
            </m:e>
            <m:sub>
              <m:r>
                <m:rPr>
                  <m:sty m:val="p"/>
                </m:rPr>
                <m:t>M</m:t>
              </m:r>
              <m:r>
                <m:rPr>
                  <m:sty m:val="p"/>
                </m:rPr>
                <m:t>R</m:t>
              </m:r>
              <m:r>
                <m:rPr>
                  <m:sty m:val="p"/>
                </m:rPr>
                <m:t>I</m:t>
              </m:r>
            </m:sub>
          </m:sSub>
          <m:r>
            <m:rPr>
              <m:sty m:val="p"/>
            </m:rPr>
            <m:t>=</m:t>
          </m:r>
          <m:sSub>
            <m:e>
              <m:r>
                <m:t>f</m:t>
              </m:r>
            </m:e>
            <m:sub>
              <m:r>
                <m:rPr>
                  <m:sty m:val="p"/>
                </m:rPr>
                <m:t>C</m:t>
              </m:r>
              <m:r>
                <m:rPr>
                  <m:sty m:val="p"/>
                </m:rPr>
                <m:t>N</m:t>
              </m:r>
              <m:r>
                <m:rPr>
                  <m:sty m:val="p"/>
                </m:rPr>
                <m:t>N</m:t>
              </m:r>
            </m:sub>
          </m:sSub>
          <m:r>
            <m:t>​</m:t>
          </m:r>
          <m:d>
            <m:dPr>
              <m:begChr m:val="("/>
              <m:endChr m:val=")"/>
              <m:sepChr m:val=""/>
              <m:grow/>
            </m:dPr>
            <m:e>
              <m:sSub>
                <m:e>
                  <m:r>
                    <m:t>I</m:t>
                  </m:r>
                </m:e>
                <m:sub>
                  <m:r>
                    <m:rPr>
                      <m:sty m:val="p"/>
                    </m:rPr>
                    <m:t>M</m:t>
                  </m:r>
                  <m:r>
                    <m:rPr>
                      <m:sty m:val="p"/>
                    </m:rPr>
                    <m:t>R</m:t>
                  </m:r>
                  <m:r>
                    <m:rPr>
                      <m:sty m:val="p"/>
                    </m:rPr>
                    <m:t>I</m:t>
                  </m:r>
                </m:sub>
              </m:sSub>
              <m:r>
                <m:rPr>
                  <m:sty m:val="p"/>
                </m:rPr>
                <m:t>;</m:t>
              </m:r>
              <m:sSub>
                <m:e>
                  <m:r>
                    <m:t>θ</m:t>
                  </m:r>
                </m:e>
                <m:sub>
                  <m:r>
                    <m:rPr>
                      <m:sty m:val="p"/>
                    </m:rPr>
                    <m:t>M</m:t>
                  </m:r>
                  <m:r>
                    <m:rPr>
                      <m:sty m:val="p"/>
                    </m:rPr>
                    <m:t>R</m:t>
                  </m:r>
                  <m:r>
                    <m:rPr>
                      <m:sty m:val="p"/>
                    </m:rPr>
                    <m:t>I</m:t>
                  </m:r>
                </m:sub>
              </m:sSub>
            </m:e>
          </m:d>
        </m:oMath>
      </m:oMathPara>
    </w:p>
    <w:p>
      <w:pPr>
        <w:spacing w:before="60" w:after="120"/>
        <w:jc w:val="center"/>
      </w:pPr>
      <m:oMathPara>
        <m:oMathParaPr>
          <m:jc m:val="center"/>
        </m:oMathParaPr>
        <m:oMath>
          <m:sSub>
            <m:e>
              <m:r>
                <m:rPr>
                  <m:sty m:val="b"/>
                </m:rPr>
                <m:t>h</m:t>
              </m:r>
            </m:e>
            <m:sub>
              <m:r>
                <m:rPr>
                  <m:sty m:val="p"/>
                </m:rPr>
                <m:t>P</m:t>
              </m:r>
              <m:r>
                <m:rPr>
                  <m:sty m:val="p"/>
                </m:rPr>
                <m:t>E</m:t>
              </m:r>
              <m:r>
                <m:rPr>
                  <m:sty m:val="p"/>
                </m:rPr>
                <m:t>T</m:t>
              </m:r>
            </m:sub>
          </m:sSub>
          <m:r>
            <m:rPr>
              <m:sty m:val="p"/>
            </m:rPr>
            <m:t>=</m:t>
          </m:r>
          <m:sSub>
            <m:e>
              <m:r>
                <m:t>f</m:t>
              </m:r>
            </m:e>
            <m:sub>
              <m:r>
                <m:rPr>
                  <m:sty m:val="p"/>
                </m:rPr>
                <m:t>C</m:t>
              </m:r>
              <m:r>
                <m:rPr>
                  <m:sty m:val="p"/>
                </m:rPr>
                <m:t>N</m:t>
              </m:r>
              <m:r>
                <m:rPr>
                  <m:sty m:val="p"/>
                </m:rPr>
                <m:t>N</m:t>
              </m:r>
            </m:sub>
          </m:sSub>
          <m:r>
            <m:t>​</m:t>
          </m:r>
          <m:d>
            <m:dPr>
              <m:begChr m:val="("/>
              <m:endChr m:val=")"/>
              <m:sepChr m:val=""/>
              <m:grow/>
            </m:dPr>
            <m:e>
              <m:sSub>
                <m:e>
                  <m:r>
                    <m:t>I</m:t>
                  </m:r>
                </m:e>
                <m:sub>
                  <m:r>
                    <m:rPr>
                      <m:sty m:val="p"/>
                    </m:rPr>
                    <m:t>P</m:t>
                  </m:r>
                  <m:r>
                    <m:rPr>
                      <m:sty m:val="p"/>
                    </m:rPr>
                    <m:t>E</m:t>
                  </m:r>
                  <m:r>
                    <m:rPr>
                      <m:sty m:val="p"/>
                    </m:rPr>
                    <m:t>T</m:t>
                  </m:r>
                </m:sub>
              </m:sSub>
              <m:r>
                <m:rPr>
                  <m:sty m:val="p"/>
                </m:rPr>
                <m:t>;</m:t>
              </m:r>
              <m:sSub>
                <m:e>
                  <m:r>
                    <m:t>θ</m:t>
                  </m:r>
                </m:e>
                <m:sub>
                  <m:r>
                    <m:rPr>
                      <m:sty m:val="p"/>
                    </m:rPr>
                    <m:t>P</m:t>
                  </m:r>
                  <m:r>
                    <m:rPr>
                      <m:sty m:val="p"/>
                    </m:rPr>
                    <m:t>E</m:t>
                  </m:r>
                  <m:r>
                    <m:rPr>
                      <m:sty m:val="p"/>
                    </m:rPr>
                    <m:t>T</m:t>
                  </m:r>
                </m:sub>
              </m:sSub>
            </m:e>
          </m:d>
        </m:oMath>
      </m:oMathPara>
    </w:p>
    <w:p>
      <w:pPr>
        <w:spacing w:after="100" w:line="254" w:lineRule="auto"/>
      </w:pPr>
      <w:r>
        <w:t>If direct imaging is used, preprocessing, registration, image selection, scanner/site metadata and split integrity must be documented. Multiple scans from the same participant must remain within the same train/validation/test partition.</w:t>
      </w:r>
    </w:p>
    <w:p>
      <w:r>
        <w:br w:type="page"/>
      </w:r>
    </w:p>
    <w:p>
      <w:pPr>
        <w:pStyle w:val="Heading1"/>
      </w:pPr>
      <w:r>
        <w:t>10  Missing data and missing-modality robustness</w:t>
      </w:r>
    </w:p>
    <w:p>
      <w:pPr>
        <w:jc w:val="center"/>
      </w:pPr>
      <w:r>
        <w:drawing>
          <wp:inline xmlns:a="http://schemas.openxmlformats.org/drawingml/2006/main" xmlns:pic="http://schemas.openxmlformats.org/drawingml/2006/picture">
            <wp:extent cx="6217920" cy="2835943"/>
            <wp:docPr id="5" name="Picture 5"/>
            <wp:cNvGraphicFramePr>
              <a:graphicFrameLocks noChangeAspect="1"/>
            </wp:cNvGraphicFramePr>
            <a:graphic>
              <a:graphicData uri="http://schemas.openxmlformats.org/drawingml/2006/picture">
                <pic:pic>
                  <pic:nvPicPr>
                    <pic:cNvPr id="0" name="missing.png"/>
                    <pic:cNvPicPr/>
                  </pic:nvPicPr>
                  <pic:blipFill>
                    <a:blip r:embed="rId14"/>
                    <a:stretch>
                      <a:fillRect/>
                    </a:stretch>
                  </pic:blipFill>
                  <pic:spPr>
                    <a:xfrm>
                      <a:off x="0" y="0"/>
                      <a:ext cx="6217920" cy="2835943"/>
                    </a:xfrm>
                    <a:prstGeom prst="rect"/>
                  </pic:spPr>
                </pic:pic>
              </a:graphicData>
            </a:graphic>
          </wp:inline>
        </w:drawing>
      </w:r>
    </w:p>
    <w:p>
      <w:pPr>
        <w:spacing w:after="140"/>
        <w:jc w:val="center"/>
      </w:pPr>
      <w:r>
        <w:rPr>
          <w:i/>
          <w:color w:val="687987"/>
          <w:sz w:val="17"/>
        </w:rPr>
        <w:t>Figure 4. Real multimodal cohorts are incomplete. NeuroFusion-AI explicitly models modality availability rather than assuming a fully observed patient.</w:t>
      </w:r>
    </w:p>
    <w:p>
      <w:pPr>
        <w:spacing w:after="100" w:line="254" w:lineRule="auto"/>
      </w:pPr>
      <w:r>
        <w:t>The project should distinguish ordinary feature-level missingness from complete modality absence. Candidate methods include median/robust imputation, iterative imputation, missingness indicators, modality masks, modality dropout during training and mixture-of-experts or attention mechanisms that operate on available modalities.</w:t>
      </w:r>
    </w:p>
    <w:p>
      <w:pPr>
        <w:spacing w:before="60" w:after="120"/>
        <w:jc w:val="center"/>
      </w:pPr>
      <m:oMathPara>
        <m:oMathParaPr>
          <m:jc m:val="center"/>
        </m:oMathParaPr>
        <m:oMath>
          <m:sSubSup>
            <m:e>
              <m:r>
                <m:t>x</m:t>
              </m:r>
            </m:e>
            <m:sub>
              <m:r>
                <m:t>j</m:t>
              </m:r>
            </m:sub>
            <m:sup>
              <m:r>
                <m:rPr>
                  <m:sty m:val="p"/>
                </m:rPr>
                <m:t>*</m:t>
              </m:r>
            </m:sup>
          </m:sSubSup>
          <m:r>
            <m:rPr>
              <m:sty m:val="p"/>
            </m:rPr>
            <m:t>=</m:t>
          </m:r>
          <m:r>
            <m:rPr>
              <m:sty m:val="p"/>
            </m:rPr>
            <m:t>Impute</m:t>
          </m:r>
          <m:r>
            <m:t>​</m:t>
          </m:r>
          <m:d>
            <m:dPr>
              <m:begChr m:val="("/>
              <m:endChr m:val=")"/>
              <m:sepChr m:val=""/>
              <m:grow/>
            </m:dPr>
            <m:e>
              <m:sSub>
                <m:e>
                  <m:r>
                    <m:t>x</m:t>
                  </m:r>
                </m:e>
                <m:sub>
                  <m:r>
                    <m:t>j</m:t>
                  </m:r>
                </m:sub>
              </m:sSub>
              <m:r>
                <m:rPr>
                  <m:sty m:val="p"/>
                </m:rPr>
                <m:t>∣</m:t>
              </m:r>
              <m:sSub>
                <m:e>
                  <m:r>
                    <m:rPr>
                      <m:sty m:val="b"/>
                    </m:rPr>
                    <m:t>X</m:t>
                  </m:r>
                </m:e>
                <m:sub>
                  <m:r>
                    <m:rPr>
                      <m:sty m:val="p"/>
                    </m:rPr>
                    <m:t>o</m:t>
                  </m:r>
                  <m:r>
                    <m:rPr>
                      <m:sty m:val="p"/>
                    </m:rPr>
                    <m:t>b</m:t>
                  </m:r>
                  <m:r>
                    <m:rPr>
                      <m:sty m:val="p"/>
                    </m:rPr>
                    <m:t>s</m:t>
                  </m:r>
                  <m:r>
                    <m:rPr>
                      <m:sty m:val="p"/>
                    </m:rPr>
                    <m:t>e</m:t>
                  </m:r>
                  <m:r>
                    <m:rPr>
                      <m:sty m:val="p"/>
                    </m:rPr>
                    <m:t>r</m:t>
                  </m:r>
                  <m:r>
                    <m:rPr>
                      <m:sty m:val="p"/>
                    </m:rPr>
                    <m:t>v</m:t>
                  </m:r>
                  <m:r>
                    <m:rPr>
                      <m:sty m:val="p"/>
                    </m:rPr>
                    <m:t>e</m:t>
                  </m:r>
                  <m:r>
                    <m:rPr>
                      <m:sty m:val="p"/>
                    </m:rPr>
                    <m:t>d</m:t>
                  </m:r>
                </m:sub>
              </m:sSub>
            </m:e>
          </m:d>
        </m:oMath>
      </m:oMathPara>
    </w:p>
    <w:p>
      <w:pPr>
        <w:spacing w:before="60" w:after="120"/>
        <w:jc w:val="center"/>
      </w:pPr>
      <m:oMathPara>
        <m:oMathParaPr>
          <m:jc m:val="center"/>
        </m:oMathParaPr>
        <m:oMath>
          <m:sSub>
            <m:e>
              <m:r>
                <m:t>q</m:t>
              </m:r>
            </m:e>
            <m:sub>
              <m:r>
                <m:t>p</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m</m:t>
                  </m:r>
                </m:e>
                <m:sub>
                  <m:r>
                    <m:t>p</m:t>
                  </m:r>
                  <m:r>
                    <m:rPr>
                      <m:sty m:val="p"/>
                    </m:rPr>
                    <m:t>,</m:t>
                  </m:r>
                  <m:r>
                    <m:t>m</m:t>
                  </m:r>
                </m:sub>
              </m:sSub>
            </m:e>
          </m:nary>
        </m:oMath>
      </m:oMathPara>
    </w:p>
    <w:p>
      <w:pPr>
        <w:spacing w:after="100" w:line="254" w:lineRule="auto"/>
      </w:pPr>
      <w:r>
        <w:t>Here qₚ is a simple modality-completeness score. More sophisticated quality scores may incorporate within-modality missingness, acquisition quality and temporal recency.</w:t>
      </w:r>
    </w:p>
    <w:p>
      <w:r>
        <w:br w:type="page"/>
      </w:r>
    </w:p>
    <w:p>
      <w:pPr>
        <w:pStyle w:val="Heading1"/>
      </w:pPr>
      <w:r>
        <w:t>11  Biofluid and genetic intelligence</w:t>
      </w:r>
    </w:p>
    <w:p>
      <w:pPr>
        <w:spacing w:after="100" w:line="254" w:lineRule="auto"/>
      </w:pPr>
      <w:r>
        <w:t>Biofluid measurements and APOE/genetic information provide complementary biological evidence. The project should begin with well-covered, well-documented variables and expand only when sample size remains adequate.</w:t>
      </w:r>
    </w:p>
    <w:p>
      <w:pPr>
        <w:spacing w:before="60" w:after="120"/>
        <w:jc w:val="center"/>
      </w:pPr>
      <m:oMathPara>
        <m:oMathParaPr>
          <m:jc m:val="center"/>
        </m:oMathParaPr>
        <m:oMath>
          <m:sSub>
            <m:e>
              <m:r>
                <m:rPr>
                  <m:sty m:val="b"/>
                </m:rPr>
                <m:t>B</m:t>
              </m:r>
            </m:e>
            <m:sub>
              <m:r>
                <m:t>p</m:t>
              </m:r>
            </m:sub>
          </m:sSub>
          <m:r>
            <m:rPr>
              <m:sty m:val="p"/>
            </m:rPr>
            <m:t>=</m:t>
          </m:r>
          <m:d>
            <m:dPr>
              <m:begChr m:val="["/>
              <m:endChr m:val="]"/>
              <m:sep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k</m:t>
                  </m:r>
                </m:sub>
              </m:sSub>
            </m:e>
          </m:d>
        </m:oMath>
      </m:oMathPara>
    </w:p>
    <w:p>
      <w:pPr>
        <w:spacing w:before="60" w:after="120"/>
        <w:jc w:val="center"/>
      </w:pPr>
      <m:oMathPara>
        <m:oMathParaPr>
          <m:jc m:val="center"/>
        </m:oMathParaPr>
        <m:oMath>
          <m:sSub>
            <m:e>
              <m:r>
                <m:t>G</m:t>
              </m:r>
            </m:e>
            <m:sub>
              <m:r>
                <m:rPr>
                  <m:sty m:val="p"/>
                </m:rPr>
                <m:t>A</m:t>
              </m:r>
              <m:r>
                <m:rPr>
                  <m:sty m:val="p"/>
                </m:rPr>
                <m:t>P</m:t>
              </m:r>
              <m:r>
                <m:rPr>
                  <m:sty m:val="p"/>
                </m:rPr>
                <m:t>O</m:t>
              </m:r>
              <m:r>
                <m:rPr>
                  <m:sty m:val="p"/>
                </m:rPr>
                <m:t>E</m:t>
              </m:r>
            </m:sub>
          </m:sSub>
          <m:r>
            <m:rPr>
              <m:sty m:val="p"/>
            </m:rPr>
            <m:t>∈</m:t>
          </m:r>
          <m:r>
            <m:rPr>
              <m:sty m:val="p"/>
            </m:rPr>
            <m:t>{</m:t>
          </m:r>
          <m:r>
            <m:t>0</m:t>
          </m:r>
          <m:r>
            <m:rPr>
              <m:sty m:val="p"/>
            </m:rPr>
            <m:t>,</m:t>
          </m:r>
          <m:r>
            <m:t>1</m:t>
          </m:r>
          <m:r>
            <m:rPr>
              <m:sty m:val="p"/>
            </m:rPr>
            <m:t>,</m:t>
          </m:r>
          <m:r>
            <m:t>2</m:t>
          </m:r>
          <m:r>
            <m:rPr>
              <m:sty m:val="p"/>
            </m:rPr>
            <m:t>}</m:t>
          </m:r>
        </m:oMath>
      </m:oMathPara>
    </w:p>
    <w:p>
      <w:pPr>
        <w:spacing w:after="100" w:line="254" w:lineRule="auto"/>
      </w:pPr>
      <w:r>
        <w:t>The APOE representation above denotes the number of ε4 alleles for a simple baseline. High-dimensional genomic or omics data require separate feature selection or representation learning and careful control of dimensionality relative to cohort size.</w:t>
      </w:r>
    </w:p>
    <w:p>
      <w:pPr>
        <w:pStyle w:val="Heading2"/>
      </w:pPr>
      <w:r>
        <w:t>Feature-selection safeguards</w:t>
      </w:r>
    </w:p>
    <w:p>
      <w:pPr>
        <w:pStyle w:val="ListBullet"/>
        <w:spacing w:after="40"/>
      </w:pPr>
      <w:r>
        <w:t>Fit feature selection inside the training fold only.</w:t>
      </w:r>
    </w:p>
    <w:p>
      <w:pPr>
        <w:pStyle w:val="ListBullet"/>
        <w:spacing w:after="40"/>
      </w:pPr>
      <w:r>
        <w:t>Never use the full dataset to choose biomarkers before cross-validation.</w:t>
      </w:r>
    </w:p>
    <w:p>
      <w:pPr>
        <w:pStyle w:val="ListBullet"/>
        <w:spacing w:after="40"/>
      </w:pPr>
      <w:r>
        <w:t>Report retained features and selection stability.</w:t>
      </w:r>
    </w:p>
    <w:p>
      <w:pPr>
        <w:pStyle w:val="ListBullet"/>
        <w:spacing w:after="40"/>
      </w:pPr>
      <w:r>
        <w:t>Prefer parsimonious models when sample size is limited.</w:t>
      </w:r>
    </w:p>
    <w:p>
      <w:r>
        <w:br w:type="page"/>
      </w:r>
    </w:p>
    <w:p>
      <w:pPr>
        <w:pStyle w:val="Heading1"/>
      </w:pPr>
      <w:r>
        <w:t>12  Calibration, confidence and uncertainty</w:t>
      </w:r>
    </w:p>
    <w:p>
      <w:pPr>
        <w:spacing w:after="100" w:line="254" w:lineRule="auto"/>
      </w:pPr>
      <w:r>
        <w:t>A clinically oriented research model should distinguish discrimination from probability reliability. NeuroFusion-AI therefore evaluates calibration and attaches uncertainty and data-quality metadata to each prediction.</w:t>
      </w:r>
    </w:p>
    <w:p>
      <w:pPr>
        <w:spacing w:before="60" w:after="120"/>
        <w:jc w:val="center"/>
      </w:pPr>
      <m:oMathPara>
        <m:oMathParaPr>
          <m:jc m:val="center"/>
        </m:oMathParaPr>
        <m:oMath>
          <m:sSub>
            <m:e>
              <m:r>
                <m:rPr>
                  <m:sty m:val="p"/>
                  <m:scr m:val="script"/>
                </m:rPr>
                <m:t>P</m:t>
              </m:r>
            </m:e>
            <m:sub>
              <m:r>
                <m:t>p</m:t>
              </m:r>
            </m:sub>
          </m:sSub>
          <m:r>
            <m:rPr>
              <m:sty m:val="p"/>
            </m:rPr>
            <m:t>=</m:t>
          </m:r>
          <m:d>
            <m:dPr>
              <m:begChr m:val="("/>
              <m:endChr m:val=")"/>
              <m:sepChr m:val=""/>
              <m:grow/>
            </m:dPr>
            <m:e>
              <m:sSub>
                <m:e>
                  <m:acc>
                    <m:accPr>
                      <m:chr m:val="̂"/>
                    </m:accPr>
                    <m:e>
                      <m:r>
                        <m:t>y</m:t>
                      </m:r>
                    </m:e>
                  </m:acc>
                </m:e>
                <m:sub>
                  <m:r>
                    <m:t>p</m:t>
                  </m:r>
                </m:sub>
              </m:sSub>
              <m:r>
                <m:rPr>
                  <m:sty m:val="p"/>
                </m:rPr>
                <m:t>,</m:t>
              </m:r>
              <m:sSub>
                <m:e>
                  <m:r>
                    <m:t>C</m:t>
                  </m:r>
                </m:e>
                <m:sub>
                  <m:r>
                    <m:t>p</m:t>
                  </m:r>
                </m:sub>
              </m:sSub>
              <m:r>
                <m:rPr>
                  <m:sty m:val="p"/>
                </m:rPr>
                <m:t>,</m:t>
              </m:r>
              <m:sSub>
                <m:e>
                  <m:r>
                    <m:t>U</m:t>
                  </m:r>
                </m:e>
                <m:sub>
                  <m:r>
                    <m:t>p</m:t>
                  </m:r>
                </m:sub>
              </m:sSub>
              <m:r>
                <m:rPr>
                  <m:sty m:val="p"/>
                </m:rPr>
                <m:t>,</m:t>
              </m:r>
              <m:sSub>
                <m:e>
                  <m:r>
                    <m:t>Q</m:t>
                  </m:r>
                </m:e>
                <m:sub>
                  <m:r>
                    <m:t>p</m:t>
                  </m:r>
                </m:sub>
              </m:sSub>
            </m:e>
          </m:d>
        </m:oMath>
      </m:oMathPara>
    </w:p>
    <w:p>
      <w:pPr>
        <w:spacing w:before="60" w:after="120"/>
        <w:jc w:val="center"/>
      </w:pPr>
      <m:oMathPara>
        <m:oMathParaPr>
          <m:jc m:val="center"/>
        </m:oMathParaPr>
        <m:oMath>
          <m:r>
            <m:rPr>
              <m:sty m:val="p"/>
            </m:rPr>
            <m:t>B</m:t>
          </m:r>
          <m:r>
            <m:rPr>
              <m:sty m:val="p"/>
            </m:rPr>
            <m:t>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p</m:t>
                          </m:r>
                        </m:e>
                        <m:sub>
                          <m:r>
                            <m:t>i</m:t>
                          </m:r>
                        </m:sub>
                      </m:sSub>
                      <m:r>
                        <m:rPr>
                          <m:sty m:val="p"/>
                        </m:rPr>
                        <m:t>−</m:t>
                      </m:r>
                      <m:sSub>
                        <m:e>
                          <m:r>
                            <m:t>y</m:t>
                          </m:r>
                        </m:e>
                        <m:sub>
                          <m:r>
                            <m:t>i</m:t>
                          </m:r>
                        </m:sub>
                      </m:sSub>
                    </m:e>
                  </m:d>
                </m:e>
                <m:sup>
                  <m:r>
                    <m:t>2</m:t>
                  </m:r>
                </m:sup>
              </m:sSup>
            </m:e>
          </m:nary>
        </m:oMath>
      </m:oMathPara>
    </w:p>
    <w:p>
      <w:pPr>
        <w:spacing w:before="60" w:after="120"/>
        <w:jc w:val="center"/>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b</m:t>
              </m:r>
              <m:r>
                <m:rPr>
                  <m:sty m:val="p"/>
                </m:rPr>
                <m:t>=</m:t>
              </m:r>
              <m:r>
                <m:t>1</m:t>
              </m:r>
            </m:sub>
            <m:sup>
              <m:r>
                <m:t>B</m:t>
              </m:r>
            </m:sup>
            <m:e>
              <m:f>
                <m:fPr>
                  <m:type m:val="bar"/>
                </m:fPr>
                <m:num>
                  <m:d>
                    <m:dPr>
                      <m:begChr m:val="|"/>
                      <m:endChr m:val="|"/>
                      <m:sepChr m:val=""/>
                      <m:grow/>
                    </m:dPr>
                    <m:e>
                      <m:sSub>
                        <m:e>
                          <m:r>
                            <m:t>S</m:t>
                          </m:r>
                        </m:e>
                        <m:sub>
                          <m:r>
                            <m:t>b</m:t>
                          </m:r>
                        </m:sub>
                      </m:sSub>
                    </m:e>
                  </m:d>
                </m:num>
                <m:den>
                  <m:r>
                    <m:t>N</m:t>
                  </m:r>
                </m:den>
              </m:f>
            </m:e>
          </m:nary>
          <m:d>
            <m:dPr>
              <m:begChr m:val="|"/>
              <m:endChr m:val="|"/>
              <m:sepChr m:val=""/>
              <m:grow/>
            </m:dPr>
            <m:e>
              <m:r>
                <m:rPr>
                  <m:sty m:val="p"/>
                </m:rPr>
                <m:t>acc</m:t>
              </m:r>
              <m:d>
                <m:dPr>
                  <m:begChr m:val="("/>
                  <m:endChr m:val=")"/>
                  <m:sepChr m:val=""/>
                  <m:grow/>
                </m:dPr>
                <m:e>
                  <m:sSub>
                    <m:e>
                      <m:r>
                        <m:t>S</m:t>
                      </m:r>
                    </m:e>
                    <m:sub>
                      <m:r>
                        <m:t>b</m:t>
                      </m:r>
                    </m:sub>
                  </m:sSub>
                </m:e>
              </m:d>
              <m:r>
                <m:rPr>
                  <m:sty m:val="p"/>
                </m:rPr>
                <m:t>−</m:t>
              </m:r>
              <m:r>
                <m:rPr>
                  <m:sty m:val="p"/>
                </m:rPr>
                <m:t>conf</m:t>
              </m:r>
              <m:d>
                <m:dPr>
                  <m:begChr m:val="("/>
                  <m:endChr m:val=")"/>
                  <m:sepChr m:val=""/>
                  <m:grow/>
                </m:dPr>
                <m:e>
                  <m:sSub>
                    <m:e>
                      <m:r>
                        <m:t>S</m:t>
                      </m:r>
                    </m:e>
                    <m:sub>
                      <m:r>
                        <m:t>b</m:t>
                      </m:r>
                    </m:sub>
                  </m:sSub>
                </m:e>
              </m:d>
            </m:e>
          </m:d>
        </m:oMath>
      </m:oMathPara>
    </w:p>
    <w:p>
      <w:pPr>
        <w:spacing w:after="100" w:line="254" w:lineRule="auto"/>
      </w:pPr>
      <w:r>
        <w:t>Calibration methods may include Platt scaling, isotonic regression or temperature scaling, fitted only on validation data. Confidence should not be a cosmetic transformation of the predicted probability; its definition must be explicit and experimentally justified.</w:t>
      </w:r>
    </w:p>
    <w:p>
      <w:r>
        <w:br w:type="page"/>
      </w:r>
    </w:p>
    <w:p>
      <w:pPr>
        <w:pStyle w:val="Heading1"/>
      </w:pPr>
      <w:r>
        <w:t>13  Explainable AI and model interpretation</w:t>
      </w:r>
    </w:p>
    <w:p>
      <w:pPr>
        <w:spacing w:after="100" w:line="254" w:lineRule="auto"/>
      </w:pPr>
      <w:r>
        <w:t>The platform must provide global and participant-level explanations. For tree-based models, SHAP is a suitable baseline. Neural models can use integrated gradients or modality-level ablation. Explanations should be framed as model contributions, not biological causation.</w:t>
      </w:r>
    </w:p>
    <w:p>
      <w:pPr>
        <w:spacing w:before="60" w:after="120"/>
        <w:jc w:val="center"/>
      </w:pPr>
      <m:oMathPara>
        <m:oMathParaPr>
          <m:jc m:val="center"/>
        </m:oMathParaPr>
        <m:oMath>
          <m:r>
            <m:t>f</m:t>
          </m:r>
          <m:d>
            <m:dPr>
              <m:begChr m:val="("/>
              <m:endChr m:val=")"/>
              <m:sepChr m:val=""/>
              <m:grow/>
            </m:dPr>
            <m:e>
              <m:r>
                <m:t>x</m:t>
              </m:r>
            </m:e>
          </m:d>
          <m:r>
            <m:rPr>
              <m:sty m:val="p"/>
            </m:rPr>
            <m:t>=</m:t>
          </m:r>
          <m:r>
            <m:rPr>
              <m:sty m:val="p"/>
              <m:scr m:val="double-struck"/>
            </m:rPr>
            <m:t>E</m:t>
          </m:r>
          <m:d>
            <m:dPr>
              <m:begChr m:val="["/>
              <m:endChr m:val="]"/>
              <m:sepChr m:val=""/>
              <m:grow/>
            </m:dPr>
            <m:e>
              <m:r>
                <m:t>f</m:t>
              </m:r>
              <m:d>
                <m:dPr>
                  <m:begChr m:val="("/>
                  <m:endChr m:val=")"/>
                  <m:sepChr m:val=""/>
                  <m:grow/>
                </m:dPr>
                <m:e>
                  <m:r>
                    <m:t>X</m:t>
                  </m:r>
                </m:e>
              </m:d>
            </m:e>
          </m:d>
          <m:r>
            <m:rPr>
              <m:sty m:val="p"/>
            </m:rPr>
            <m:t>+</m:t>
          </m:r>
          <m:nary>
            <m:naryPr>
              <m:chr m:val="∑"/>
              <m:limLoc m:val="undOvr"/>
              <m:subHide m:val="off"/>
              <m:supHide m:val="off"/>
            </m:naryPr>
            <m:sub>
              <m:r>
                <m:t>j</m:t>
              </m:r>
              <m:r>
                <m:rPr>
                  <m:sty m:val="p"/>
                </m:rPr>
                <m:t>=</m:t>
              </m:r>
              <m:r>
                <m:t>1</m:t>
              </m:r>
            </m:sub>
            <m:sup>
              <m:r>
                <m:t>d</m:t>
              </m:r>
            </m:sup>
            <m:e>
              <m:sSub>
                <m:e>
                  <m:r>
                    <m:t>ϕ</m:t>
                  </m:r>
                </m:e>
                <m:sub>
                  <m:r>
                    <m:t>j</m:t>
                  </m:r>
                </m:sub>
              </m:sSub>
            </m:e>
          </m:nary>
        </m:oMath>
      </m:oMathPara>
    </w:p>
    <w:p>
      <w:pPr>
        <w:spacing w:after="100" w:line="254" w:lineRule="auto"/>
      </w:pPr>
      <w:r>
        <w:t>The project should also quantify modality contribution by retraining or evaluating models after removing one modality:</w:t>
      </w:r>
    </w:p>
    <w:p>
      <w:pPr>
        <w:spacing w:before="60" w:after="120"/>
        <w:jc w:val="center"/>
      </w:pPr>
      <m:oMathPara>
        <m:oMathParaPr>
          <m:jc m:val="center"/>
        </m:oMathParaPr>
        <m:oMath>
          <m:sSub>
            <m:e>
              <m:r>
                <m:t>Δ</m:t>
              </m:r>
            </m:e>
            <m:sub>
              <m:r>
                <m:t>m</m:t>
              </m:r>
            </m:sub>
          </m:sSub>
          <m:r>
            <m:rPr>
              <m:sty m:val="p"/>
            </m:rPr>
            <m:t>=</m:t>
          </m:r>
          <m:sSub>
            <m:e>
              <m:r>
                <m:rPr>
                  <m:sty m:val="p"/>
                </m:rPr>
                <m:t>M</m:t>
              </m:r>
              <m:r>
                <m:rPr>
                  <m:sty m:val="p"/>
                </m:rPr>
                <m:t>e</m:t>
              </m:r>
              <m:r>
                <m:rPr>
                  <m:sty m:val="p"/>
                </m:rPr>
                <m:t>t</m:t>
              </m:r>
              <m:r>
                <m:rPr>
                  <m:sty m:val="p"/>
                </m:rPr>
                <m:t>r</m:t>
              </m:r>
              <m:r>
                <m:rPr>
                  <m:sty m:val="p"/>
                </m:rPr>
                <m:t>i</m:t>
              </m:r>
              <m:r>
                <m:rPr>
                  <m:sty m:val="p"/>
                </m:rPr>
                <m:t>c</m:t>
              </m:r>
            </m:e>
            <m:sub>
              <m:r>
                <m:rPr>
                  <m:sty m:val="p"/>
                </m:rPr>
                <m:t>f</m:t>
              </m:r>
              <m:r>
                <m:rPr>
                  <m:sty m:val="p"/>
                </m:rPr>
                <m:t>u</m:t>
              </m:r>
              <m:r>
                <m:rPr>
                  <m:sty m:val="p"/>
                </m:rPr>
                <m:t>l</m:t>
              </m:r>
              <m:r>
                <m:rPr>
                  <m:sty m:val="p"/>
                </m:rPr>
                <m:t>l</m:t>
              </m:r>
            </m:sub>
          </m:sSub>
          <m:r>
            <m:rPr>
              <m:sty m:val="p"/>
            </m:rPr>
            <m:t>−</m:t>
          </m:r>
          <m:sSub>
            <m:e>
              <m:r>
                <m:rPr>
                  <m:sty m:val="p"/>
                </m:rPr>
                <m:t>M</m:t>
              </m:r>
              <m:r>
                <m:rPr>
                  <m:sty m:val="p"/>
                </m:rPr>
                <m:t>e</m:t>
              </m:r>
              <m:r>
                <m:rPr>
                  <m:sty m:val="p"/>
                </m:rPr>
                <m:t>t</m:t>
              </m:r>
              <m:r>
                <m:rPr>
                  <m:sty m:val="p"/>
                </m:rPr>
                <m:t>r</m:t>
              </m:r>
              <m:r>
                <m:rPr>
                  <m:sty m:val="p"/>
                </m:rPr>
                <m:t>i</m:t>
              </m:r>
              <m:r>
                <m:rPr>
                  <m:sty m:val="p"/>
                </m:rPr>
                <m:t>c</m:t>
              </m:r>
            </m:e>
            <m:sub>
              <m:d>
                <m:dPr>
                  <m:begChr m:val="("/>
                  <m:endChr m:val=")"/>
                  <m:sepChr m:val=""/>
                  <m:grow/>
                </m:dPr>
                <m:e>
                  <m:r>
                    <m:rPr>
                      <m:sty m:val="p"/>
                    </m:rPr>
                    <m:t>−</m:t>
                  </m:r>
                  <m:r>
                    <m:t>m</m:t>
                  </m:r>
                </m:e>
              </m:d>
            </m:sub>
          </m:sSub>
        </m:oMath>
      </m:oMathPara>
    </w:p>
    <w:p>
      <w:pPr>
        <w:spacing w:after="100" w:line="254" w:lineRule="auto"/>
      </w:pPr>
      <w:r>
        <w:t>A positive Δₘ indicates that removing modality m degraded the selected metric; a negative value indicates that the full model did not benefit under that experimental configuration.</w:t>
      </w:r>
    </w:p>
    <w:p>
      <w:r>
        <w:br w:type="page"/>
      </w:r>
    </w:p>
    <w:p>
      <w:pPr>
        <w:pStyle w:val="Heading1"/>
      </w:pPr>
      <w:r>
        <w:t>14  Evaluation framework</w:t>
      </w:r>
    </w:p>
    <w:p>
      <w:pPr>
        <w:spacing w:after="100" w:line="254" w:lineRule="auto"/>
      </w:pPr>
      <w:r>
        <w:t>Accuracy alone is insufficient. The evaluation suite must address discrimination, class imbalance, calibration and uncertainty. Confidence intervals should accompany the principal results.</w:t>
      </w:r>
    </w:p>
    <w:p>
      <w:pPr>
        <w:spacing w:before="60" w:after="120"/>
        <w:jc w:val="center"/>
      </w:pPr>
      <m:oMathPara>
        <m:oMathParaPr>
          <m:jc m:val="center"/>
        </m:oMathParaPr>
        <m:oMath>
          <m:r>
            <m:rPr>
              <m:sty m:val="p"/>
            </m:rPr>
            <m:t>S</m:t>
          </m:r>
          <m:r>
            <m:rPr>
              <m:sty m:val="p"/>
            </m:rPr>
            <m:t>e</m:t>
          </m:r>
          <m:r>
            <m:rPr>
              <m:sty m:val="p"/>
            </m:rPr>
            <m:t>n</m:t>
          </m:r>
          <m:r>
            <m:rPr>
              <m:sty m:val="p"/>
            </m:rPr>
            <m:t>s</m:t>
          </m:r>
          <m:r>
            <m:rPr>
              <m:sty m:val="p"/>
            </m:rPr>
            <m:t>i</m:t>
          </m:r>
          <m:r>
            <m:rPr>
              <m:sty m:val="p"/>
            </m:rPr>
            <m:t>t</m:t>
          </m:r>
          <m:r>
            <m:rPr>
              <m:sty m:val="p"/>
            </m:rPr>
            <m:t>i</m:t>
          </m:r>
          <m:r>
            <m:rPr>
              <m:sty m:val="p"/>
            </m:rPr>
            <m:t>v</m:t>
          </m:r>
          <m:r>
            <m:rPr>
              <m:sty m:val="p"/>
            </m:rPr>
            <m:t>i</m:t>
          </m:r>
          <m:r>
            <m:rPr>
              <m:sty m:val="p"/>
            </m:rPr>
            <m:t>t</m:t>
          </m:r>
          <m:r>
            <m:rPr>
              <m:sty m:val="p"/>
            </m:rPr>
            <m:t>y</m:t>
          </m:r>
          <m:r>
            <m:rPr>
              <m:sty m:val="p"/>
            </m:rPr>
            <m:t>=</m:t>
          </m:r>
          <m:f>
            <m:fPr>
              <m:type m:val="bar"/>
            </m:fPr>
            <m:num>
              <m:r>
                <m:t>T</m:t>
              </m:r>
              <m:r>
                <m:t>P</m:t>
              </m:r>
            </m:num>
            <m:den>
              <m:r>
                <m:t>T</m:t>
              </m:r>
              <m:r>
                <m:t>P</m:t>
              </m:r>
              <m:r>
                <m:rPr>
                  <m:sty m:val="p"/>
                </m:rPr>
                <m:t>+</m:t>
              </m:r>
              <m:r>
                <m:t>F</m:t>
              </m:r>
              <m:r>
                <m:t>N</m:t>
              </m:r>
            </m:den>
          </m:f>
        </m:oMath>
      </m:oMathPara>
    </w:p>
    <w:p>
      <w:pPr>
        <w:spacing w:before="60" w:after="120"/>
        <w:jc w:val="center"/>
      </w:pPr>
      <m:oMathPara>
        <m:oMathParaPr>
          <m:jc m:val="center"/>
        </m:oMathParaPr>
        <m:oMath>
          <m:r>
            <m:rPr>
              <m:sty m:val="p"/>
            </m:rPr>
            <m:t>S</m:t>
          </m:r>
          <m:r>
            <m:rPr>
              <m:sty m:val="p"/>
            </m:rPr>
            <m:t>p</m:t>
          </m:r>
          <m:r>
            <m:rPr>
              <m:sty m:val="p"/>
            </m:rPr>
            <m:t>e</m:t>
          </m:r>
          <m:r>
            <m:rPr>
              <m:sty m:val="p"/>
            </m:rPr>
            <m:t>c</m:t>
          </m:r>
          <m:r>
            <m:rPr>
              <m:sty m:val="p"/>
            </m:rPr>
            <m:t>i</m:t>
          </m:r>
          <m:r>
            <m:rPr>
              <m:sty m:val="p"/>
            </m:rPr>
            <m:t>f</m:t>
          </m:r>
          <m:r>
            <m:rPr>
              <m:sty m:val="p"/>
            </m:rPr>
            <m:t>i</m:t>
          </m:r>
          <m:r>
            <m:rPr>
              <m:sty m:val="p"/>
            </m:rPr>
            <m:t>c</m:t>
          </m:r>
          <m:r>
            <m:rPr>
              <m:sty m:val="p"/>
            </m:rPr>
            <m:t>i</m:t>
          </m:r>
          <m:r>
            <m:rPr>
              <m:sty m:val="p"/>
            </m:rPr>
            <m:t>t</m:t>
          </m:r>
          <m:r>
            <m:rPr>
              <m:sty m:val="p"/>
            </m:rPr>
            <m:t>y</m:t>
          </m:r>
          <m:r>
            <m:rPr>
              <m:sty m:val="p"/>
            </m:rPr>
            <m:t>=</m:t>
          </m:r>
          <m:f>
            <m:fPr>
              <m:type m:val="bar"/>
            </m:fPr>
            <m:num>
              <m:r>
                <m:t>T</m:t>
              </m:r>
              <m:r>
                <m:t>N</m:t>
              </m:r>
            </m:num>
            <m:den>
              <m:r>
                <m:t>T</m:t>
              </m:r>
              <m:r>
                <m:t>N</m:t>
              </m:r>
              <m:r>
                <m:rPr>
                  <m:sty m:val="p"/>
                </m:rPr>
                <m:t>+</m:t>
              </m:r>
              <m:r>
                <m:t>F</m:t>
              </m:r>
              <m:r>
                <m:t>P</m:t>
              </m:r>
            </m:den>
          </m:f>
        </m:oMath>
      </m:oMathPara>
    </w:p>
    <w:p>
      <w:pPr>
        <w:spacing w:before="60" w:after="120"/>
        <w:jc w:val="center"/>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oMath>
      </m:oMathPara>
    </w:p>
    <w:p>
      <w:pPr>
        <w:spacing w:before="60" w:after="120"/>
        <w:jc w:val="center"/>
      </w:pPr>
      <m:oMathPara>
        <m:oMathParaPr>
          <m:jc m:val="center"/>
        </m:oMathParaPr>
        <m:oMath>
          <m:sSub>
            <m:e>
              <m:r>
                <m:t>F</m:t>
              </m:r>
            </m:e>
            <m:sub>
              <m:r>
                <m:t>1</m:t>
              </m:r>
            </m:sub>
          </m:sSub>
          <m:r>
            <m:rPr>
              <m:sty m:val="p"/>
            </m:rPr>
            <m:t>=</m:t>
          </m:r>
          <m:r>
            <m:t>2</m:t>
          </m:r>
          <m:r>
            <m:t> </m:t>
          </m:r>
          <m:f>
            <m:fPr>
              <m:type m:val="bar"/>
            </m:fPr>
            <m:num>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num>
            <m:den>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den>
          </m:f>
        </m:oMath>
      </m:oMathPara>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2A43"/>
            <w:vAlign w:val="center"/>
          </w:tcPr>
          <w:p>
            <w:r/>
            <w:r>
              <w:rPr>
                <w:rFonts w:ascii="Aptos" w:hAnsi="Aptos"/>
                <w:b/>
                <w:color w:val="FFFFFF"/>
                <w:sz w:val="17"/>
              </w:rPr>
              <w:t>TASK</w:t>
            </w:r>
          </w:p>
        </w:tc>
        <w:tc>
          <w:tcPr>
            <w:tcW w:type="dxa" w:w="3389"/>
            <w:shd w:fill="102A43"/>
            <w:vAlign w:val="center"/>
          </w:tcPr>
          <w:p>
            <w:r/>
            <w:r>
              <w:rPr>
                <w:rFonts w:ascii="Aptos" w:hAnsi="Aptos"/>
                <w:b/>
                <w:color w:val="FFFFFF"/>
                <w:sz w:val="17"/>
              </w:rPr>
              <w:t>PRIMARY METRICS</w:t>
            </w:r>
          </w:p>
        </w:tc>
        <w:tc>
          <w:tcPr>
            <w:tcW w:type="dxa" w:w="3389"/>
            <w:shd w:fill="102A43"/>
            <w:vAlign w:val="center"/>
          </w:tcPr>
          <w:p>
            <w:r/>
            <w:r>
              <w:rPr>
                <w:rFonts w:ascii="Aptos" w:hAnsi="Aptos"/>
                <w:b/>
                <w:color w:val="FFFFFF"/>
                <w:sz w:val="17"/>
              </w:rPr>
              <w:t>SECONDARY ANALYSES</w:t>
            </w:r>
          </w:p>
        </w:tc>
      </w:tr>
      <w:tr>
        <w:tc>
          <w:tcPr>
            <w:tcW w:type="dxa" w:w="3389"/>
            <w:vAlign w:val="center"/>
          </w:tcPr>
          <w:p>
            <w:r/>
            <w:r>
              <w:rPr>
                <w:rFonts w:ascii="Aptos" w:hAnsi="Aptos"/>
                <w:b w:val="0"/>
                <w:color w:val="263746"/>
                <w:sz w:val="17"/>
              </w:rPr>
              <w:t>CN/MCI/AD</w:t>
            </w:r>
          </w:p>
        </w:tc>
        <w:tc>
          <w:tcPr>
            <w:tcW w:type="dxa" w:w="3389"/>
            <w:vAlign w:val="center"/>
          </w:tcPr>
          <w:p>
            <w:r/>
            <w:r>
              <w:rPr>
                <w:rFonts w:ascii="Aptos" w:hAnsi="Aptos"/>
                <w:b w:val="0"/>
                <w:color w:val="263746"/>
                <w:sz w:val="17"/>
              </w:rPr>
              <w:t>Macro-F1, class sensitivity, one-vs-rest AUROC</w:t>
            </w:r>
          </w:p>
        </w:tc>
        <w:tc>
          <w:tcPr>
            <w:tcW w:type="dxa" w:w="3389"/>
            <w:vAlign w:val="center"/>
          </w:tcPr>
          <w:p>
            <w:r/>
            <w:r>
              <w:rPr>
                <w:rFonts w:ascii="Aptos" w:hAnsi="Aptos"/>
                <w:b w:val="0"/>
                <w:color w:val="263746"/>
                <w:sz w:val="17"/>
              </w:rPr>
              <w:t>Confusion matrix, calibration</w:t>
            </w:r>
          </w:p>
        </w:tc>
      </w:tr>
      <w:tr>
        <w:tc>
          <w:tcPr>
            <w:tcW w:type="dxa" w:w="3389"/>
            <w:shd w:fill="F5F8FA"/>
            <w:vAlign w:val="center"/>
          </w:tcPr>
          <w:p>
            <w:r/>
            <w:r>
              <w:rPr>
                <w:rFonts w:ascii="Aptos" w:hAnsi="Aptos"/>
                <w:b w:val="0"/>
                <w:color w:val="263746"/>
                <w:sz w:val="17"/>
              </w:rPr>
              <w:t>MCI→AD</w:t>
            </w:r>
          </w:p>
        </w:tc>
        <w:tc>
          <w:tcPr>
            <w:tcW w:type="dxa" w:w="3389"/>
            <w:shd w:fill="F5F8FA"/>
            <w:vAlign w:val="center"/>
          </w:tcPr>
          <w:p>
            <w:r/>
            <w:r>
              <w:rPr>
                <w:rFonts w:ascii="Aptos" w:hAnsi="Aptos"/>
                <w:b w:val="0"/>
                <w:color w:val="263746"/>
                <w:sz w:val="17"/>
              </w:rPr>
              <w:t>AUROC, AUPRC, sensitivity, specificity</w:t>
            </w:r>
          </w:p>
        </w:tc>
        <w:tc>
          <w:tcPr>
            <w:tcW w:type="dxa" w:w="3389"/>
            <w:shd w:fill="F5F8FA"/>
            <w:vAlign w:val="center"/>
          </w:tcPr>
          <w:p>
            <w:r/>
            <w:r>
              <w:rPr>
                <w:rFonts w:ascii="Aptos" w:hAnsi="Aptos"/>
                <w:b w:val="0"/>
                <w:color w:val="263746"/>
                <w:sz w:val="17"/>
              </w:rPr>
              <w:t>Brier score, calibration, PPV/NPV</w:t>
            </w:r>
          </w:p>
        </w:tc>
      </w:tr>
      <w:tr>
        <w:tc>
          <w:tcPr>
            <w:tcW w:type="dxa" w:w="3389"/>
            <w:vAlign w:val="center"/>
          </w:tcPr>
          <w:p>
            <w:r/>
            <w:r>
              <w:rPr>
                <w:rFonts w:ascii="Aptos" w:hAnsi="Aptos"/>
                <w:b w:val="0"/>
                <w:color w:val="263746"/>
                <w:sz w:val="17"/>
              </w:rPr>
              <w:t>Fusion</w:t>
            </w:r>
          </w:p>
        </w:tc>
        <w:tc>
          <w:tcPr>
            <w:tcW w:type="dxa" w:w="3389"/>
            <w:vAlign w:val="center"/>
          </w:tcPr>
          <w:p>
            <w:r/>
            <w:r>
              <w:rPr>
                <w:rFonts w:ascii="Aptos" w:hAnsi="Aptos"/>
                <w:b w:val="0"/>
                <w:color w:val="263746"/>
                <w:sz w:val="17"/>
              </w:rPr>
              <w:t>Δ performance vs best single modality</w:t>
            </w:r>
          </w:p>
        </w:tc>
        <w:tc>
          <w:tcPr>
            <w:tcW w:type="dxa" w:w="3389"/>
            <w:vAlign w:val="center"/>
          </w:tcPr>
          <w:p>
            <w:r/>
            <w:r>
              <w:rPr>
                <w:rFonts w:ascii="Aptos" w:hAnsi="Aptos"/>
                <w:b w:val="0"/>
                <w:color w:val="263746"/>
                <w:sz w:val="17"/>
              </w:rPr>
              <w:t>Bootstrap paired CIs</w:t>
            </w:r>
          </w:p>
        </w:tc>
      </w:tr>
      <w:tr>
        <w:tc>
          <w:tcPr>
            <w:tcW w:type="dxa" w:w="3389"/>
            <w:shd w:fill="F5F8FA"/>
            <w:vAlign w:val="center"/>
          </w:tcPr>
          <w:p>
            <w:r/>
            <w:r>
              <w:rPr>
                <w:rFonts w:ascii="Aptos" w:hAnsi="Aptos"/>
                <w:b w:val="0"/>
                <w:color w:val="263746"/>
                <w:sz w:val="17"/>
              </w:rPr>
              <w:t>Robustness</w:t>
            </w:r>
          </w:p>
        </w:tc>
        <w:tc>
          <w:tcPr>
            <w:tcW w:type="dxa" w:w="3389"/>
            <w:shd w:fill="F5F8FA"/>
            <w:vAlign w:val="center"/>
          </w:tcPr>
          <w:p>
            <w:r/>
            <w:r>
              <w:rPr>
                <w:rFonts w:ascii="Aptos" w:hAnsi="Aptos"/>
                <w:b w:val="0"/>
                <w:color w:val="263746"/>
                <w:sz w:val="17"/>
              </w:rPr>
              <w:t>Performance under missing modalities</w:t>
            </w:r>
          </w:p>
        </w:tc>
        <w:tc>
          <w:tcPr>
            <w:tcW w:type="dxa" w:w="3389"/>
            <w:shd w:fill="F5F8FA"/>
            <w:vAlign w:val="center"/>
          </w:tcPr>
          <w:p>
            <w:r/>
            <w:r>
              <w:rPr>
                <w:rFonts w:ascii="Aptos" w:hAnsi="Aptos"/>
                <w:b w:val="0"/>
                <w:color w:val="263746"/>
                <w:sz w:val="17"/>
              </w:rPr>
              <w:t>Degradation curves</w:t>
            </w:r>
          </w:p>
        </w:tc>
      </w:tr>
      <w:tr>
        <w:tc>
          <w:tcPr>
            <w:tcW w:type="dxa" w:w="3389"/>
            <w:vAlign w:val="center"/>
          </w:tcPr>
          <w:p>
            <w:r/>
            <w:r>
              <w:rPr>
                <w:rFonts w:ascii="Aptos" w:hAnsi="Aptos"/>
                <w:b w:val="0"/>
                <w:color w:val="263746"/>
                <w:sz w:val="17"/>
              </w:rPr>
              <w:t>Subgroups</w:t>
            </w:r>
          </w:p>
        </w:tc>
        <w:tc>
          <w:tcPr>
            <w:tcW w:type="dxa" w:w="3389"/>
            <w:vAlign w:val="center"/>
          </w:tcPr>
          <w:p>
            <w:r/>
            <w:r>
              <w:rPr>
                <w:rFonts w:ascii="Aptos" w:hAnsi="Aptos"/>
                <w:b w:val="0"/>
                <w:color w:val="263746"/>
                <w:sz w:val="17"/>
              </w:rPr>
              <w:t>Metric estimates by prespecified strata</w:t>
            </w:r>
          </w:p>
        </w:tc>
        <w:tc>
          <w:tcPr>
            <w:tcW w:type="dxa" w:w="3389"/>
            <w:vAlign w:val="center"/>
          </w:tcPr>
          <w:p>
            <w:r/>
            <w:r>
              <w:rPr>
                <w:rFonts w:ascii="Aptos" w:hAnsi="Aptos"/>
                <w:b w:val="0"/>
                <w:color w:val="263746"/>
                <w:sz w:val="17"/>
              </w:rPr>
              <w:t>Uncertainty and sample-size reporting</w:t>
            </w:r>
          </w:p>
        </w:tc>
      </w:tr>
    </w:tbl>
    <w:p>
      <w:pPr>
        <w:spacing w:after="100" w:line="254" w:lineRule="auto"/>
      </w:pPr>
      <w:r>
        <w:t>For the principal metrics, bootstrap confidence intervals can be estimated from patient-level resamples. Model comparison must use the same held-out participants whenever possible.</w:t>
      </w:r>
    </w:p>
    <w:p>
      <w:r>
        <w:br w:type="page"/>
      </w:r>
    </w:p>
    <w:p>
      <w:pPr>
        <w:pStyle w:val="Heading1"/>
      </w:pPr>
      <w:r>
        <w:t>15  Experimental programme</w:t>
      </w:r>
    </w:p>
    <w:p>
      <w:pPr>
        <w:jc w:val="center"/>
      </w:pPr>
      <w:r>
        <w:drawing>
          <wp:inline xmlns:a="http://schemas.openxmlformats.org/drawingml/2006/main" xmlns:pic="http://schemas.openxmlformats.org/drawingml/2006/picture">
            <wp:extent cx="6309360" cy="2877648"/>
            <wp:docPr id="6" name="Picture 6"/>
            <wp:cNvGraphicFramePr>
              <a:graphicFrameLocks noChangeAspect="1"/>
            </wp:cNvGraphicFramePr>
            <a:graphic>
              <a:graphicData uri="http://schemas.openxmlformats.org/drawingml/2006/picture">
                <pic:pic>
                  <pic:nvPicPr>
                    <pic:cNvPr id="0" name="experiment.png"/>
                    <pic:cNvPicPr/>
                  </pic:nvPicPr>
                  <pic:blipFill>
                    <a:blip r:embed="rId15"/>
                    <a:stretch>
                      <a:fillRect/>
                    </a:stretch>
                  </pic:blipFill>
                  <pic:spPr>
                    <a:xfrm>
                      <a:off x="0" y="0"/>
                      <a:ext cx="6309360" cy="2877648"/>
                    </a:xfrm>
                    <a:prstGeom prst="rect"/>
                  </pic:spPr>
                </pic:pic>
              </a:graphicData>
            </a:graphic>
          </wp:inline>
        </w:drawing>
      </w:r>
    </w:p>
    <w:p>
      <w:pPr>
        <w:spacing w:after="140"/>
        <w:jc w:val="center"/>
      </w:pPr>
      <w:r>
        <w:rPr>
          <w:i/>
          <w:color w:val="687987"/>
          <w:sz w:val="17"/>
        </w:rPr>
        <w:t>Figure 5. Experimental evidence chain from cohort construction to stress testing.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02A43"/>
            <w:vAlign w:val="center"/>
          </w:tcPr>
          <w:p>
            <w:r/>
            <w:r>
              <w:rPr>
                <w:rFonts w:ascii="Aptos" w:hAnsi="Aptos"/>
                <w:b/>
                <w:color w:val="FFFFFF"/>
                <w:sz w:val="17"/>
              </w:rPr>
              <w:t>ID</w:t>
            </w:r>
          </w:p>
        </w:tc>
        <w:tc>
          <w:tcPr>
            <w:tcW w:type="dxa" w:w="3389"/>
            <w:shd w:fill="102A43"/>
            <w:vAlign w:val="center"/>
          </w:tcPr>
          <w:p>
            <w:r/>
            <w:r>
              <w:rPr>
                <w:rFonts w:ascii="Aptos" w:hAnsi="Aptos"/>
                <w:b/>
                <w:color w:val="FFFFFF"/>
                <w:sz w:val="17"/>
              </w:rPr>
              <w:t>EXPERIMENT</w:t>
            </w:r>
          </w:p>
        </w:tc>
        <w:tc>
          <w:tcPr>
            <w:tcW w:type="dxa" w:w="3389"/>
            <w:shd w:fill="102A43"/>
            <w:vAlign w:val="center"/>
          </w:tcPr>
          <w:p>
            <w:r/>
            <w:r>
              <w:rPr>
                <w:rFonts w:ascii="Aptos" w:hAnsi="Aptos"/>
                <w:b/>
                <w:color w:val="FFFFFF"/>
                <w:sz w:val="17"/>
              </w:rPr>
              <w:t>SCIENTIFIC QUESTION</w:t>
            </w:r>
          </w:p>
        </w:tc>
      </w:tr>
      <w:tr>
        <w:tc>
          <w:tcPr>
            <w:tcW w:type="dxa" w:w="3389"/>
            <w:vAlign w:val="center"/>
          </w:tcPr>
          <w:p>
            <w:r/>
            <w:r>
              <w:rPr>
                <w:rFonts w:ascii="Aptos" w:hAnsi="Aptos"/>
                <w:b w:val="0"/>
                <w:color w:val="263746"/>
                <w:sz w:val="17"/>
              </w:rPr>
              <w:t>E1</w:t>
            </w:r>
          </w:p>
        </w:tc>
        <w:tc>
          <w:tcPr>
            <w:tcW w:type="dxa" w:w="3389"/>
            <w:vAlign w:val="center"/>
          </w:tcPr>
          <w:p>
            <w:r/>
            <w:r>
              <w:rPr>
                <w:rFonts w:ascii="Aptos" w:hAnsi="Aptos"/>
                <w:b w:val="0"/>
                <w:color w:val="263746"/>
                <w:sz w:val="17"/>
              </w:rPr>
              <w:t>CN/MCI/AD classification</w:t>
            </w:r>
          </w:p>
        </w:tc>
        <w:tc>
          <w:tcPr>
            <w:tcW w:type="dxa" w:w="3389"/>
            <w:vAlign w:val="center"/>
          </w:tcPr>
          <w:p>
            <w:r/>
            <w:r>
              <w:rPr>
                <w:rFonts w:ascii="Aptos" w:hAnsi="Aptos"/>
                <w:b w:val="0"/>
                <w:color w:val="263746"/>
                <w:sz w:val="17"/>
              </w:rPr>
              <w:t>How accurately can current disease state be classified?</w:t>
            </w:r>
          </w:p>
        </w:tc>
      </w:tr>
      <w:tr>
        <w:tc>
          <w:tcPr>
            <w:tcW w:type="dxa" w:w="3389"/>
            <w:shd w:fill="F5F8FA"/>
            <w:vAlign w:val="center"/>
          </w:tcPr>
          <w:p>
            <w:r/>
            <w:r>
              <w:rPr>
                <w:rFonts w:ascii="Aptos" w:hAnsi="Aptos"/>
                <w:b w:val="0"/>
                <w:color w:val="263746"/>
                <w:sz w:val="17"/>
              </w:rPr>
              <w:t>E2</w:t>
            </w:r>
          </w:p>
        </w:tc>
        <w:tc>
          <w:tcPr>
            <w:tcW w:type="dxa" w:w="3389"/>
            <w:shd w:fill="F5F8FA"/>
            <w:vAlign w:val="center"/>
          </w:tcPr>
          <w:p>
            <w:r/>
            <w:r>
              <w:rPr>
                <w:rFonts w:ascii="Aptos" w:hAnsi="Aptos"/>
                <w:b w:val="0"/>
                <w:color w:val="263746"/>
                <w:sz w:val="17"/>
              </w:rPr>
              <w:t>12/24/36-month progression</w:t>
            </w:r>
          </w:p>
        </w:tc>
        <w:tc>
          <w:tcPr>
            <w:tcW w:type="dxa" w:w="3389"/>
            <w:shd w:fill="F5F8FA"/>
            <w:vAlign w:val="center"/>
          </w:tcPr>
          <w:p>
            <w:r/>
            <w:r>
              <w:rPr>
                <w:rFonts w:ascii="Aptos" w:hAnsi="Aptos"/>
                <w:b w:val="0"/>
                <w:color w:val="263746"/>
                <w:sz w:val="17"/>
              </w:rPr>
              <w:t>Can MCI→AD conversion be forecast prospectively?</w:t>
            </w:r>
          </w:p>
        </w:tc>
      </w:tr>
      <w:tr>
        <w:tc>
          <w:tcPr>
            <w:tcW w:type="dxa" w:w="3389"/>
            <w:vAlign w:val="center"/>
          </w:tcPr>
          <w:p>
            <w:r/>
            <w:r>
              <w:rPr>
                <w:rFonts w:ascii="Aptos" w:hAnsi="Aptos"/>
                <w:b w:val="0"/>
                <w:color w:val="263746"/>
                <w:sz w:val="17"/>
              </w:rPr>
              <w:t>E3</w:t>
            </w:r>
          </w:p>
        </w:tc>
        <w:tc>
          <w:tcPr>
            <w:tcW w:type="dxa" w:w="3389"/>
            <w:vAlign w:val="center"/>
          </w:tcPr>
          <w:p>
            <w:r/>
            <w:r>
              <w:rPr>
                <w:rFonts w:ascii="Aptos" w:hAnsi="Aptos"/>
                <w:b w:val="0"/>
                <w:color w:val="263746"/>
                <w:sz w:val="17"/>
              </w:rPr>
              <w:t>Single-modality benchmark</w:t>
            </w:r>
          </w:p>
        </w:tc>
        <w:tc>
          <w:tcPr>
            <w:tcW w:type="dxa" w:w="3389"/>
            <w:vAlign w:val="center"/>
          </w:tcPr>
          <w:p>
            <w:r/>
            <w:r>
              <w:rPr>
                <w:rFonts w:ascii="Aptos" w:hAnsi="Aptos"/>
                <w:b w:val="0"/>
                <w:color w:val="263746"/>
                <w:sz w:val="17"/>
              </w:rPr>
              <w:t>Which modality is most informative alone?</w:t>
            </w:r>
          </w:p>
        </w:tc>
      </w:tr>
      <w:tr>
        <w:tc>
          <w:tcPr>
            <w:tcW w:type="dxa" w:w="3389"/>
            <w:shd w:fill="F5F8FA"/>
            <w:vAlign w:val="center"/>
          </w:tcPr>
          <w:p>
            <w:r/>
            <w:r>
              <w:rPr>
                <w:rFonts w:ascii="Aptos" w:hAnsi="Aptos"/>
                <w:b w:val="0"/>
                <w:color w:val="263746"/>
                <w:sz w:val="17"/>
              </w:rPr>
              <w:t>E4</w:t>
            </w:r>
          </w:p>
        </w:tc>
        <w:tc>
          <w:tcPr>
            <w:tcW w:type="dxa" w:w="3389"/>
            <w:shd w:fill="F5F8FA"/>
            <w:vAlign w:val="center"/>
          </w:tcPr>
          <w:p>
            <w:r/>
            <w:r>
              <w:rPr>
                <w:rFonts w:ascii="Aptos" w:hAnsi="Aptos"/>
                <w:b w:val="0"/>
                <w:color w:val="263746"/>
                <w:sz w:val="17"/>
              </w:rPr>
              <w:t>Multimodal fusion</w:t>
            </w:r>
          </w:p>
        </w:tc>
        <w:tc>
          <w:tcPr>
            <w:tcW w:type="dxa" w:w="3389"/>
            <w:shd w:fill="F5F8FA"/>
            <w:vAlign w:val="center"/>
          </w:tcPr>
          <w:p>
            <w:r/>
            <w:r>
              <w:rPr>
                <w:rFonts w:ascii="Aptos" w:hAnsi="Aptos"/>
                <w:b w:val="0"/>
                <w:color w:val="263746"/>
                <w:sz w:val="17"/>
              </w:rPr>
              <w:t>Does fusion improve over the best single modality?</w:t>
            </w:r>
          </w:p>
        </w:tc>
      </w:tr>
      <w:tr>
        <w:tc>
          <w:tcPr>
            <w:tcW w:type="dxa" w:w="3389"/>
            <w:vAlign w:val="center"/>
          </w:tcPr>
          <w:p>
            <w:r/>
            <w:r>
              <w:rPr>
                <w:rFonts w:ascii="Aptos" w:hAnsi="Aptos"/>
                <w:b w:val="0"/>
                <w:color w:val="263746"/>
                <w:sz w:val="17"/>
              </w:rPr>
              <w:t>E5</w:t>
            </w:r>
          </w:p>
        </w:tc>
        <w:tc>
          <w:tcPr>
            <w:tcW w:type="dxa" w:w="3389"/>
            <w:vAlign w:val="center"/>
          </w:tcPr>
          <w:p>
            <w:r/>
            <w:r>
              <w:rPr>
                <w:rFonts w:ascii="Aptos" w:hAnsi="Aptos"/>
                <w:b w:val="0"/>
                <w:color w:val="263746"/>
                <w:sz w:val="17"/>
              </w:rPr>
              <w:t>Early vs late vs hybrid</w:t>
            </w:r>
          </w:p>
        </w:tc>
        <w:tc>
          <w:tcPr>
            <w:tcW w:type="dxa" w:w="3389"/>
            <w:vAlign w:val="center"/>
          </w:tcPr>
          <w:p>
            <w:r/>
            <w:r>
              <w:rPr>
                <w:rFonts w:ascii="Aptos" w:hAnsi="Aptos"/>
                <w:b w:val="0"/>
                <w:color w:val="263746"/>
                <w:sz w:val="17"/>
              </w:rPr>
              <w:t>Which fusion architecture is most robust?</w:t>
            </w:r>
          </w:p>
        </w:tc>
      </w:tr>
      <w:tr>
        <w:tc>
          <w:tcPr>
            <w:tcW w:type="dxa" w:w="3389"/>
            <w:shd w:fill="F5F8FA"/>
            <w:vAlign w:val="center"/>
          </w:tcPr>
          <w:p>
            <w:r/>
            <w:r>
              <w:rPr>
                <w:rFonts w:ascii="Aptos" w:hAnsi="Aptos"/>
                <w:b w:val="0"/>
                <w:color w:val="263746"/>
                <w:sz w:val="17"/>
              </w:rPr>
              <w:t>E6</w:t>
            </w:r>
          </w:p>
        </w:tc>
        <w:tc>
          <w:tcPr>
            <w:tcW w:type="dxa" w:w="3389"/>
            <w:shd w:fill="F5F8FA"/>
            <w:vAlign w:val="center"/>
          </w:tcPr>
          <w:p>
            <w:r/>
            <w:r>
              <w:rPr>
                <w:rFonts w:ascii="Aptos" w:hAnsi="Aptos"/>
                <w:b w:val="0"/>
                <w:color w:val="263746"/>
                <w:sz w:val="17"/>
              </w:rPr>
              <w:t>Static vs longitudinal</w:t>
            </w:r>
          </w:p>
        </w:tc>
        <w:tc>
          <w:tcPr>
            <w:tcW w:type="dxa" w:w="3389"/>
            <w:shd w:fill="F5F8FA"/>
            <w:vAlign w:val="center"/>
          </w:tcPr>
          <w:p>
            <w:r/>
            <w:r>
              <w:rPr>
                <w:rFonts w:ascii="Aptos" w:hAnsi="Aptos"/>
                <w:b w:val="0"/>
                <w:color w:val="263746"/>
                <w:sz w:val="17"/>
              </w:rPr>
              <w:t>Do trajectories improve prediction?</w:t>
            </w:r>
          </w:p>
        </w:tc>
      </w:tr>
      <w:tr>
        <w:tc>
          <w:tcPr>
            <w:tcW w:type="dxa" w:w="3389"/>
            <w:vAlign w:val="center"/>
          </w:tcPr>
          <w:p>
            <w:r/>
            <w:r>
              <w:rPr>
                <w:rFonts w:ascii="Aptos" w:hAnsi="Aptos"/>
                <w:b w:val="0"/>
                <w:color w:val="263746"/>
                <w:sz w:val="17"/>
              </w:rPr>
              <w:t>E7</w:t>
            </w:r>
          </w:p>
        </w:tc>
        <w:tc>
          <w:tcPr>
            <w:tcW w:type="dxa" w:w="3389"/>
            <w:vAlign w:val="center"/>
          </w:tcPr>
          <w:p>
            <w:r/>
            <w:r>
              <w:rPr>
                <w:rFonts w:ascii="Aptos" w:hAnsi="Aptos"/>
                <w:b w:val="0"/>
                <w:color w:val="263746"/>
                <w:sz w:val="17"/>
              </w:rPr>
              <w:t>Classical ML vs DL</w:t>
            </w:r>
          </w:p>
        </w:tc>
        <w:tc>
          <w:tcPr>
            <w:tcW w:type="dxa" w:w="3389"/>
            <w:vAlign w:val="center"/>
          </w:tcPr>
          <w:p>
            <w:r/>
            <w:r>
              <w:rPr>
                <w:rFonts w:ascii="Aptos" w:hAnsi="Aptos"/>
                <w:b w:val="0"/>
                <w:color w:val="263746"/>
                <w:sz w:val="17"/>
              </w:rPr>
              <w:t>Is additional model complexity justified?</w:t>
            </w:r>
          </w:p>
        </w:tc>
      </w:tr>
      <w:tr>
        <w:tc>
          <w:tcPr>
            <w:tcW w:type="dxa" w:w="3389"/>
            <w:shd w:fill="F5F8FA"/>
            <w:vAlign w:val="center"/>
          </w:tcPr>
          <w:p>
            <w:r/>
            <w:r>
              <w:rPr>
                <w:rFonts w:ascii="Aptos" w:hAnsi="Aptos"/>
                <w:b w:val="0"/>
                <w:color w:val="263746"/>
                <w:sz w:val="17"/>
              </w:rPr>
              <w:t>E8</w:t>
            </w:r>
          </w:p>
        </w:tc>
        <w:tc>
          <w:tcPr>
            <w:tcW w:type="dxa" w:w="3389"/>
            <w:shd w:fill="F5F8FA"/>
            <w:vAlign w:val="center"/>
          </w:tcPr>
          <w:p>
            <w:r/>
            <w:r>
              <w:rPr>
                <w:rFonts w:ascii="Aptos" w:hAnsi="Aptos"/>
                <w:b w:val="0"/>
                <w:color w:val="263746"/>
                <w:sz w:val="17"/>
              </w:rPr>
              <w:t>Missing modalities</w:t>
            </w:r>
          </w:p>
        </w:tc>
        <w:tc>
          <w:tcPr>
            <w:tcW w:type="dxa" w:w="3389"/>
            <w:shd w:fill="F5F8FA"/>
            <w:vAlign w:val="center"/>
          </w:tcPr>
          <w:p>
            <w:r/>
            <w:r>
              <w:rPr>
                <w:rFonts w:ascii="Aptos" w:hAnsi="Aptos"/>
                <w:b w:val="0"/>
                <w:color w:val="263746"/>
                <w:sz w:val="17"/>
              </w:rPr>
              <w:t>How gracefully does performance degrade?</w:t>
            </w:r>
          </w:p>
        </w:tc>
      </w:tr>
      <w:tr>
        <w:tc>
          <w:tcPr>
            <w:tcW w:type="dxa" w:w="3389"/>
            <w:vAlign w:val="center"/>
          </w:tcPr>
          <w:p>
            <w:r/>
            <w:r>
              <w:rPr>
                <w:rFonts w:ascii="Aptos" w:hAnsi="Aptos"/>
                <w:b w:val="0"/>
                <w:color w:val="263746"/>
                <w:sz w:val="17"/>
              </w:rPr>
              <w:t>E9</w:t>
            </w:r>
          </w:p>
        </w:tc>
        <w:tc>
          <w:tcPr>
            <w:tcW w:type="dxa" w:w="3389"/>
            <w:vAlign w:val="center"/>
          </w:tcPr>
          <w:p>
            <w:r/>
            <w:r>
              <w:rPr>
                <w:rFonts w:ascii="Aptos" w:hAnsi="Aptos"/>
                <w:b w:val="0"/>
                <w:color w:val="263746"/>
                <w:sz w:val="17"/>
              </w:rPr>
              <w:t>Calibration</w:t>
            </w:r>
          </w:p>
        </w:tc>
        <w:tc>
          <w:tcPr>
            <w:tcW w:type="dxa" w:w="3389"/>
            <w:vAlign w:val="center"/>
          </w:tcPr>
          <w:p>
            <w:r/>
            <w:r>
              <w:rPr>
                <w:rFonts w:ascii="Aptos" w:hAnsi="Aptos"/>
                <w:b w:val="0"/>
                <w:color w:val="263746"/>
                <w:sz w:val="17"/>
              </w:rPr>
              <w:t>Are estimated risks probabilistically reliable?</w:t>
            </w:r>
          </w:p>
        </w:tc>
      </w:tr>
      <w:tr>
        <w:tc>
          <w:tcPr>
            <w:tcW w:type="dxa" w:w="3389"/>
            <w:shd w:fill="F5F8FA"/>
            <w:vAlign w:val="center"/>
          </w:tcPr>
          <w:p>
            <w:r/>
            <w:r>
              <w:rPr>
                <w:rFonts w:ascii="Aptos" w:hAnsi="Aptos"/>
                <w:b w:val="0"/>
                <w:color w:val="263746"/>
                <w:sz w:val="17"/>
              </w:rPr>
              <w:t>E10</w:t>
            </w:r>
          </w:p>
        </w:tc>
        <w:tc>
          <w:tcPr>
            <w:tcW w:type="dxa" w:w="3389"/>
            <w:shd w:fill="F5F8FA"/>
            <w:vAlign w:val="center"/>
          </w:tcPr>
          <w:p>
            <w:r/>
            <w:r>
              <w:rPr>
                <w:rFonts w:ascii="Aptos" w:hAnsi="Aptos"/>
                <w:b w:val="0"/>
                <w:color w:val="263746"/>
                <w:sz w:val="17"/>
              </w:rPr>
              <w:t>Explainability</w:t>
            </w:r>
          </w:p>
        </w:tc>
        <w:tc>
          <w:tcPr>
            <w:tcW w:type="dxa" w:w="3389"/>
            <w:shd w:fill="F5F8FA"/>
            <w:vAlign w:val="center"/>
          </w:tcPr>
          <w:p>
            <w:r/>
            <w:r>
              <w:rPr>
                <w:rFonts w:ascii="Aptos" w:hAnsi="Aptos"/>
                <w:b w:val="0"/>
                <w:color w:val="263746"/>
                <w:sz w:val="17"/>
              </w:rPr>
              <w:t>Which features/modalities drive outputs?</w:t>
            </w:r>
          </w:p>
        </w:tc>
      </w:tr>
      <w:tr>
        <w:tc>
          <w:tcPr>
            <w:tcW w:type="dxa" w:w="3389"/>
            <w:vAlign w:val="center"/>
          </w:tcPr>
          <w:p>
            <w:r/>
            <w:r>
              <w:rPr>
                <w:rFonts w:ascii="Aptos" w:hAnsi="Aptos"/>
                <w:b w:val="0"/>
                <w:color w:val="263746"/>
                <w:sz w:val="17"/>
              </w:rPr>
              <w:t>E11</w:t>
            </w:r>
          </w:p>
        </w:tc>
        <w:tc>
          <w:tcPr>
            <w:tcW w:type="dxa" w:w="3389"/>
            <w:vAlign w:val="center"/>
          </w:tcPr>
          <w:p>
            <w:r/>
            <w:r>
              <w:rPr>
                <w:rFonts w:ascii="Aptos" w:hAnsi="Aptos"/>
                <w:b w:val="0"/>
                <w:color w:val="263746"/>
                <w:sz w:val="17"/>
              </w:rPr>
              <w:t>Subgroup analysis</w:t>
            </w:r>
          </w:p>
        </w:tc>
        <w:tc>
          <w:tcPr>
            <w:tcW w:type="dxa" w:w="3389"/>
            <w:vAlign w:val="center"/>
          </w:tcPr>
          <w:p>
            <w:r/>
            <w:r>
              <w:rPr>
                <w:rFonts w:ascii="Aptos" w:hAnsi="Aptos"/>
                <w:b w:val="0"/>
                <w:color w:val="263746"/>
                <w:sz w:val="17"/>
              </w:rPr>
              <w:t>Does performance vary across prespecified groups?</w:t>
            </w:r>
          </w:p>
        </w:tc>
      </w:tr>
    </w:tbl>
    <w:p>
      <w:r>
        <w:br w:type="page"/>
      </w:r>
    </w:p>
    <w:p>
      <w:pPr>
        <w:pStyle w:val="Heading1"/>
      </w:pPr>
      <w:r>
        <w:t>16  Validation, leakage prevention and reproducibility</w:t>
      </w:r>
    </w:p>
    <w:p>
      <w:pPr>
        <w:spacing w:after="100" w:line="254" w:lineRule="auto"/>
      </w:pPr>
      <w:r>
        <w:t>All splitting must occur at participant level. Repeated visits or scans from the same participant may not cross partitions. Hyperparameter tuning, imputation, scaling, feature selection and calibration must be learned without using the final test set.</w:t>
      </w:r>
    </w:p>
    <w:p>
      <w:pPr>
        <w:spacing w:before="60" w:after="120"/>
        <w:jc w:val="center"/>
      </w:pPr>
      <m:oMathPara>
        <m:oMathParaPr>
          <m:jc m:val="center"/>
        </m:oMathParaPr>
        <m:oMath>
          <m:sSub>
            <m:e>
              <m:r>
                <m:t>D</m:t>
              </m:r>
            </m:e>
            <m:sub>
              <m:r>
                <m:rPr>
                  <m:sty m:val="p"/>
                </m:rPr>
                <m:t>t</m:t>
              </m:r>
              <m:r>
                <m:rPr>
                  <m:sty m:val="p"/>
                </m:rPr>
                <m:t>r</m:t>
              </m:r>
              <m:r>
                <m:rPr>
                  <m:sty m:val="p"/>
                </m:rPr>
                <m:t>a</m:t>
              </m:r>
              <m:r>
                <m:rPr>
                  <m:sty m:val="p"/>
                </m:rPr>
                <m:t>i</m:t>
              </m:r>
              <m:r>
                <m:rPr>
                  <m:sty m:val="p"/>
                </m:rPr>
                <m:t>n</m:t>
              </m:r>
            </m:sub>
          </m:sSub>
          <m:r>
            <m:rPr>
              <m:sty m:val="p"/>
            </m:rPr>
            <m:t>∩</m:t>
          </m:r>
          <m:sSub>
            <m:e>
              <m:r>
                <m:t>D</m:t>
              </m:r>
            </m:e>
            <m:sub>
              <m:r>
                <m:rPr>
                  <m:sty m:val="p"/>
                </m:rPr>
                <m:t>v</m:t>
              </m:r>
              <m:r>
                <m:rPr>
                  <m:sty m:val="p"/>
                </m:rPr>
                <m:t>a</m:t>
              </m:r>
              <m:r>
                <m:rPr>
                  <m:sty m:val="p"/>
                </m:rPr>
                <m:t>l</m:t>
              </m:r>
              <m:r>
                <m:rPr>
                  <m:sty m:val="p"/>
                </m:rPr>
                <m:t>i</m:t>
              </m:r>
              <m:r>
                <m:rPr>
                  <m:sty m:val="p"/>
                </m:rPr>
                <m:t>d</m:t>
              </m:r>
              <m:r>
                <m:rPr>
                  <m:sty m:val="p"/>
                </m:rPr>
                <m:t>a</m:t>
              </m:r>
              <m:r>
                <m:rPr>
                  <m:sty m:val="p"/>
                </m:rPr>
                <m:t>t</m:t>
              </m:r>
              <m:r>
                <m:rPr>
                  <m:sty m:val="p"/>
                </m:rPr>
                <m:t>i</m:t>
              </m:r>
              <m:r>
                <m:rPr>
                  <m:sty m:val="p"/>
                </m:rPr>
                <m:t>o</m:t>
              </m:r>
              <m:r>
                <m:rPr>
                  <m:sty m:val="p"/>
                </m:rPr>
                <m:t>n</m:t>
              </m:r>
            </m:sub>
          </m:sSub>
          <m:r>
            <m:rPr>
              <m:sty m:val="p"/>
            </m:rPr>
            <m:t>∩</m:t>
          </m:r>
          <m:sSub>
            <m:e>
              <m:r>
                <m:t>D</m:t>
              </m:r>
            </m:e>
            <m:sub>
              <m:r>
                <m:rPr>
                  <m:sty m:val="p"/>
                </m:rPr>
                <m:t>t</m:t>
              </m:r>
              <m:r>
                <m:rPr>
                  <m:sty m:val="p"/>
                </m:rPr>
                <m:t>e</m:t>
              </m:r>
              <m:r>
                <m:rPr>
                  <m:sty m:val="p"/>
                </m:rPr>
                <m:t>s</m:t>
              </m:r>
              <m:r>
                <m:rPr>
                  <m:sty m:val="p"/>
                </m:rPr>
                <m:t>t</m:t>
              </m:r>
            </m:sub>
          </m:sSub>
          <m:r>
            <m:rPr>
              <m:sty m:val="p"/>
            </m:rPr>
            <m:t>=</m:t>
          </m:r>
          <m:r>
            <m:rPr>
              <m:sty m:val="p"/>
            </m:rPr>
            <m:t>⌀</m:t>
          </m:r>
          <m:r>
            <m:t>  </m:t>
          </m:r>
          <m:r>
            <m:rPr>
              <m:nor/>
              <m:sty m:val="p"/>
            </m:rPr>
            <m:t>(participant level)</m:t>
          </m:r>
        </m:oMath>
      </m:oMathPara>
    </w:p>
    <w:p>
      <w:pPr>
        <w:spacing w:before="60" w:after="120"/>
        <w:jc w:val="center"/>
      </w:pPr>
      <m:oMathPara>
        <m:oMathParaPr>
          <m:jc m:val="center"/>
        </m:oMathParaPr>
        <m:oMath>
          <m:sSub>
            <m:e>
              <m:r>
                <m:rPr>
                  <m:sty m:val="p"/>
                </m:rPr>
                <m:t>T</m:t>
              </m:r>
              <m:r>
                <m:rPr>
                  <m:sty m:val="p"/>
                </m:rPr>
                <m:t>r</m:t>
              </m:r>
              <m:r>
                <m:rPr>
                  <m:sty m:val="p"/>
                </m:rPr>
                <m:t>a</m:t>
              </m:r>
              <m:r>
                <m:rPr>
                  <m:sty m:val="p"/>
                </m:rPr>
                <m:t>i</m:t>
              </m:r>
              <m:r>
                <m:rPr>
                  <m:sty m:val="p"/>
                </m:rPr>
                <m:t>n</m:t>
              </m:r>
            </m:e>
            <m:sub>
              <m:r>
                <m:rPr>
                  <m:sty m:val="p"/>
                </m:rPr>
                <m:t>≤</m:t>
              </m:r>
              <m:r>
                <m:t>t</m:t>
              </m:r>
            </m:sub>
          </m:sSub>
          <m:r>
            <m:t> </m:t>
          </m:r>
          <m:r>
            <m:rPr>
              <m:sty m:val="p"/>
            </m:rPr>
            <m:t>→</m:t>
          </m:r>
          <m:r>
            <m:t> </m:t>
          </m:r>
          <m:sSub>
            <m:e>
              <m:r>
                <m:rPr>
                  <m:sty m:val="p"/>
                </m:rPr>
                <m:t>P</m:t>
              </m:r>
              <m:r>
                <m:rPr>
                  <m:sty m:val="p"/>
                </m:rPr>
                <m:t>r</m:t>
              </m:r>
              <m:r>
                <m:rPr>
                  <m:sty m:val="p"/>
                </m:rPr>
                <m:t>e</m:t>
              </m:r>
              <m:r>
                <m:rPr>
                  <m:sty m:val="p"/>
                </m:rPr>
                <m:t>d</m:t>
              </m:r>
              <m:r>
                <m:rPr>
                  <m:sty m:val="p"/>
                </m:rPr>
                <m:t>i</m:t>
              </m:r>
              <m:r>
                <m:rPr>
                  <m:sty m:val="p"/>
                </m:rPr>
                <m:t>c</m:t>
              </m:r>
              <m:r>
                <m:rPr>
                  <m:sty m:val="p"/>
                </m:rPr>
                <m:t>t</m:t>
              </m:r>
            </m:e>
            <m:sub>
              <m:r>
                <m:t>t</m:t>
              </m:r>
              <m:r>
                <m:rPr>
                  <m:sty m:val="p"/>
                </m:rPr>
                <m:t>+</m:t>
              </m:r>
              <m:r>
                <m:t>Δ</m:t>
              </m:r>
            </m:sub>
          </m:sSub>
          <m:r>
            <m:t> </m:t>
          </m:r>
          <m:r>
            <m:rPr>
              <m:sty m:val="p"/>
            </m:rPr>
            <m:t>→</m:t>
          </m:r>
          <m:r>
            <m:t> </m:t>
          </m:r>
          <m:r>
            <m:rPr>
              <m:sty m:val="p"/>
            </m:rPr>
            <m:t>O</m:t>
          </m:r>
          <m:r>
            <m:rPr>
              <m:sty m:val="p"/>
            </m:rPr>
            <m:t>b</m:t>
          </m:r>
          <m:r>
            <m:rPr>
              <m:sty m:val="p"/>
            </m:rPr>
            <m:t>s</m:t>
          </m:r>
          <m:r>
            <m:rPr>
              <m:sty m:val="p"/>
            </m:rPr>
            <m:t>e</m:t>
          </m:r>
          <m:r>
            <m:rPr>
              <m:sty m:val="p"/>
            </m:rPr>
            <m:t>r</m:t>
          </m:r>
          <m:r>
            <m:rPr>
              <m:sty m:val="p"/>
            </m:rPr>
            <m:t>v</m:t>
          </m:r>
          <m:r>
            <m:rPr>
              <m:sty m:val="p"/>
            </m:rPr>
            <m:t>e</m:t>
          </m:r>
          <m:r>
            <m:rPr>
              <m:sty m:val="p"/>
            </m:rPr>
            <m:t> </m:t>
          </m:r>
          <m:r>
            <m:rPr>
              <m:sty m:val="p"/>
            </m:rPr>
            <m:t>o</m:t>
          </m:r>
          <m:r>
            <m:rPr>
              <m:sty m:val="p"/>
            </m:rPr>
            <m:t>u</m:t>
          </m:r>
          <m:r>
            <m:rPr>
              <m:sty m:val="p"/>
            </m:rPr>
            <m:t>t</m:t>
          </m:r>
          <m:r>
            <m:rPr>
              <m:sty m:val="p"/>
            </m:rPr>
            <m:t>c</m:t>
          </m:r>
          <m:r>
            <m:rPr>
              <m:sty m:val="p"/>
            </m:rPr>
            <m:t>o</m:t>
          </m:r>
          <m:r>
            <m:rPr>
              <m:sty m:val="p"/>
            </m:rPr>
            <m:t>m</m:t>
          </m:r>
          <m:r>
            <m:rPr>
              <m:sty m:val="p"/>
            </m:rPr>
            <m:t>e</m:t>
          </m:r>
        </m:oMath>
      </m:oMathPara>
    </w:p>
    <w:p>
      <w:pPr>
        <w:pStyle w:val="ListBullet"/>
        <w:spacing w:after="40"/>
      </w:pPr>
      <w:r>
        <w:t>Use nested cross-validation or a fixed train/validation/test design with tuning restricted to training/validation data.</w:t>
      </w:r>
    </w:p>
    <w:p>
      <w:pPr>
        <w:pStyle w:val="ListBullet"/>
        <w:spacing w:after="40"/>
      </w:pPr>
      <w:r>
        <w:t>Persist random seeds, cohort query version, feature dictionary, preprocessing parameters, model configuration and software environment.</w:t>
      </w:r>
    </w:p>
    <w:p>
      <w:pPr>
        <w:pStyle w:val="ListBullet"/>
        <w:spacing w:after="40"/>
      </w:pPr>
      <w:r>
        <w:t>Maintain a prediction ledger containing participant pseudonym, prediction timestamp, model version, input-modality mask and output probabilities.</w:t>
      </w:r>
    </w:p>
    <w:p>
      <w:pPr>
        <w:pStyle w:val="ListBullet"/>
        <w:spacing w:after="40"/>
      </w:pPr>
      <w:r>
        <w:t>Report exclusions and cohort attrition transparently.</w:t>
      </w:r>
    </w:p>
    <w:p>
      <w:r>
        <w:br w:type="page"/>
      </w:r>
    </w:p>
    <w:p>
      <w:pPr>
        <w:pStyle w:val="Heading1"/>
      </w:pPr>
      <w:r>
        <w:t>17  Python software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rFonts w:ascii="Aptos" w:hAnsi="Aptos"/>
                <w:b/>
                <w:color w:val="FFFFFF"/>
                <w:sz w:val="17"/>
              </w:rPr>
              <w:t>MODULE</w:t>
            </w:r>
          </w:p>
        </w:tc>
        <w:tc>
          <w:tcPr>
            <w:tcW w:type="dxa" w:w="5083"/>
            <w:shd w:fill="102A43"/>
            <w:vAlign w:val="center"/>
          </w:tcPr>
          <w:p>
            <w:r/>
            <w:r>
              <w:rPr>
                <w:rFonts w:ascii="Aptos" w:hAnsi="Aptos"/>
                <w:b/>
                <w:color w:val="FFFFFF"/>
                <w:sz w:val="17"/>
              </w:rPr>
              <w:t>RESPONSIBILITY</w:t>
            </w:r>
          </w:p>
        </w:tc>
      </w:tr>
      <w:tr>
        <w:tc>
          <w:tcPr>
            <w:tcW w:type="dxa" w:w="5083"/>
            <w:vAlign w:val="center"/>
          </w:tcPr>
          <w:p>
            <w:r/>
            <w:r>
              <w:rPr>
                <w:rFonts w:ascii="Aptos" w:hAnsi="Aptos"/>
                <w:b w:val="0"/>
                <w:color w:val="263746"/>
                <w:sz w:val="17"/>
              </w:rPr>
              <w:t>ADNI Data Manager</w:t>
            </w:r>
          </w:p>
        </w:tc>
        <w:tc>
          <w:tcPr>
            <w:tcW w:type="dxa" w:w="5083"/>
            <w:vAlign w:val="center"/>
          </w:tcPr>
          <w:p>
            <w:r/>
            <w:r>
              <w:rPr>
                <w:rFonts w:ascii="Aptos" w:hAnsi="Aptos"/>
                <w:b w:val="0"/>
                <w:color w:val="263746"/>
                <w:sz w:val="17"/>
              </w:rPr>
              <w:t>Import approved ADNI tables/files; provenance and dictionary mapping</w:t>
            </w:r>
          </w:p>
        </w:tc>
      </w:tr>
      <w:tr>
        <w:tc>
          <w:tcPr>
            <w:tcW w:type="dxa" w:w="5083"/>
            <w:shd w:fill="F5F8FA"/>
            <w:vAlign w:val="center"/>
          </w:tcPr>
          <w:p>
            <w:r/>
            <w:r>
              <w:rPr>
                <w:rFonts w:ascii="Aptos" w:hAnsi="Aptos"/>
                <w:b w:val="0"/>
                <w:color w:val="263746"/>
                <w:sz w:val="17"/>
              </w:rPr>
              <w:t>Cohort Builder</w:t>
            </w:r>
          </w:p>
        </w:tc>
        <w:tc>
          <w:tcPr>
            <w:tcW w:type="dxa" w:w="5083"/>
            <w:shd w:fill="F5F8FA"/>
            <w:vAlign w:val="center"/>
          </w:tcPr>
          <w:p>
            <w:r/>
            <w:r>
              <w:rPr>
                <w:rFonts w:ascii="Aptos" w:hAnsi="Aptos"/>
                <w:b w:val="0"/>
                <w:color w:val="263746"/>
                <w:sz w:val="17"/>
              </w:rPr>
              <w:t>Eligibility, labels, index dates, prediction horizons</w:t>
            </w:r>
          </w:p>
        </w:tc>
      </w:tr>
      <w:tr>
        <w:tc>
          <w:tcPr>
            <w:tcW w:type="dxa" w:w="5083"/>
            <w:vAlign w:val="center"/>
          </w:tcPr>
          <w:p>
            <w:r/>
            <w:r>
              <w:rPr>
                <w:rFonts w:ascii="Aptos" w:hAnsi="Aptos"/>
                <w:b w:val="0"/>
                <w:color w:val="263746"/>
                <w:sz w:val="17"/>
              </w:rPr>
              <w:t>Patient Timeline Engine</w:t>
            </w:r>
          </w:p>
        </w:tc>
        <w:tc>
          <w:tcPr>
            <w:tcW w:type="dxa" w:w="5083"/>
            <w:vAlign w:val="center"/>
          </w:tcPr>
          <w:p>
            <w:r/>
            <w:r>
              <w:rPr>
                <w:rFonts w:ascii="Aptos" w:hAnsi="Aptos"/>
                <w:b w:val="0"/>
                <w:color w:val="263746"/>
                <w:sz w:val="17"/>
              </w:rPr>
              <w:t>Longitudinal visit and feature alignment</w:t>
            </w:r>
          </w:p>
        </w:tc>
      </w:tr>
      <w:tr>
        <w:tc>
          <w:tcPr>
            <w:tcW w:type="dxa" w:w="5083"/>
            <w:shd w:fill="F5F8FA"/>
            <w:vAlign w:val="center"/>
          </w:tcPr>
          <w:p>
            <w:r/>
            <w:r>
              <w:rPr>
                <w:rFonts w:ascii="Aptos" w:hAnsi="Aptos"/>
                <w:b w:val="0"/>
                <w:color w:val="263746"/>
                <w:sz w:val="17"/>
              </w:rPr>
              <w:t>Clinical/Cognitive Engines</w:t>
            </w:r>
          </w:p>
        </w:tc>
        <w:tc>
          <w:tcPr>
            <w:tcW w:type="dxa" w:w="5083"/>
            <w:shd w:fill="F5F8FA"/>
            <w:vAlign w:val="center"/>
          </w:tcPr>
          <w:p>
            <w:r/>
            <w:r>
              <w:rPr>
                <w:rFonts w:ascii="Aptos" w:hAnsi="Aptos"/>
                <w:b w:val="0"/>
                <w:color w:val="263746"/>
                <w:sz w:val="17"/>
              </w:rPr>
              <w:t>Feature construction and trajectories</w:t>
            </w:r>
          </w:p>
        </w:tc>
      </w:tr>
      <w:tr>
        <w:tc>
          <w:tcPr>
            <w:tcW w:type="dxa" w:w="5083"/>
            <w:vAlign w:val="center"/>
          </w:tcPr>
          <w:p>
            <w:r/>
            <w:r>
              <w:rPr>
                <w:rFonts w:ascii="Aptos" w:hAnsi="Aptos"/>
                <w:b w:val="0"/>
                <w:color w:val="263746"/>
                <w:sz w:val="17"/>
              </w:rPr>
              <w:t>MRI/PET Engines</w:t>
            </w:r>
          </w:p>
        </w:tc>
        <w:tc>
          <w:tcPr>
            <w:tcW w:type="dxa" w:w="5083"/>
            <w:vAlign w:val="center"/>
          </w:tcPr>
          <w:p>
            <w:r/>
            <w:r>
              <w:rPr>
                <w:rFonts w:ascii="Aptos" w:hAnsi="Aptos"/>
                <w:b w:val="0"/>
                <w:color w:val="263746"/>
                <w:sz w:val="17"/>
              </w:rPr>
              <w:t>Imaging summaries and optional 3D encoders</w:t>
            </w:r>
          </w:p>
        </w:tc>
      </w:tr>
      <w:tr>
        <w:tc>
          <w:tcPr>
            <w:tcW w:type="dxa" w:w="5083"/>
            <w:shd w:fill="F5F8FA"/>
            <w:vAlign w:val="center"/>
          </w:tcPr>
          <w:p>
            <w:r/>
            <w:r>
              <w:rPr>
                <w:rFonts w:ascii="Aptos" w:hAnsi="Aptos"/>
                <w:b w:val="0"/>
                <w:color w:val="263746"/>
                <w:sz w:val="17"/>
              </w:rPr>
              <w:t>Biomarker/Genetic Engines</w:t>
            </w:r>
          </w:p>
        </w:tc>
        <w:tc>
          <w:tcPr>
            <w:tcW w:type="dxa" w:w="5083"/>
            <w:shd w:fill="F5F8FA"/>
            <w:vAlign w:val="center"/>
          </w:tcPr>
          <w:p>
            <w:r/>
            <w:r>
              <w:rPr>
                <w:rFonts w:ascii="Aptos" w:hAnsi="Aptos"/>
                <w:b w:val="0"/>
                <w:color w:val="263746"/>
                <w:sz w:val="17"/>
              </w:rPr>
              <w:t>Biological feature processing</w:t>
            </w:r>
          </w:p>
        </w:tc>
      </w:tr>
      <w:tr>
        <w:tc>
          <w:tcPr>
            <w:tcW w:type="dxa" w:w="5083"/>
            <w:vAlign w:val="center"/>
          </w:tcPr>
          <w:p>
            <w:r/>
            <w:r>
              <w:rPr>
                <w:rFonts w:ascii="Aptos" w:hAnsi="Aptos"/>
                <w:b w:val="0"/>
                <w:color w:val="263746"/>
                <w:sz w:val="17"/>
              </w:rPr>
              <w:t>Missing Data Engine</w:t>
            </w:r>
          </w:p>
        </w:tc>
        <w:tc>
          <w:tcPr>
            <w:tcW w:type="dxa" w:w="5083"/>
            <w:vAlign w:val="center"/>
          </w:tcPr>
          <w:p>
            <w:r/>
            <w:r>
              <w:rPr>
                <w:rFonts w:ascii="Aptos" w:hAnsi="Aptos"/>
                <w:b w:val="0"/>
                <w:color w:val="263746"/>
                <w:sz w:val="17"/>
              </w:rPr>
              <w:t>Imputation, masks, quality/completeness</w:t>
            </w:r>
          </w:p>
        </w:tc>
      </w:tr>
      <w:tr>
        <w:tc>
          <w:tcPr>
            <w:tcW w:type="dxa" w:w="5083"/>
            <w:shd w:fill="F5F8FA"/>
            <w:vAlign w:val="center"/>
          </w:tcPr>
          <w:p>
            <w:r/>
            <w:r>
              <w:rPr>
                <w:rFonts w:ascii="Aptos" w:hAnsi="Aptos"/>
                <w:b w:val="0"/>
                <w:color w:val="263746"/>
                <w:sz w:val="17"/>
              </w:rPr>
              <w:t>Fusion Engine</w:t>
            </w:r>
          </w:p>
        </w:tc>
        <w:tc>
          <w:tcPr>
            <w:tcW w:type="dxa" w:w="5083"/>
            <w:shd w:fill="F5F8FA"/>
            <w:vAlign w:val="center"/>
          </w:tcPr>
          <w:p>
            <w:r/>
            <w:r>
              <w:rPr>
                <w:rFonts w:ascii="Aptos" w:hAnsi="Aptos"/>
                <w:b w:val="0"/>
                <w:color w:val="263746"/>
                <w:sz w:val="17"/>
              </w:rPr>
              <w:t>Early, late, hybrid and attention fusion</w:t>
            </w:r>
          </w:p>
        </w:tc>
      </w:tr>
      <w:tr>
        <w:tc>
          <w:tcPr>
            <w:tcW w:type="dxa" w:w="5083"/>
            <w:vAlign w:val="center"/>
          </w:tcPr>
          <w:p>
            <w:r/>
            <w:r>
              <w:rPr>
                <w:rFonts w:ascii="Aptos" w:hAnsi="Aptos"/>
                <w:b w:val="0"/>
                <w:color w:val="263746"/>
                <w:sz w:val="17"/>
              </w:rPr>
              <w:t>Classification Engine</w:t>
            </w:r>
          </w:p>
        </w:tc>
        <w:tc>
          <w:tcPr>
            <w:tcW w:type="dxa" w:w="5083"/>
            <w:vAlign w:val="center"/>
          </w:tcPr>
          <w:p>
            <w:r/>
            <w:r>
              <w:rPr>
                <w:rFonts w:ascii="Aptos" w:hAnsi="Aptos"/>
                <w:b w:val="0"/>
                <w:color w:val="263746"/>
                <w:sz w:val="17"/>
              </w:rPr>
              <w:t>CN/MCI/AD modelling</w:t>
            </w:r>
          </w:p>
        </w:tc>
      </w:tr>
      <w:tr>
        <w:tc>
          <w:tcPr>
            <w:tcW w:type="dxa" w:w="5083"/>
            <w:shd w:fill="F5F8FA"/>
            <w:vAlign w:val="center"/>
          </w:tcPr>
          <w:p>
            <w:r/>
            <w:r>
              <w:rPr>
                <w:rFonts w:ascii="Aptos" w:hAnsi="Aptos"/>
                <w:b w:val="0"/>
                <w:color w:val="263746"/>
                <w:sz w:val="17"/>
              </w:rPr>
              <w:t>Progression Engine</w:t>
            </w:r>
          </w:p>
        </w:tc>
        <w:tc>
          <w:tcPr>
            <w:tcW w:type="dxa" w:w="5083"/>
            <w:shd w:fill="F5F8FA"/>
            <w:vAlign w:val="center"/>
          </w:tcPr>
          <w:p>
            <w:r/>
            <w:r>
              <w:rPr>
                <w:rFonts w:ascii="Aptos" w:hAnsi="Aptos"/>
                <w:b w:val="0"/>
                <w:color w:val="263746"/>
                <w:sz w:val="17"/>
              </w:rPr>
              <w:t>MCI→AD horizon-specific prediction</w:t>
            </w:r>
          </w:p>
        </w:tc>
      </w:tr>
      <w:tr>
        <w:tc>
          <w:tcPr>
            <w:tcW w:type="dxa" w:w="5083"/>
            <w:vAlign w:val="center"/>
          </w:tcPr>
          <w:p>
            <w:r/>
            <w:r>
              <w:rPr>
                <w:rFonts w:ascii="Aptos" w:hAnsi="Aptos"/>
                <w:b w:val="0"/>
                <w:color w:val="263746"/>
                <w:sz w:val="17"/>
              </w:rPr>
              <w:t>Calibration/Uncertainty</w:t>
            </w:r>
          </w:p>
        </w:tc>
        <w:tc>
          <w:tcPr>
            <w:tcW w:type="dxa" w:w="5083"/>
            <w:vAlign w:val="center"/>
          </w:tcPr>
          <w:p>
            <w:r/>
            <w:r>
              <w:rPr>
                <w:rFonts w:ascii="Aptos" w:hAnsi="Aptos"/>
                <w:b w:val="0"/>
                <w:color w:val="263746"/>
                <w:sz w:val="17"/>
              </w:rPr>
              <w:t>Probability reliability and uncertainty</w:t>
            </w:r>
          </w:p>
        </w:tc>
      </w:tr>
      <w:tr>
        <w:tc>
          <w:tcPr>
            <w:tcW w:type="dxa" w:w="5083"/>
            <w:shd w:fill="F5F8FA"/>
            <w:vAlign w:val="center"/>
          </w:tcPr>
          <w:p>
            <w:r/>
            <w:r>
              <w:rPr>
                <w:rFonts w:ascii="Aptos" w:hAnsi="Aptos"/>
                <w:b w:val="0"/>
                <w:color w:val="263746"/>
                <w:sz w:val="17"/>
              </w:rPr>
              <w:t>Explainable AI Engine</w:t>
            </w:r>
          </w:p>
        </w:tc>
        <w:tc>
          <w:tcPr>
            <w:tcW w:type="dxa" w:w="5083"/>
            <w:shd w:fill="F5F8FA"/>
            <w:vAlign w:val="center"/>
          </w:tcPr>
          <w:p>
            <w:r/>
            <w:r>
              <w:rPr>
                <w:rFonts w:ascii="Aptos" w:hAnsi="Aptos"/>
                <w:b w:val="0"/>
                <w:color w:val="263746"/>
                <w:sz w:val="17"/>
              </w:rPr>
              <w:t>Global, local and modality explanations</w:t>
            </w:r>
          </w:p>
        </w:tc>
      </w:tr>
      <w:tr>
        <w:tc>
          <w:tcPr>
            <w:tcW w:type="dxa" w:w="5083"/>
            <w:vAlign w:val="center"/>
          </w:tcPr>
          <w:p>
            <w:r/>
            <w:r>
              <w:rPr>
                <w:rFonts w:ascii="Aptos" w:hAnsi="Aptos"/>
                <w:b w:val="0"/>
                <w:color w:val="263746"/>
                <w:sz w:val="17"/>
              </w:rPr>
              <w:t>Experiment Manager</w:t>
            </w:r>
          </w:p>
        </w:tc>
        <w:tc>
          <w:tcPr>
            <w:tcW w:type="dxa" w:w="5083"/>
            <w:vAlign w:val="center"/>
          </w:tcPr>
          <w:p>
            <w:r/>
            <w:r>
              <w:rPr>
                <w:rFonts w:ascii="Aptos" w:hAnsi="Aptos"/>
                <w:b w:val="0"/>
                <w:color w:val="263746"/>
                <w:sz w:val="17"/>
              </w:rPr>
              <w:t>Runs, seeds, splits, hyperparameters, metrics</w:t>
            </w:r>
          </w:p>
        </w:tc>
      </w:tr>
      <w:tr>
        <w:tc>
          <w:tcPr>
            <w:tcW w:type="dxa" w:w="5083"/>
            <w:shd w:fill="F5F8FA"/>
            <w:vAlign w:val="center"/>
          </w:tcPr>
          <w:p>
            <w:r/>
            <w:r>
              <w:rPr>
                <w:rFonts w:ascii="Aptos" w:hAnsi="Aptos"/>
                <w:b w:val="0"/>
                <w:color w:val="263746"/>
                <w:sz w:val="17"/>
              </w:rPr>
              <w:t>Dashboard</w:t>
            </w:r>
          </w:p>
        </w:tc>
        <w:tc>
          <w:tcPr>
            <w:tcW w:type="dxa" w:w="5083"/>
            <w:shd w:fill="F5F8FA"/>
            <w:vAlign w:val="center"/>
          </w:tcPr>
          <w:p>
            <w:r/>
            <w:r>
              <w:rPr>
                <w:rFonts w:ascii="Aptos" w:hAnsi="Aptos"/>
                <w:b w:val="0"/>
                <w:color w:val="263746"/>
                <w:sz w:val="17"/>
              </w:rPr>
              <w:t>Research visualization and model inspection</w:t>
            </w:r>
          </w:p>
        </w:tc>
      </w:tr>
    </w:tbl>
    <w:p>
      <w:pPr>
        <w:pStyle w:val="Heading2"/>
      </w:pPr>
      <w:r>
        <w:t>Recommended technology stack</w:t>
      </w:r>
    </w:p>
    <w:p>
      <w:pPr>
        <w:spacing w:after="100" w:line="254" w:lineRule="auto"/>
      </w:pPr>
      <w:r>
        <w:t>Python; Pandas; NumPy; SciPy; scikit-learn; XGBoost/LightGBM; PyTorch; MONAI and NiBabel for advanced neuroimaging; SHAP; PostgreSQL or Parquet-based analytical storage; FastAPI for services; Plotly/Dash for the research interface; MLflow or an equivalent experiment registry if desired.</w:t>
      </w:r>
    </w:p>
    <w:p>
      <w:r>
        <w:br w:type="page"/>
      </w:r>
    </w:p>
    <w:p>
      <w:pPr>
        <w:pStyle w:val="Heading1"/>
      </w:pPr>
      <w:r>
        <w:t>18  NeuroFusion-AI research dashboard</w:t>
      </w:r>
    </w:p>
    <w:p>
      <w:pPr>
        <w:jc w:val="center"/>
      </w:pPr>
      <w:r>
        <w:drawing>
          <wp:inline xmlns:a="http://schemas.openxmlformats.org/drawingml/2006/main" xmlns:pic="http://schemas.openxmlformats.org/drawingml/2006/picture">
            <wp:extent cx="6400800" cy="3616820"/>
            <wp:docPr id="7" name="Picture 7"/>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6400800" cy="3616820"/>
                    </a:xfrm>
                    <a:prstGeom prst="rect"/>
                  </pic:spPr>
                </pic:pic>
              </a:graphicData>
            </a:graphic>
          </wp:inline>
        </w:drawing>
      </w:r>
    </w:p>
    <w:p>
      <w:pPr>
        <w:spacing w:after="140"/>
        <w:jc w:val="center"/>
      </w:pPr>
      <w:r>
        <w:rPr>
          <w:i/>
          <w:color w:val="687987"/>
          <w:sz w:val="17"/>
        </w:rPr>
        <w:t>Figure 6. Conceptual NeuroFusion-AI research dashboard. Values are illustrative; the implemented system must display actual model outputs and provenance.</w:t>
      </w:r>
    </w:p>
    <w:p>
      <w:pPr>
        <w:spacing w:after="100" w:line="254" w:lineRule="auto"/>
      </w:pPr>
      <w:r>
        <w:t>The dashboard is a research interface, not a clinical diagnostic device. It should support cohort inspection, participant-level trajectories, model comparison, modality availability, calibration plots, SHAP summaries, progression forecasts, experiment metadata and exportable research reports.</w:t>
      </w:r>
    </w:p>
    <w:p>
      <w:r>
        <w:br w:type="page"/>
      </w:r>
    </w:p>
    <w:p>
      <w:pPr>
        <w:pStyle w:val="Heading1"/>
      </w:pPr>
      <w:r>
        <w:t>19  Research governance, ethics and limitations</w:t>
      </w:r>
    </w:p>
    <w:p>
      <w:pPr>
        <w:spacing w:after="100" w:line="254" w:lineRule="auto"/>
      </w:pPr>
      <w:r>
        <w:t>The project uses de-identified research data under ADNI access and use conditions. It must preserve those conditions throughout storage, processing and publication. The system must not attempt participant re-identification.</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rFonts w:ascii="Aptos" w:hAnsi="Aptos"/>
                <w:b/>
                <w:color w:val="FFFFFF"/>
                <w:sz w:val="17"/>
              </w:rPr>
              <w:t>RISK / LIMITATION</w:t>
            </w:r>
          </w:p>
        </w:tc>
        <w:tc>
          <w:tcPr>
            <w:tcW w:type="dxa" w:w="5083"/>
            <w:shd w:fill="102A43"/>
            <w:vAlign w:val="center"/>
          </w:tcPr>
          <w:p>
            <w:r/>
            <w:r>
              <w:rPr>
                <w:rFonts w:ascii="Aptos" w:hAnsi="Aptos"/>
                <w:b/>
                <w:color w:val="FFFFFF"/>
                <w:sz w:val="17"/>
              </w:rPr>
              <w:t>REQUIRED RESPONSE</w:t>
            </w:r>
          </w:p>
        </w:tc>
      </w:tr>
      <w:tr>
        <w:tc>
          <w:tcPr>
            <w:tcW w:type="dxa" w:w="5083"/>
            <w:vAlign w:val="center"/>
          </w:tcPr>
          <w:p>
            <w:r/>
            <w:r>
              <w:rPr>
                <w:rFonts w:ascii="Aptos" w:hAnsi="Aptos"/>
                <w:b w:val="0"/>
                <w:color w:val="263746"/>
                <w:sz w:val="17"/>
              </w:rPr>
              <w:t>Selection bias / research cohort</w:t>
            </w:r>
          </w:p>
        </w:tc>
        <w:tc>
          <w:tcPr>
            <w:tcW w:type="dxa" w:w="5083"/>
            <w:vAlign w:val="center"/>
          </w:tcPr>
          <w:p>
            <w:r/>
            <w:r>
              <w:rPr>
                <w:rFonts w:ascii="Aptos" w:hAnsi="Aptos"/>
                <w:b w:val="0"/>
                <w:color w:val="263746"/>
                <w:sz w:val="17"/>
              </w:rPr>
              <w:t>Describe cohort composition; avoid claims of population-wide clinical validity</w:t>
            </w:r>
          </w:p>
        </w:tc>
      </w:tr>
      <w:tr>
        <w:tc>
          <w:tcPr>
            <w:tcW w:type="dxa" w:w="5083"/>
            <w:shd w:fill="F5F8FA"/>
            <w:vAlign w:val="center"/>
          </w:tcPr>
          <w:p>
            <w:r/>
            <w:r>
              <w:rPr>
                <w:rFonts w:ascii="Aptos" w:hAnsi="Aptos"/>
                <w:b w:val="0"/>
                <w:color w:val="263746"/>
                <w:sz w:val="17"/>
              </w:rPr>
              <w:t>Missing modalities</w:t>
            </w:r>
          </w:p>
        </w:tc>
        <w:tc>
          <w:tcPr>
            <w:tcW w:type="dxa" w:w="5083"/>
            <w:shd w:fill="F5F8FA"/>
            <w:vAlign w:val="center"/>
          </w:tcPr>
          <w:p>
            <w:r/>
            <w:r>
              <w:rPr>
                <w:rFonts w:ascii="Aptos" w:hAnsi="Aptos"/>
                <w:b w:val="0"/>
                <w:color w:val="263746"/>
                <w:sz w:val="17"/>
              </w:rPr>
              <w:t>Report availability and evaluate robustness explicitly</w:t>
            </w:r>
          </w:p>
        </w:tc>
      </w:tr>
      <w:tr>
        <w:tc>
          <w:tcPr>
            <w:tcW w:type="dxa" w:w="5083"/>
            <w:vAlign w:val="center"/>
          </w:tcPr>
          <w:p>
            <w:r/>
            <w:r>
              <w:rPr>
                <w:rFonts w:ascii="Aptos" w:hAnsi="Aptos"/>
                <w:b w:val="0"/>
                <w:color w:val="263746"/>
                <w:sz w:val="17"/>
              </w:rPr>
              <w:t>Site/scanner heterogeneity</w:t>
            </w:r>
          </w:p>
        </w:tc>
        <w:tc>
          <w:tcPr>
            <w:tcW w:type="dxa" w:w="5083"/>
            <w:vAlign w:val="center"/>
          </w:tcPr>
          <w:p>
            <w:r/>
            <w:r>
              <w:rPr>
                <w:rFonts w:ascii="Aptos" w:hAnsi="Aptos"/>
                <w:b w:val="0"/>
                <w:color w:val="263746"/>
                <w:sz w:val="17"/>
              </w:rPr>
              <w:t>Include QC and, where appropriate, site/scanner covariates or harmonization</w:t>
            </w:r>
          </w:p>
        </w:tc>
      </w:tr>
      <w:tr>
        <w:tc>
          <w:tcPr>
            <w:tcW w:type="dxa" w:w="5083"/>
            <w:shd w:fill="F5F8FA"/>
            <w:vAlign w:val="center"/>
          </w:tcPr>
          <w:p>
            <w:r/>
            <w:r>
              <w:rPr>
                <w:rFonts w:ascii="Aptos" w:hAnsi="Aptos"/>
                <w:b w:val="0"/>
                <w:color w:val="263746"/>
                <w:sz w:val="17"/>
              </w:rPr>
              <w:t>Temporal leakage</w:t>
            </w:r>
          </w:p>
        </w:tc>
        <w:tc>
          <w:tcPr>
            <w:tcW w:type="dxa" w:w="5083"/>
            <w:shd w:fill="F5F8FA"/>
            <w:vAlign w:val="center"/>
          </w:tcPr>
          <w:p>
            <w:r/>
            <w:r>
              <w:rPr>
                <w:rFonts w:ascii="Aptos" w:hAnsi="Aptos"/>
                <w:b w:val="0"/>
                <w:color w:val="263746"/>
                <w:sz w:val="17"/>
              </w:rPr>
              <w:t>Enforce timestamp cut-offs and patient-level splits</w:t>
            </w:r>
          </w:p>
        </w:tc>
      </w:tr>
      <w:tr>
        <w:tc>
          <w:tcPr>
            <w:tcW w:type="dxa" w:w="5083"/>
            <w:vAlign w:val="center"/>
          </w:tcPr>
          <w:p>
            <w:r/>
            <w:r>
              <w:rPr>
                <w:rFonts w:ascii="Aptos" w:hAnsi="Aptos"/>
                <w:b w:val="0"/>
                <w:color w:val="263746"/>
                <w:sz w:val="17"/>
              </w:rPr>
              <w:t>Class imbalance</w:t>
            </w:r>
          </w:p>
        </w:tc>
        <w:tc>
          <w:tcPr>
            <w:tcW w:type="dxa" w:w="5083"/>
            <w:vAlign w:val="center"/>
          </w:tcPr>
          <w:p>
            <w:r/>
            <w:r>
              <w:rPr>
                <w:rFonts w:ascii="Aptos" w:hAnsi="Aptos"/>
                <w:b w:val="0"/>
                <w:color w:val="263746"/>
                <w:sz w:val="17"/>
              </w:rPr>
              <w:t>Use appropriate metrics, weighting/resampling only inside training</w:t>
            </w:r>
          </w:p>
        </w:tc>
      </w:tr>
      <w:tr>
        <w:tc>
          <w:tcPr>
            <w:tcW w:type="dxa" w:w="5083"/>
            <w:shd w:fill="F5F8FA"/>
            <w:vAlign w:val="center"/>
          </w:tcPr>
          <w:p>
            <w:r/>
            <w:r>
              <w:rPr>
                <w:rFonts w:ascii="Aptos" w:hAnsi="Aptos"/>
                <w:b w:val="0"/>
                <w:color w:val="263746"/>
                <w:sz w:val="17"/>
              </w:rPr>
              <w:t>Overfitting</w:t>
            </w:r>
          </w:p>
        </w:tc>
        <w:tc>
          <w:tcPr>
            <w:tcW w:type="dxa" w:w="5083"/>
            <w:shd w:fill="F5F8FA"/>
            <w:vAlign w:val="center"/>
          </w:tcPr>
          <w:p>
            <w:r/>
            <w:r>
              <w:rPr>
                <w:rFonts w:ascii="Aptos" w:hAnsi="Aptos"/>
                <w:b w:val="0"/>
                <w:color w:val="263746"/>
                <w:sz w:val="17"/>
              </w:rPr>
              <w:t>Nested tuning, held-out evaluation, confidence intervals</w:t>
            </w:r>
          </w:p>
        </w:tc>
      </w:tr>
      <w:tr>
        <w:tc>
          <w:tcPr>
            <w:tcW w:type="dxa" w:w="5083"/>
            <w:vAlign w:val="center"/>
          </w:tcPr>
          <w:p>
            <w:r/>
            <w:r>
              <w:rPr>
                <w:rFonts w:ascii="Aptos" w:hAnsi="Aptos"/>
                <w:b w:val="0"/>
                <w:color w:val="263746"/>
                <w:sz w:val="17"/>
              </w:rPr>
              <w:t>Interpretability misuse</w:t>
            </w:r>
          </w:p>
        </w:tc>
        <w:tc>
          <w:tcPr>
            <w:tcW w:type="dxa" w:w="5083"/>
            <w:vAlign w:val="center"/>
          </w:tcPr>
          <w:p>
            <w:r/>
            <w:r>
              <w:rPr>
                <w:rFonts w:ascii="Aptos" w:hAnsi="Aptos"/>
                <w:b w:val="0"/>
                <w:color w:val="263746"/>
                <w:sz w:val="17"/>
              </w:rPr>
              <w:t>Describe associations with model output, not causation</w:t>
            </w:r>
          </w:p>
        </w:tc>
      </w:tr>
      <w:tr>
        <w:tc>
          <w:tcPr>
            <w:tcW w:type="dxa" w:w="5083"/>
            <w:shd w:fill="F5F8FA"/>
            <w:vAlign w:val="center"/>
          </w:tcPr>
          <w:p>
            <w:r/>
            <w:r>
              <w:rPr>
                <w:rFonts w:ascii="Aptos" w:hAnsi="Aptos"/>
                <w:b w:val="0"/>
                <w:color w:val="263746"/>
                <w:sz w:val="17"/>
              </w:rPr>
              <w:t>Clinical overclaim</w:t>
            </w:r>
          </w:p>
        </w:tc>
        <w:tc>
          <w:tcPr>
            <w:tcW w:type="dxa" w:w="5083"/>
            <w:shd w:fill="F5F8FA"/>
            <w:vAlign w:val="center"/>
          </w:tcPr>
          <w:p>
            <w:r/>
            <w:r>
              <w:rPr>
                <w:rFonts w:ascii="Aptos" w:hAnsi="Aptos"/>
                <w:b w:val="0"/>
                <w:color w:val="263746"/>
                <w:sz w:val="17"/>
              </w:rPr>
              <w:t>Frame as research decision support, not diagnosis or treatment advice</w:t>
            </w:r>
          </w:p>
        </w:tc>
      </w:tr>
    </w:tbl>
    <w:p>
      <w:r>
        <w:br w:type="page"/>
      </w:r>
    </w:p>
    <w:p>
      <w:pPr>
        <w:pStyle w:val="Heading1"/>
      </w:pPr>
      <w:r>
        <w:t>20  Deliverables and expected thesis contribution</w:t>
      </w:r>
    </w:p>
    <w:tbl>
      <w:tblPr>
        <w:tblStyle w:val="TableGrid"/>
        <w:tblW w:type="auto" w:w="0"/>
        <w:jc w:val="center"/>
        <w:tblLook w:firstColumn="1" w:firstRow="1" w:lastColumn="0" w:lastRow="0" w:noHBand="0" w:noVBand="1" w:val="04A0"/>
      </w:tblPr>
      <w:tblGrid>
        <w:gridCol w:w="5083"/>
        <w:gridCol w:w="5083"/>
      </w:tblGrid>
      <w:tr>
        <w:tc>
          <w:tcPr>
            <w:tcW w:type="dxa" w:w="5083"/>
            <w:shd w:fill="102A43"/>
            <w:vAlign w:val="center"/>
          </w:tcPr>
          <w:p>
            <w:r/>
            <w:r>
              <w:rPr>
                <w:rFonts w:ascii="Aptos" w:hAnsi="Aptos"/>
                <w:b/>
                <w:color w:val="FFFFFF"/>
                <w:sz w:val="17"/>
              </w:rPr>
              <w:t>DELIVERABLE</w:t>
            </w:r>
          </w:p>
        </w:tc>
        <w:tc>
          <w:tcPr>
            <w:tcW w:type="dxa" w:w="5083"/>
            <w:shd w:fill="102A43"/>
            <w:vAlign w:val="center"/>
          </w:tcPr>
          <w:p>
            <w:r/>
            <w:r>
              <w:rPr>
                <w:rFonts w:ascii="Aptos" w:hAnsi="Aptos"/>
                <w:b/>
                <w:color w:val="FFFFFF"/>
                <w:sz w:val="17"/>
              </w:rPr>
              <w:t>CONTENT</w:t>
            </w:r>
          </w:p>
        </w:tc>
      </w:tr>
      <w:tr>
        <w:tc>
          <w:tcPr>
            <w:tcW w:type="dxa" w:w="5083"/>
            <w:vAlign w:val="center"/>
          </w:tcPr>
          <w:p>
            <w:r/>
            <w:r>
              <w:rPr>
                <w:rFonts w:ascii="Aptos" w:hAnsi="Aptos"/>
                <w:b w:val="0"/>
                <w:color w:val="263746"/>
                <w:sz w:val="17"/>
              </w:rPr>
              <w:t>D1 — Data &amp; cohort specification</w:t>
            </w:r>
          </w:p>
        </w:tc>
        <w:tc>
          <w:tcPr>
            <w:tcW w:type="dxa" w:w="5083"/>
            <w:vAlign w:val="center"/>
          </w:tcPr>
          <w:p>
            <w:r/>
            <w:r>
              <w:rPr>
                <w:rFonts w:ascii="Aptos" w:hAnsi="Aptos"/>
                <w:b w:val="0"/>
                <w:color w:val="263746"/>
                <w:sz w:val="17"/>
              </w:rPr>
              <w:t>ADNI variables, inclusion/exclusion, labels, horizons, provenance</w:t>
            </w:r>
          </w:p>
        </w:tc>
      </w:tr>
      <w:tr>
        <w:tc>
          <w:tcPr>
            <w:tcW w:type="dxa" w:w="5083"/>
            <w:shd w:fill="F5F8FA"/>
            <w:vAlign w:val="center"/>
          </w:tcPr>
          <w:p>
            <w:r/>
            <w:r>
              <w:rPr>
                <w:rFonts w:ascii="Aptos" w:hAnsi="Aptos"/>
                <w:b w:val="0"/>
                <w:color w:val="263746"/>
                <w:sz w:val="17"/>
              </w:rPr>
              <w:t>D2 — Reproducible Python pipeline</w:t>
            </w:r>
          </w:p>
        </w:tc>
        <w:tc>
          <w:tcPr>
            <w:tcW w:type="dxa" w:w="5083"/>
            <w:shd w:fill="F5F8FA"/>
            <w:vAlign w:val="center"/>
          </w:tcPr>
          <w:p>
            <w:r/>
            <w:r>
              <w:rPr>
                <w:rFonts w:ascii="Aptos" w:hAnsi="Aptos"/>
                <w:b w:val="0"/>
                <w:color w:val="263746"/>
                <w:sz w:val="17"/>
              </w:rPr>
              <w:t>Import, harmonization, QC, feature engineering, splits</w:t>
            </w:r>
          </w:p>
        </w:tc>
      </w:tr>
      <w:tr>
        <w:tc>
          <w:tcPr>
            <w:tcW w:type="dxa" w:w="5083"/>
            <w:vAlign w:val="center"/>
          </w:tcPr>
          <w:p>
            <w:r/>
            <w:r>
              <w:rPr>
                <w:rFonts w:ascii="Aptos" w:hAnsi="Aptos"/>
                <w:b w:val="0"/>
                <w:color w:val="263746"/>
                <w:sz w:val="17"/>
              </w:rPr>
              <w:t>D3 — Baseline benchmark</w:t>
            </w:r>
          </w:p>
        </w:tc>
        <w:tc>
          <w:tcPr>
            <w:tcW w:type="dxa" w:w="5083"/>
            <w:vAlign w:val="center"/>
          </w:tcPr>
          <w:p>
            <w:r/>
            <w:r>
              <w:rPr>
                <w:rFonts w:ascii="Aptos" w:hAnsi="Aptos"/>
                <w:b w:val="0"/>
                <w:color w:val="263746"/>
                <w:sz w:val="17"/>
              </w:rPr>
              <w:t>Classical ML and single-modality results</w:t>
            </w:r>
          </w:p>
        </w:tc>
      </w:tr>
      <w:tr>
        <w:tc>
          <w:tcPr>
            <w:tcW w:type="dxa" w:w="5083"/>
            <w:shd w:fill="F5F8FA"/>
            <w:vAlign w:val="center"/>
          </w:tcPr>
          <w:p>
            <w:r/>
            <w:r>
              <w:rPr>
                <w:rFonts w:ascii="Aptos" w:hAnsi="Aptos"/>
                <w:b w:val="0"/>
                <w:color w:val="263746"/>
                <w:sz w:val="17"/>
              </w:rPr>
              <w:t>D4 — Multimodal models</w:t>
            </w:r>
          </w:p>
        </w:tc>
        <w:tc>
          <w:tcPr>
            <w:tcW w:type="dxa" w:w="5083"/>
            <w:shd w:fill="F5F8FA"/>
            <w:vAlign w:val="center"/>
          </w:tcPr>
          <w:p>
            <w:r/>
            <w:r>
              <w:rPr>
                <w:rFonts w:ascii="Aptos" w:hAnsi="Aptos"/>
                <w:b w:val="0"/>
                <w:color w:val="263746"/>
                <w:sz w:val="17"/>
              </w:rPr>
              <w:t>Early, late and hybrid fusion implementations</w:t>
            </w:r>
          </w:p>
        </w:tc>
      </w:tr>
      <w:tr>
        <w:tc>
          <w:tcPr>
            <w:tcW w:type="dxa" w:w="5083"/>
            <w:vAlign w:val="center"/>
          </w:tcPr>
          <w:p>
            <w:r/>
            <w:r>
              <w:rPr>
                <w:rFonts w:ascii="Aptos" w:hAnsi="Aptos"/>
                <w:b w:val="0"/>
                <w:color w:val="263746"/>
                <w:sz w:val="17"/>
              </w:rPr>
              <w:t>D5 — Longitudinal predictor</w:t>
            </w:r>
          </w:p>
        </w:tc>
        <w:tc>
          <w:tcPr>
            <w:tcW w:type="dxa" w:w="5083"/>
            <w:vAlign w:val="center"/>
          </w:tcPr>
          <w:p>
            <w:r/>
            <w:r>
              <w:rPr>
                <w:rFonts w:ascii="Aptos" w:hAnsi="Aptos"/>
                <w:b w:val="0"/>
                <w:color w:val="263746"/>
                <w:sz w:val="17"/>
              </w:rPr>
              <w:t>MCI→AD progression models at selected horizons</w:t>
            </w:r>
          </w:p>
        </w:tc>
      </w:tr>
      <w:tr>
        <w:tc>
          <w:tcPr>
            <w:tcW w:type="dxa" w:w="5083"/>
            <w:shd w:fill="F5F8FA"/>
            <w:vAlign w:val="center"/>
          </w:tcPr>
          <w:p>
            <w:r/>
            <w:r>
              <w:rPr>
                <w:rFonts w:ascii="Aptos" w:hAnsi="Aptos"/>
                <w:b w:val="0"/>
                <w:color w:val="263746"/>
                <w:sz w:val="17"/>
              </w:rPr>
              <w:t>D6 — Trustworthiness suite</w:t>
            </w:r>
          </w:p>
        </w:tc>
        <w:tc>
          <w:tcPr>
            <w:tcW w:type="dxa" w:w="5083"/>
            <w:shd w:fill="F5F8FA"/>
            <w:vAlign w:val="center"/>
          </w:tcPr>
          <w:p>
            <w:r/>
            <w:r>
              <w:rPr>
                <w:rFonts w:ascii="Aptos" w:hAnsi="Aptos"/>
                <w:b w:val="0"/>
                <w:color w:val="263746"/>
                <w:sz w:val="17"/>
              </w:rPr>
              <w:t>Calibration, uncertainty, XAI, subgroup and robustness analyses</w:t>
            </w:r>
          </w:p>
        </w:tc>
      </w:tr>
      <w:tr>
        <w:tc>
          <w:tcPr>
            <w:tcW w:type="dxa" w:w="5083"/>
            <w:vAlign w:val="center"/>
          </w:tcPr>
          <w:p>
            <w:r/>
            <w:r>
              <w:rPr>
                <w:rFonts w:ascii="Aptos" w:hAnsi="Aptos"/>
                <w:b w:val="0"/>
                <w:color w:val="263746"/>
                <w:sz w:val="17"/>
              </w:rPr>
              <w:t>D7 — Research dashboard</w:t>
            </w:r>
          </w:p>
        </w:tc>
        <w:tc>
          <w:tcPr>
            <w:tcW w:type="dxa" w:w="5083"/>
            <w:vAlign w:val="center"/>
          </w:tcPr>
          <w:p>
            <w:r/>
            <w:r>
              <w:rPr>
                <w:rFonts w:ascii="Aptos" w:hAnsi="Aptos"/>
                <w:b w:val="0"/>
                <w:color w:val="263746"/>
                <w:sz w:val="17"/>
              </w:rPr>
              <w:t>Interactive experiment and participant-level visualization</w:t>
            </w:r>
          </w:p>
        </w:tc>
      </w:tr>
      <w:tr>
        <w:tc>
          <w:tcPr>
            <w:tcW w:type="dxa" w:w="5083"/>
            <w:shd w:fill="F5F8FA"/>
            <w:vAlign w:val="center"/>
          </w:tcPr>
          <w:p>
            <w:r/>
            <w:r>
              <w:rPr>
                <w:rFonts w:ascii="Aptos" w:hAnsi="Aptos"/>
                <w:b w:val="0"/>
                <w:color w:val="263746"/>
                <w:sz w:val="17"/>
              </w:rPr>
              <w:t>D8 — Master's thesis</w:t>
            </w:r>
          </w:p>
        </w:tc>
        <w:tc>
          <w:tcPr>
            <w:tcW w:type="dxa" w:w="5083"/>
            <w:shd w:fill="F5F8FA"/>
            <w:vAlign w:val="center"/>
          </w:tcPr>
          <w:p>
            <w:r/>
            <w:r>
              <w:rPr>
                <w:rFonts w:ascii="Aptos" w:hAnsi="Aptos"/>
                <w:b w:val="0"/>
                <w:color w:val="263746"/>
                <w:sz w:val="17"/>
              </w:rPr>
              <w:t>Methods, experiments, results, limitations and reproducibility package</w:t>
            </w:r>
          </w:p>
        </w:tc>
      </w:tr>
    </w:tbl>
    <w:p>
      <w:pPr>
        <w:pStyle w:val="Heading2"/>
      </w:pPr>
      <w:r>
        <w:t>Master's-level contribution</w:t>
      </w:r>
    </w:p>
    <w:p>
      <w:pPr>
        <w:spacing w:after="100" w:line="254" w:lineRule="auto"/>
      </w:pPr>
      <w:r>
        <w:t>The project is not defined by a single classifier. Its contribution is an integrated, reproducible study of heterogeneous patient representation, multimodal fusion, temporal prediction, missing-modality robustness and trustworthy AI using a major Alzheimer's research resource. A successful implementation should produce both a substantial software system and a defensible experimental study suitable for extension into a research publication.</w:t>
      </w:r>
    </w:p>
    <w:p>
      <w:pPr>
        <w:pStyle w:val="Heading2"/>
      </w:pPr>
      <w:r>
        <w:t>Success criteria</w:t>
      </w:r>
    </w:p>
    <w:p>
      <w:pPr>
        <w:pStyle w:val="ListBullet"/>
        <w:spacing w:after="40"/>
      </w:pPr>
      <w:r>
        <w:t>A leakage-safe, documented ADNI cohort can be reconstructed from code and configuration.</w:t>
      </w:r>
    </w:p>
    <w:p>
      <w:pPr>
        <w:pStyle w:val="ListBullet"/>
        <w:spacing w:after="40"/>
      </w:pPr>
      <w:r>
        <w:t>At least four conventional baselines and two multimodal fusion strategies are evaluated.</w:t>
      </w:r>
    </w:p>
    <w:p>
      <w:pPr>
        <w:pStyle w:val="ListBullet"/>
        <w:spacing w:after="40"/>
      </w:pPr>
      <w:r>
        <w:t>MCI→AD prediction is evaluated at one or more defensible horizons.</w:t>
      </w:r>
    </w:p>
    <w:p>
      <w:pPr>
        <w:pStyle w:val="ListBullet"/>
        <w:spacing w:after="40"/>
      </w:pPr>
      <w:r>
        <w:t>Calibration and uncertainty are assessed, not merely classification accuracy.</w:t>
      </w:r>
    </w:p>
    <w:p>
      <w:pPr>
        <w:pStyle w:val="ListBullet"/>
        <w:spacing w:after="40"/>
      </w:pPr>
      <w:r>
        <w:t>Missing-modality and modality-ablation experiments are completed.</w:t>
      </w:r>
    </w:p>
    <w:p>
      <w:pPr>
        <w:pStyle w:val="ListBullet"/>
        <w:spacing w:after="40"/>
      </w:pPr>
      <w:r>
        <w:t>Participant-level explanations and model provenance are available in the dashboard.</w:t>
      </w:r>
    </w:p>
    <w:p>
      <w:r>
        <w:br w:type="page"/>
      </w:r>
    </w:p>
    <w:p>
      <w:pPr>
        <w:pStyle w:val="Heading1"/>
      </w:pPr>
      <w:r>
        <w:t>Selected methodological and data references</w:t>
      </w:r>
    </w:p>
    <w:p>
      <w:pPr>
        <w:pStyle w:val="ListNumber"/>
        <w:spacing w:after="80"/>
      </w:pPr>
      <w:r>
        <w:t>Alzheimer's Disease Neuroimaging Initiative (ADNI). ADNI Data and Data Access documentation. https://adni.loni.usc.edu/data-samples/adni-data/</w:t>
      </w:r>
    </w:p>
    <w:p>
      <w:pPr>
        <w:pStyle w:val="ListNumber"/>
        <w:spacing w:after="80"/>
      </w:pPr>
      <w:r>
        <w:t>ADNI. Data Collection documentation: clinical assessments, biofluids, genetics/omics and neuroimaging. https://adni.loni.usc.edu/quick-start-guide-asset/datacollection.html</w:t>
      </w:r>
    </w:p>
    <w:p>
      <w:pPr>
        <w:pStyle w:val="ListNumber"/>
        <w:spacing w:after="80"/>
      </w:pPr>
      <w:r>
        <w:t>ADNI. Clinical Assessments documentation. https://adni.loni.usc.edu/data-samples/adni-data/clinical-assessments/</w:t>
      </w:r>
    </w:p>
    <w:p>
      <w:pPr>
        <w:pStyle w:val="ListNumber"/>
        <w:spacing w:after="80"/>
      </w:pPr>
      <w:r>
        <w:t>ADNI. About the Study / study phases and objectives. https://adni.loni.usc.edu/about/</w:t>
      </w:r>
    </w:p>
    <w:p>
      <w:pPr>
        <w:pStyle w:val="ListNumber"/>
        <w:spacing w:after="80"/>
      </w:pPr>
      <w:r>
        <w:t>Lundberg, S. M., &amp; Lee, S.-I. (2017). A Unified Approach to Interpreting Model Predictions. Advances in Neural Information Processing Systems.</w:t>
      </w:r>
    </w:p>
    <w:p>
      <w:pPr>
        <w:pStyle w:val="ListNumber"/>
        <w:spacing w:after="80"/>
      </w:pPr>
      <w:r>
        <w:t>Niculescu-Mizil, A., &amp; Caruana, R. (2005). Predicting Good Probabilities With Supervised Learning. ICML.</w:t>
      </w:r>
    </w:p>
    <w:p>
      <w:pPr>
        <w:pStyle w:val="ListNumber"/>
        <w:spacing w:after="80"/>
      </w:pPr>
      <w:r>
        <w:t>Van Calster, B. et al. (2019). Calibration: the Achilles heel of predictive analytics. BMC Medicine, 17, 230.</w:t>
      </w:r>
    </w:p>
    <w:p>
      <w:pPr>
        <w:spacing w:after="100" w:line="254" w:lineRule="auto"/>
      </w:pPr>
      <w:r>
        <w:t>Note: exact ADNI files, variables, cohort counts and biomarker definitions must be documented from the approved data release used by the student. The project brief intentionally avoids hard-coding counts that may change as ADNI evolves.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987"/>
        <w:sz w:val="15"/>
      </w:rPr>
      <w:t>ADNI • Multimodal ML • Longitudinal Prediction • Explainable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87987"/>
        <w:sz w:val="15"/>
      </w:rPr>
      <w:t>MASTER'S PROJECT BRIEF  /  NEUROFUSION-AI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8A99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02A4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b/>
      <w:caps/>
      <w:color w:val="18A99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NeuroFusion-AI — Master's Project</dc:title>
  <dc:subject>Explainable multimodal machine learning for Alzheimer's disease classification and progression prediction using ADNI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