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64C2C" w14:textId="29170929" w:rsidR="00DA34E7" w:rsidRDefault="00A508D9" w:rsidP="00A508D9">
      <w:pPr>
        <w:spacing w:after="240"/>
        <w:jc w:val="center"/>
      </w:pPr>
      <w:r>
        <w:rPr>
          <w:b/>
          <w:bCs/>
          <w:sz w:val="28"/>
          <w:szCs w:val="28"/>
        </w:rPr>
        <w:t xml:space="preserve">Sample </w:t>
      </w:r>
      <w:r w:rsidR="00C53BE2">
        <w:rPr>
          <w:b/>
          <w:bCs/>
          <w:sz w:val="28"/>
          <w:szCs w:val="28"/>
        </w:rPr>
        <w:t>Feedback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DA34E7" w14:paraId="46064C2F" w14:textId="77777777">
        <w:tblPrEx>
          <w:tblCellMar>
            <w:top w:w="0" w:type="dxa"/>
            <w:bottom w:w="0" w:type="dxa"/>
          </w:tblCellMar>
        </w:tblPrEx>
        <w:trPr>
          <w:tblHeader/>
        </w:trPr>
        <w:tc>
          <w:tcPr>
            <w:tcW w:w="5040" w:type="dxa"/>
            <w:tcBorders>
              <w:top w:val="single" w:sz="6" w:space="0" w:color="808080"/>
              <w:left w:val="single" w:sz="6" w:space="0" w:color="808080"/>
              <w:bottom w:val="single" w:sz="6" w:space="0" w:color="808080"/>
              <w:right w:val="single" w:sz="6" w:space="0" w:color="808080"/>
            </w:tcBorders>
            <w:shd w:val="clear" w:color="auto" w:fill="E7E6E6"/>
            <w:tcMar>
              <w:top w:w="120" w:type="dxa"/>
              <w:left w:w="140" w:type="dxa"/>
              <w:bottom w:w="120" w:type="dxa"/>
              <w:right w:w="140" w:type="dxa"/>
            </w:tcMar>
          </w:tcPr>
          <w:p w14:paraId="46064C2D" w14:textId="77777777" w:rsidR="00DA34E7" w:rsidRDefault="00C53BE2">
            <w:r>
              <w:rPr>
                <w:b/>
                <w:bCs/>
              </w:rPr>
              <w:t>Draft</w:t>
            </w:r>
          </w:p>
        </w:tc>
        <w:tc>
          <w:tcPr>
            <w:tcW w:w="5040" w:type="dxa"/>
            <w:tcBorders>
              <w:top w:val="single" w:sz="6" w:space="0" w:color="808080"/>
              <w:left w:val="single" w:sz="6" w:space="0" w:color="808080"/>
              <w:bottom w:val="single" w:sz="6" w:space="0" w:color="808080"/>
              <w:right w:val="single" w:sz="6" w:space="0" w:color="808080"/>
            </w:tcBorders>
            <w:shd w:val="clear" w:color="auto" w:fill="E7E6E6"/>
            <w:tcMar>
              <w:top w:w="120" w:type="dxa"/>
              <w:left w:w="140" w:type="dxa"/>
              <w:bottom w:w="120" w:type="dxa"/>
              <w:right w:w="140" w:type="dxa"/>
            </w:tcMar>
          </w:tcPr>
          <w:p w14:paraId="46064C2E" w14:textId="77777777" w:rsidR="00DA34E7" w:rsidRDefault="00C53BE2">
            <w:r>
              <w:rPr>
                <w:b/>
                <w:bCs/>
              </w:rPr>
              <w:t>Your feedback</w:t>
            </w:r>
          </w:p>
        </w:tc>
      </w:tr>
      <w:tr w:rsidR="00DA34E7" w14:paraId="46064C33" w14:textId="77777777">
        <w:tblPrEx>
          <w:tblCellMar>
            <w:top w:w="0" w:type="dxa"/>
            <w:bottom w:w="0" w:type="dxa"/>
          </w:tblCellMar>
        </w:tblPrEx>
        <w:trPr>
          <w:cantSplit/>
        </w:trPr>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30" w14:textId="77777777" w:rsidR="00DA34E7" w:rsidRDefault="00C53BE2">
            <w:pPr>
              <w:spacing w:after="120" w:line="276" w:lineRule="auto"/>
            </w:pPr>
            <w:r>
              <w:rPr>
                <w:b/>
                <w:bCs/>
              </w:rPr>
              <w:t>1. Client advice letter (noncompete)</w:t>
            </w:r>
          </w:p>
          <w:p w14:paraId="46064C31" w14:textId="77777777" w:rsidR="00DA34E7" w:rsidRDefault="00C53BE2">
            <w:pPr>
              <w:spacing w:after="120" w:line="276" w:lineRule="auto"/>
            </w:pPr>
            <w:r>
              <w:t>Dear Mr. Alvarez: Pursuant to our telephone conference of March 3, 2026, please be advised that the undersigned has undertaken a thorough review of the relevant statutory and case authority pertaining to the issue of whether the non-competition provision contained in Section 7.2 of your Employment Agreement with Summit Ridge Analytics, LLC (hereinafter “Summit Ridge”) would be deemed enforceable by a Utah court. As you are aware, Utah courts have historically evaluated such provisions with reference to a nu</w:t>
            </w:r>
            <w:r>
              <w:t xml:space="preserve">mber of factors, including but not limited to the reasonableness of the geographic scope, the duration of the restriction, and whether the restriction is necessary to protect a legitimate business interest of the employer. It is our opinion, based upon the foregoing analysis, that there exists a significant likelihood that the provision would be enforced, which would preclude your acceptance of the position you described. We would be happy to </w:t>
            </w:r>
            <w:proofErr w:type="gramStart"/>
            <w:r>
              <w:t>discuss</w:t>
            </w:r>
            <w:proofErr w:type="gramEnd"/>
            <w:r>
              <w:t xml:space="preserve"> further at your convenience.</w:t>
            </w:r>
          </w:p>
        </w:tc>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32" w14:textId="77777777" w:rsidR="00DA34E7" w:rsidRDefault="00DA34E7"/>
        </w:tc>
      </w:tr>
      <w:tr w:rsidR="00DA34E7" w14:paraId="46064C37" w14:textId="77777777">
        <w:tblPrEx>
          <w:tblCellMar>
            <w:top w:w="0" w:type="dxa"/>
            <w:bottom w:w="0" w:type="dxa"/>
          </w:tblCellMar>
        </w:tblPrEx>
        <w:trPr>
          <w:cantSplit/>
        </w:trPr>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34" w14:textId="77777777" w:rsidR="00DA34E7" w:rsidRDefault="00C53BE2">
            <w:pPr>
              <w:spacing w:after="120" w:line="276" w:lineRule="auto"/>
            </w:pPr>
            <w:r>
              <w:rPr>
                <w:b/>
                <w:bCs/>
              </w:rPr>
              <w:t>2. Demand letter paragraph</w:t>
            </w:r>
          </w:p>
          <w:p w14:paraId="46064C35" w14:textId="77777777" w:rsidR="00DA34E7" w:rsidRDefault="00C53BE2">
            <w:pPr>
              <w:spacing w:after="120" w:line="276" w:lineRule="auto"/>
            </w:pPr>
            <w:r>
              <w:t xml:space="preserve">It is abundantly clear that your client’s egregious and frankly outrageous conduct constitutes a blatant breach of the </w:t>
            </w:r>
            <w:proofErr w:type="gramStart"/>
            <w:r>
              <w:t>parties’</w:t>
            </w:r>
            <w:proofErr w:type="gramEnd"/>
            <w:r>
              <w:t xml:space="preserve"> Services Agreement. My client has been extremely patient, but that patience has run out. Your client failed to deliver the software modules by the contractual deadline, failed to respond to repeated emails, and has generally acted in bad faith throughout this entire relationship. My client has suffered substantial damages as a result. If this matter is not resolved immediately, we will have no choice but to pursue every remedy available under the law, including but not limited to litigation, and we</w:t>
            </w:r>
            <w:r>
              <w:t xml:space="preserve"> will seek all fees, costs, and punitive damages to the fullest extent permitted.</w:t>
            </w:r>
          </w:p>
        </w:tc>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36" w14:textId="77777777" w:rsidR="00DA34E7" w:rsidRDefault="00DA34E7"/>
        </w:tc>
      </w:tr>
      <w:tr w:rsidR="00DA34E7" w14:paraId="46064C3B" w14:textId="77777777">
        <w:tblPrEx>
          <w:tblCellMar>
            <w:top w:w="0" w:type="dxa"/>
            <w:bottom w:w="0" w:type="dxa"/>
          </w:tblCellMar>
        </w:tblPrEx>
        <w:trPr>
          <w:cantSplit/>
        </w:trPr>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38" w14:textId="77777777" w:rsidR="00DA34E7" w:rsidRDefault="00C53BE2">
            <w:pPr>
              <w:spacing w:after="120" w:line="276" w:lineRule="auto"/>
            </w:pPr>
            <w:r>
              <w:rPr>
                <w:b/>
                <w:bCs/>
              </w:rPr>
              <w:lastRenderedPageBreak/>
              <w:t>3. Motion to dismiss: introduction</w:t>
            </w:r>
          </w:p>
          <w:p w14:paraId="46064C39" w14:textId="77777777" w:rsidR="00DA34E7" w:rsidRDefault="00C53BE2">
            <w:pPr>
              <w:spacing w:after="120" w:line="276" w:lineRule="auto"/>
            </w:pPr>
            <w:r>
              <w:t xml:space="preserve">Defendant Harbor Logistics, Inc. (“Defendant” or “Harbor”), by and through its undersigned counsel of record, hereby respectfully submits this Memorandum of Points and Authorities in Support of its Motion to Dismiss Plaintiff’s First Amended Complaint pursuant to Rule 12(b)(6) of the Federal Rules of Civil Procedure. As set forth more fully below, Plaintiff’s First Amended Complaint should be dismissed in its entirety for </w:t>
            </w:r>
            <w:proofErr w:type="gramStart"/>
            <w:r>
              <w:t>a number of</w:t>
            </w:r>
            <w:proofErr w:type="gramEnd"/>
            <w:r>
              <w:t xml:space="preserve"> reasons. First, Plaintiff’s claims are barred. Second, Plaintiff has failed to state a claim. Third, the Court should decline to exercise jurisdiction over the remaining state-law claims. For these reasons, and for the reasons set forth below, the Motion should be granted.</w:t>
            </w:r>
          </w:p>
        </w:tc>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3A" w14:textId="77777777" w:rsidR="00DA34E7" w:rsidRDefault="00DA34E7"/>
        </w:tc>
      </w:tr>
      <w:tr w:rsidR="00DA34E7" w14:paraId="46064C3F" w14:textId="77777777">
        <w:tblPrEx>
          <w:tblCellMar>
            <w:top w:w="0" w:type="dxa"/>
            <w:bottom w:w="0" w:type="dxa"/>
          </w:tblCellMar>
        </w:tblPrEx>
        <w:trPr>
          <w:cantSplit/>
        </w:trPr>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3C" w14:textId="77777777" w:rsidR="00DA34E7" w:rsidRDefault="00C53BE2">
            <w:pPr>
              <w:spacing w:after="120" w:line="276" w:lineRule="auto"/>
            </w:pPr>
            <w:r>
              <w:rPr>
                <w:b/>
                <w:bCs/>
              </w:rPr>
              <w:t>4. Complaint or brief: statement of facts</w:t>
            </w:r>
          </w:p>
          <w:p w14:paraId="46064C3D" w14:textId="77777777" w:rsidR="00DA34E7" w:rsidRDefault="00C53BE2">
            <w:pPr>
              <w:spacing w:after="120" w:line="276" w:lineRule="auto"/>
            </w:pPr>
            <w:r>
              <w:t>On or about June 2025, a decision was made to terminate Ms. Okafor’s employment. Prior to that, she had been employed by Westfield Medical Group for eleven years and had consistently received excellent reviews, which shows that the termination was obviously pretextual. Concerns about her performance were allegedly raised in May 2025, but these were never documented. In March 2025, Ms. Okafor complained to HR about her supervisor’s comments regarding her age. She was 61 at the time. The supervisor, who had o</w:t>
            </w:r>
            <w:r>
              <w:t>nly been at the company for two years, was then involved in the termination decision.</w:t>
            </w:r>
          </w:p>
        </w:tc>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3E" w14:textId="77777777" w:rsidR="00DA34E7" w:rsidRDefault="00DA34E7"/>
        </w:tc>
      </w:tr>
      <w:tr w:rsidR="00DA34E7" w14:paraId="46064C44" w14:textId="77777777">
        <w:tblPrEx>
          <w:tblCellMar>
            <w:top w:w="0" w:type="dxa"/>
            <w:bottom w:w="0" w:type="dxa"/>
          </w:tblCellMar>
        </w:tblPrEx>
        <w:trPr>
          <w:cantSplit/>
        </w:trPr>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40" w14:textId="77777777" w:rsidR="00DA34E7" w:rsidRDefault="00C53BE2">
            <w:pPr>
              <w:spacing w:after="120" w:line="276" w:lineRule="auto"/>
            </w:pPr>
            <w:r>
              <w:rPr>
                <w:b/>
                <w:bCs/>
              </w:rPr>
              <w:lastRenderedPageBreak/>
              <w:t>5. Email to supervising attorney</w:t>
            </w:r>
          </w:p>
          <w:p w14:paraId="46064C41" w14:textId="77777777" w:rsidR="00DA34E7" w:rsidRDefault="00C53BE2">
            <w:pPr>
              <w:spacing w:after="120" w:line="276" w:lineRule="auto"/>
            </w:pPr>
            <w:r>
              <w:rPr>
                <w:b/>
                <w:bCs/>
              </w:rPr>
              <w:t xml:space="preserve">Subject: </w:t>
            </w:r>
            <w:r>
              <w:t>Research</w:t>
            </w:r>
          </w:p>
          <w:p w14:paraId="46064C42" w14:textId="77777777" w:rsidR="00DA34E7" w:rsidRDefault="00C53BE2">
            <w:pPr>
              <w:spacing w:after="120" w:line="276" w:lineRule="auto"/>
            </w:pPr>
            <w:r>
              <w:t xml:space="preserve">Hi Jordan, I spent most of yesterday and this morning looking into the question you asked about whether the client can recover attorney fees. I started by looking at the contract, then I looked at the Utah statutes, and then I did some case law research on Westlaw. There were a lot of cases, and some of them went one way and some went the other way, so it’s a little complicated. The contract does have a fee provision in Section </w:t>
            </w:r>
            <w:proofErr w:type="gramStart"/>
            <w:r>
              <w:t>14</w:t>
            </w:r>
            <w:proofErr w:type="gramEnd"/>
            <w:r>
              <w:t xml:space="preserve"> but it only applies to the “prevailing party,” and there’s a question about what that means when both sides win on some claims. Let me know if you want me to keep looking or if you want to talk about it. Thanks!</w:t>
            </w:r>
          </w:p>
        </w:tc>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43" w14:textId="77777777" w:rsidR="00DA34E7" w:rsidRDefault="00DA34E7"/>
        </w:tc>
      </w:tr>
      <w:tr w:rsidR="00DA34E7" w14:paraId="46064C48" w14:textId="77777777">
        <w:tblPrEx>
          <w:tblCellMar>
            <w:top w:w="0" w:type="dxa"/>
            <w:bottom w:w="0" w:type="dxa"/>
          </w:tblCellMar>
        </w:tblPrEx>
        <w:trPr>
          <w:cantSplit/>
        </w:trPr>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45" w14:textId="77777777" w:rsidR="00DA34E7" w:rsidRDefault="00C53BE2">
            <w:pPr>
              <w:spacing w:after="120" w:line="276" w:lineRule="auto"/>
            </w:pPr>
            <w:r>
              <w:rPr>
                <w:b/>
                <w:bCs/>
              </w:rPr>
              <w:t>6. Fee agreement clause</w:t>
            </w:r>
          </w:p>
          <w:p w14:paraId="46064C46" w14:textId="77777777" w:rsidR="00DA34E7" w:rsidRDefault="00C53BE2">
            <w:pPr>
              <w:spacing w:after="120" w:line="276" w:lineRule="auto"/>
            </w:pPr>
            <w:r>
              <w:t xml:space="preserve">Fees shall be billed monthly and shall be payable within thirty (30) days. Attorney shall be entitled to a retainer which shall be applied to fees and costs. </w:t>
            </w:r>
            <w:proofErr w:type="gramStart"/>
            <w:r>
              <w:t>In the event that</w:t>
            </w:r>
            <w:proofErr w:type="gramEnd"/>
            <w:r>
              <w:t xml:space="preserve"> the retainer is depleted, Client shall replenish same. Any fees not paid shall accrue interest. Attorney reserves the right to withdraw in the event of non-payment, subject to the applicable rules.</w:t>
            </w:r>
          </w:p>
        </w:tc>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47" w14:textId="77777777" w:rsidR="00DA34E7" w:rsidRDefault="00DA34E7"/>
        </w:tc>
      </w:tr>
      <w:tr w:rsidR="00DA34E7" w14:paraId="46064C4C" w14:textId="77777777">
        <w:tblPrEx>
          <w:tblCellMar>
            <w:top w:w="0" w:type="dxa"/>
            <w:bottom w:w="0" w:type="dxa"/>
          </w:tblCellMar>
        </w:tblPrEx>
        <w:trPr>
          <w:cantSplit/>
        </w:trPr>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49" w14:textId="77777777" w:rsidR="00DA34E7" w:rsidRDefault="00C53BE2">
            <w:pPr>
              <w:spacing w:after="120" w:line="276" w:lineRule="auto"/>
            </w:pPr>
            <w:r>
              <w:rPr>
                <w:b/>
                <w:bCs/>
              </w:rPr>
              <w:t>7. Client letter opening</w:t>
            </w:r>
          </w:p>
          <w:p w14:paraId="46064C4A" w14:textId="77777777" w:rsidR="00DA34E7" w:rsidRDefault="00C53BE2">
            <w:pPr>
              <w:spacing w:after="120" w:line="276" w:lineRule="auto"/>
            </w:pPr>
            <w:r>
              <w:t xml:space="preserve">Dear Ms. Tran: Short answer: you can likely end your lease early without paying the remaining rent, but you need to give written notice by April 30 to protect that right. Here is why. Your lease lets you terminate early if the landlord fails to make “material repairs” within 30 days of a written request (Section 9). You sent that request on February 12, and the heat still has not been fixed. Below, I </w:t>
            </w:r>
            <w:proofErr w:type="gramStart"/>
            <w:r>
              <w:t>explain</w:t>
            </w:r>
            <w:proofErr w:type="gramEnd"/>
            <w:r>
              <w:t xml:space="preserve"> the one risk I see, what your notice should say, and what happens next.</w:t>
            </w:r>
          </w:p>
        </w:tc>
        <w:tc>
          <w:tcPr>
            <w:tcW w:w="5040" w:type="dxa"/>
            <w:tcBorders>
              <w:top w:val="single" w:sz="6" w:space="0" w:color="808080"/>
              <w:left w:val="single" w:sz="6" w:space="0" w:color="808080"/>
              <w:bottom w:val="single" w:sz="6" w:space="0" w:color="808080"/>
              <w:right w:val="single" w:sz="6" w:space="0" w:color="808080"/>
            </w:tcBorders>
            <w:tcMar>
              <w:top w:w="120" w:type="dxa"/>
              <w:left w:w="140" w:type="dxa"/>
              <w:bottom w:w="120" w:type="dxa"/>
              <w:right w:w="140" w:type="dxa"/>
            </w:tcMar>
          </w:tcPr>
          <w:p w14:paraId="46064C4B" w14:textId="77777777" w:rsidR="00DA34E7" w:rsidRDefault="00DA34E7"/>
        </w:tc>
      </w:tr>
    </w:tbl>
    <w:p w14:paraId="46064C4D" w14:textId="77777777" w:rsidR="00C53BE2" w:rsidRDefault="00C53BE2"/>
    <w:sectPr w:rsidR="00C53BE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323CB"/>
    <w:multiLevelType w:val="hybridMultilevel"/>
    <w:tmpl w:val="3AD68064"/>
    <w:lvl w:ilvl="0" w:tplc="1626FD96" w:tentative="1">
      <w:start w:val="1"/>
      <w:numFmt w:val="bullet"/>
      <w:lvlText w:val="●"/>
      <w:lvlJc w:val="left"/>
      <w:pPr>
        <w:ind w:left="720" w:hanging="360"/>
      </w:pPr>
    </w:lvl>
    <w:lvl w:ilvl="1" w:tplc="EE0CC2F6" w:tentative="1">
      <w:start w:val="1"/>
      <w:numFmt w:val="bullet"/>
      <w:lvlText w:val="○"/>
      <w:lvlJc w:val="left"/>
      <w:pPr>
        <w:ind w:left="1440" w:hanging="360"/>
      </w:pPr>
    </w:lvl>
    <w:lvl w:ilvl="2" w:tplc="F162FACC" w:tentative="1">
      <w:start w:val="1"/>
      <w:numFmt w:val="bullet"/>
      <w:lvlText w:val="■"/>
      <w:lvlJc w:val="left"/>
      <w:pPr>
        <w:ind w:left="2160" w:hanging="360"/>
      </w:pPr>
    </w:lvl>
    <w:lvl w:ilvl="3" w:tplc="2416ACFC" w:tentative="1">
      <w:start w:val="1"/>
      <w:numFmt w:val="bullet"/>
      <w:lvlText w:val="●"/>
      <w:lvlJc w:val="left"/>
      <w:pPr>
        <w:ind w:left="2880" w:hanging="360"/>
      </w:pPr>
    </w:lvl>
    <w:lvl w:ilvl="4" w:tplc="D43803A4" w:tentative="1">
      <w:start w:val="1"/>
      <w:numFmt w:val="bullet"/>
      <w:lvlText w:val="○"/>
      <w:lvlJc w:val="left"/>
      <w:pPr>
        <w:ind w:left="3600" w:hanging="360"/>
      </w:pPr>
    </w:lvl>
    <w:lvl w:ilvl="5" w:tplc="1D243266" w:tentative="1">
      <w:start w:val="1"/>
      <w:numFmt w:val="bullet"/>
      <w:lvlText w:val="■"/>
      <w:lvlJc w:val="left"/>
      <w:pPr>
        <w:ind w:left="4320" w:hanging="360"/>
      </w:pPr>
    </w:lvl>
    <w:lvl w:ilvl="6" w:tplc="04769932" w:tentative="1">
      <w:start w:val="1"/>
      <w:numFmt w:val="bullet"/>
      <w:lvlText w:val="●"/>
      <w:lvlJc w:val="left"/>
      <w:pPr>
        <w:ind w:left="5040" w:hanging="360"/>
      </w:pPr>
    </w:lvl>
    <w:lvl w:ilvl="7" w:tplc="A6245B90" w:tentative="1">
      <w:start w:val="1"/>
      <w:numFmt w:val="bullet"/>
      <w:lvlText w:val="●"/>
      <w:lvlJc w:val="left"/>
      <w:pPr>
        <w:ind w:left="5760" w:hanging="360"/>
      </w:pPr>
    </w:lvl>
    <w:lvl w:ilvl="8" w:tplc="25EC1F40" w:tentative="1">
      <w:start w:val="1"/>
      <w:numFmt w:val="bullet"/>
      <w:lvlText w:val="●"/>
      <w:lvlJc w:val="left"/>
      <w:pPr>
        <w:ind w:left="6480" w:hanging="360"/>
      </w:pPr>
    </w:lvl>
  </w:abstractNum>
  <w:num w:numId="1" w16cid:durableId="17314640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4E7"/>
    <w:rsid w:val="007D156A"/>
    <w:rsid w:val="00A508D9"/>
    <w:rsid w:val="00C53BE2"/>
    <w:rsid w:val="00DA3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64C2B"/>
  <w15:docId w15:val="{2616009D-F4B9-4071-BD4D-523F40655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718</Words>
  <Characters>4099</Characters>
  <Application>Microsoft Office Word</Application>
  <DocSecurity>0</DocSecurity>
  <Lines>34</Lines>
  <Paragraphs>9</Paragraphs>
  <ScaleCrop>false</ScaleCrop>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 Hafen</cp:lastModifiedBy>
  <cp:revision>3</cp:revision>
  <dcterms:created xsi:type="dcterms:W3CDTF">2026-10-20T15:53:00Z</dcterms:created>
  <dcterms:modified xsi:type="dcterms:W3CDTF">2026-10-20T15:57:00Z</dcterms:modified>
</cp:coreProperties>
</file>