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32446" w14:textId="0119E925" w:rsidR="00C91348" w:rsidRDefault="00294B51" w:rsidP="00294B51">
      <w:pPr>
        <w:jc w:val="center"/>
        <w:rPr>
          <w:sz w:val="36"/>
          <w:szCs w:val="36"/>
          <w:u w:val="single"/>
        </w:rPr>
      </w:pPr>
      <w:r w:rsidRPr="00294B51">
        <w:rPr>
          <w:sz w:val="36"/>
          <w:szCs w:val="36"/>
          <w:u w:val="single"/>
        </w:rPr>
        <w:t>Dunking Biscuits in Tea</w:t>
      </w:r>
    </w:p>
    <w:p w14:paraId="7C19B3F6" w14:textId="3D760135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Abstract</w:t>
      </w:r>
    </w:p>
    <w:p w14:paraId="25F8FFD8" w14:textId="73B8E904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Introduction</w:t>
      </w:r>
    </w:p>
    <w:p w14:paraId="725FE94F" w14:textId="77777777" w:rsidR="00B957C9" w:rsidRDefault="001C7FF5" w:rsidP="00BD440D">
      <w:pPr>
        <w:jc w:val="both"/>
      </w:pPr>
      <w:r>
        <w:t xml:space="preserve">Biscuits </w:t>
      </w:r>
      <w:r w:rsidR="00192C73">
        <w:t xml:space="preserve">are a staple of </w:t>
      </w:r>
      <w:r w:rsidR="004473D0">
        <w:t>British culture, coming in all different shapes, sizes and flavours</w:t>
      </w:r>
      <w:r w:rsidR="00423072">
        <w:t xml:space="preserve">, </w:t>
      </w:r>
      <w:r w:rsidR="00CE2176">
        <w:t xml:space="preserve">being an essential companion to a cup of tea. </w:t>
      </w:r>
      <w:r w:rsidR="00DF4A99">
        <w:t>However</w:t>
      </w:r>
      <w:r w:rsidR="000B5155">
        <w:t>,</w:t>
      </w:r>
      <w:r w:rsidR="00DF4A99">
        <w:t xml:space="preserve"> </w:t>
      </w:r>
      <w:r w:rsidR="00E0675A">
        <w:t>beyond their culinary appeal there is a</w:t>
      </w:r>
      <w:r w:rsidR="00B56040">
        <w:t xml:space="preserve">n interesting </w:t>
      </w:r>
      <w:r w:rsidR="00C80E62">
        <w:t>problem</w:t>
      </w:r>
      <w:r w:rsidR="00704292">
        <w:t>;</w:t>
      </w:r>
      <w:r w:rsidR="00C80E62">
        <w:t xml:space="preserve"> their porous structure</w:t>
      </w:r>
      <w:r w:rsidR="00704292" w:rsidRPr="00704292">
        <w:t>, consisting of interconnecting hollow channels between starch grains bound by sugar, means that when dunked, tea is drawn in through capillary action</w:t>
      </w:r>
      <w:r w:rsidR="00704292">
        <w:t>.</w:t>
      </w:r>
      <w:r w:rsidR="00A15E29">
        <w:fldChar w:fldCharType="begin"/>
      </w:r>
      <w:r w:rsidR="00A15E29">
        <w:instrText xml:space="preserve"> ADDIN EN.CITE &lt;EndNote&gt;&lt;Cite&gt;&lt;Author&gt;Fisher&lt;/Author&gt;&lt;Year&gt;1999&lt;/Year&gt;&lt;RecNum&gt;127&lt;/RecNum&gt;&lt;DisplayText&gt;&lt;style face="superscript"&gt;1&lt;/style&gt;&lt;/DisplayText&gt;&lt;record&gt;&lt;rec-number&gt;127&lt;/rec-number&gt;&lt;foreign-keys&gt;&lt;key app="EN" db-id="vxxrf9fd3z9zvhedt04pr09tfp952wfrxr92" timestamp="1777029422"&gt;127&lt;/key&gt;&lt;/foreign-keys&gt;&lt;ref-type name="Journal Article"&gt;17&lt;/ref-type&gt;&lt;contributors&gt;&lt;authors&gt;&lt;author&gt;Fisher, Len&lt;/author&gt;&lt;/authors&gt;&lt;/contributors&gt;&lt;titles&gt;&lt;title&gt;Physics takes the biscuit&lt;/title&gt;&lt;secondary-title&gt;Nature&lt;/secondary-title&gt;&lt;/titles&gt;&lt;periodical&gt;&lt;full-title&gt;Nature&lt;/full-title&gt;&lt;/periodical&gt;&lt;pages&gt;469-469&lt;/pages&gt;&lt;volume&gt;397&lt;/volume&gt;&lt;number&gt;6719&lt;/number&gt;&lt;dates&gt;&lt;year&gt;1999&lt;/year&gt;&lt;pub-dates&gt;&lt;date&gt;1999/02/01&lt;/date&gt;&lt;/pub-dates&gt;&lt;/dates&gt;&lt;isbn&gt;1476-4687&lt;/isbn&gt;&lt;urls&gt;&lt;related-urls&gt;&lt;url&gt;https://doi.org/10.1038/17203&lt;/url&gt;&lt;/related-urls&gt;&lt;/urls&gt;&lt;electronic-resource-num&gt;10.1038/17203&lt;/electronic-resource-num&gt;&lt;/record&gt;&lt;/Cite&gt;&lt;/EndNote&gt;</w:instrText>
      </w:r>
      <w:r w:rsidR="00A15E29">
        <w:fldChar w:fldCharType="separate"/>
      </w:r>
      <w:r w:rsidR="00A15E29" w:rsidRPr="00A15E29">
        <w:rPr>
          <w:noProof/>
          <w:vertAlign w:val="superscript"/>
        </w:rPr>
        <w:t>1</w:t>
      </w:r>
      <w:r w:rsidR="00A15E29">
        <w:fldChar w:fldCharType="end"/>
      </w:r>
      <w:r w:rsidR="0068673A">
        <w:t xml:space="preserve"> </w:t>
      </w:r>
      <w:r w:rsidR="001A12A2">
        <w:t xml:space="preserve">Knowledge of </w:t>
      </w:r>
      <w:r w:rsidR="009E1AE9">
        <w:t>this process, and how it</w:t>
      </w:r>
      <w:r w:rsidR="00CD61B0" w:rsidRPr="00CD61B0">
        <w:t xml:space="preserve"> varies between biscuit types</w:t>
      </w:r>
      <w:r w:rsidR="00FF6B92">
        <w:t xml:space="preserve">, is advantageous to </w:t>
      </w:r>
      <w:r w:rsidR="00FE54FD">
        <w:t>biscuit manufacturers such as McVitie’s</w:t>
      </w:r>
      <w:r w:rsidR="00B838AC">
        <w:t xml:space="preserve">, </w:t>
      </w:r>
      <w:r w:rsidR="00965E8C">
        <w:t xml:space="preserve">informing decisions on product development and </w:t>
      </w:r>
      <w:r w:rsidR="00B957C9">
        <w:t>quality control</w:t>
      </w:r>
      <w:r w:rsidR="00C33E9A">
        <w:t>.</w:t>
      </w:r>
    </w:p>
    <w:p w14:paraId="476B6D11" w14:textId="77777777" w:rsidR="009907C1" w:rsidRDefault="004C422A" w:rsidP="00BD440D">
      <w:pPr>
        <w:jc w:val="both"/>
      </w:pPr>
      <w:r>
        <w:t xml:space="preserve">The capillary flow </w:t>
      </w:r>
      <w:r w:rsidR="00A92211">
        <w:t>of liquid into a porous material</w:t>
      </w:r>
      <w:r w:rsidR="009907C1">
        <w:t xml:space="preserve"> is described by the Washburn equation:</w:t>
      </w:r>
    </w:p>
    <w:p w14:paraId="414B377E" w14:textId="77777777" w:rsidR="00EF6B03" w:rsidRDefault="004520CD" w:rsidP="004520CD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                                                                                         </w:t>
      </w:r>
      <m:oMath>
        <m:r>
          <w:rPr>
            <w:rFonts w:ascii="Cambria Math" w:hAnsi="Cambria Math"/>
          </w:rPr>
          <m:t>L=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γrt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func>
              </m:num>
              <m:den>
                <m:r>
                  <w:rPr>
                    <w:rFonts w:ascii="Cambria Math" w:hAnsi="Cambria Math"/>
                  </w:rPr>
                  <m:t>2η</m:t>
                </m:r>
              </m:den>
            </m:f>
          </m:e>
        </m:rad>
      </m:oMath>
      <w:r>
        <w:rPr>
          <w:rFonts w:eastAsiaTheme="minorEastAsia"/>
        </w:rPr>
        <w:t>,                                                                                    (1)</w:t>
      </w:r>
    </w:p>
    <w:p w14:paraId="03144F66" w14:textId="4C0148E2" w:rsidR="00BD440D" w:rsidRPr="00A8196F" w:rsidRDefault="00DA1630" w:rsidP="004520CD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where </w:t>
      </w:r>
      <w:r w:rsidRPr="00F01100">
        <w:rPr>
          <w:rFonts w:eastAsiaTheme="minorEastAsia"/>
          <w:i/>
          <w:iCs/>
        </w:rPr>
        <w:t>L</w:t>
      </w:r>
      <w:r>
        <w:rPr>
          <w:rFonts w:eastAsiaTheme="minorEastAsia"/>
        </w:rPr>
        <w:t xml:space="preserve"> is the distance </w:t>
      </w:r>
      <w:r w:rsidR="00FB3B77">
        <w:rPr>
          <w:rFonts w:eastAsiaTheme="minorEastAsia"/>
        </w:rPr>
        <w:t>the liquid penetrates</w:t>
      </w:r>
      <w:r w:rsidR="002010F8">
        <w:rPr>
          <w:rFonts w:eastAsiaTheme="minorEastAsia"/>
        </w:rPr>
        <w:t xml:space="preserve"> into the material</w:t>
      </w:r>
      <w:r w:rsidR="00F95854">
        <w:rPr>
          <w:rFonts w:eastAsiaTheme="minorEastAsia"/>
        </w:rPr>
        <w:t xml:space="preserve">, </w:t>
      </w:r>
      <w:r w:rsidR="00F95854" w:rsidRPr="00F95854">
        <w:rPr>
          <w:rFonts w:ascii="Times New Roman" w:eastAsiaTheme="minorEastAsia" w:hAnsi="Times New Roman" w:cs="Times New Roman"/>
          <w:i/>
          <w:iCs/>
        </w:rPr>
        <w:t>γ</w:t>
      </w:r>
      <w:r w:rsidR="00F95854">
        <w:rPr>
          <w:rFonts w:ascii="Times New Roman" w:eastAsiaTheme="minorEastAsia" w:hAnsi="Times New Roman" w:cs="Times New Roman"/>
          <w:i/>
          <w:iCs/>
        </w:rPr>
        <w:t xml:space="preserve"> </w:t>
      </w:r>
      <w:r w:rsidR="0052692A">
        <w:rPr>
          <w:rFonts w:eastAsiaTheme="minorEastAsia" w:cs="Times New Roman"/>
        </w:rPr>
        <w:t xml:space="preserve">is the surface tension of the liquid, </w:t>
      </w:r>
      <w:r w:rsidR="00A8196F">
        <w:rPr>
          <w:rFonts w:eastAsiaTheme="minorEastAsia" w:cs="Times New Roman"/>
          <w:i/>
          <w:iCs/>
        </w:rPr>
        <w:t>r</w:t>
      </w:r>
      <w:r w:rsidR="00A8196F">
        <w:rPr>
          <w:rFonts w:eastAsiaTheme="minorEastAsia" w:cs="Times New Roman"/>
        </w:rPr>
        <w:t xml:space="preserve"> is the pore radius, </w:t>
      </w:r>
      <w:r w:rsidR="00A8196F">
        <w:rPr>
          <w:rFonts w:eastAsiaTheme="minorEastAsia" w:cs="Times New Roman"/>
          <w:i/>
          <w:iCs/>
        </w:rPr>
        <w:t>t</w:t>
      </w:r>
      <w:r w:rsidR="00A8196F">
        <w:rPr>
          <w:rFonts w:eastAsiaTheme="minorEastAsia" w:cs="Times New Roman"/>
        </w:rPr>
        <w:t xml:space="preserve"> is the elapsed time</w:t>
      </w:r>
      <w:r w:rsidR="00AF090D">
        <w:rPr>
          <w:rFonts w:eastAsiaTheme="minorEastAsia" w:cs="Times New Roman"/>
        </w:rPr>
        <w:t xml:space="preserve">, </w:t>
      </w:r>
      <w:r w:rsidR="00D4649B" w:rsidRPr="00D4649B">
        <w:rPr>
          <w:rFonts w:ascii="Times New Roman" w:eastAsiaTheme="minorEastAsia" w:hAnsi="Times New Roman" w:cs="Times New Roman"/>
          <w:i/>
          <w:iCs/>
        </w:rPr>
        <w:t>ϕ</w:t>
      </w:r>
      <w:r w:rsidR="00AF090D">
        <w:rPr>
          <w:rFonts w:eastAsiaTheme="minorEastAsia" w:cs="Times New Roman"/>
        </w:rPr>
        <w:t xml:space="preserve"> is the </w:t>
      </w:r>
      <w:r w:rsidR="00C45689">
        <w:rPr>
          <w:rFonts w:eastAsiaTheme="minorEastAsia" w:cs="Times New Roman"/>
        </w:rPr>
        <w:t xml:space="preserve">contact angle between the liquid and solid, with </w:t>
      </w:r>
      <w:r w:rsidR="00C45689" w:rsidRPr="00BE7E6F">
        <w:rPr>
          <w:rFonts w:ascii="Times New Roman" w:eastAsiaTheme="minorEastAsia" w:hAnsi="Times New Roman" w:cs="Times New Roman"/>
          <w:i/>
          <w:iCs/>
        </w:rPr>
        <w:t>η</w:t>
      </w:r>
      <w:r w:rsidR="00C45689">
        <w:rPr>
          <w:rFonts w:eastAsiaTheme="minorEastAsia" w:cs="Times New Roman"/>
        </w:rPr>
        <w:t xml:space="preserve"> </w:t>
      </w:r>
      <w:r w:rsidR="00BE7E6F">
        <w:rPr>
          <w:rFonts w:eastAsiaTheme="minorEastAsia" w:cs="Times New Roman"/>
        </w:rPr>
        <w:t>as the dynamic viscosity of the liquid.</w:t>
      </w:r>
      <w:r w:rsidR="002D798E">
        <w:rPr>
          <w:rFonts w:eastAsiaTheme="minorEastAsia" w:cs="Times New Roman"/>
        </w:rPr>
        <w:fldChar w:fldCharType="begin"/>
      </w:r>
      <w:r w:rsidR="002D798E">
        <w:rPr>
          <w:rFonts w:eastAsiaTheme="minorEastAsia" w:cs="Times New Roman"/>
        </w:rPr>
        <w:instrText xml:space="preserve"> ADDIN EN.CITE &lt;EndNote&gt;&lt;Cite&gt;&lt;Author&gt;Washburn&lt;/Author&gt;&lt;Year&gt;1921&lt;/Year&gt;&lt;RecNum&gt;128&lt;/RecNum&gt;&lt;DisplayText&gt;&lt;style face="superscript"&gt;2&lt;/style&gt;&lt;/DisplayText&gt;&lt;record&gt;&lt;rec-number&gt;128&lt;/rec-number&gt;&lt;foreign-keys&gt;&lt;key app="EN" db-id="vxxrf9fd3z9zvhedt04pr09tfp952wfrxr92" timestamp="1777030731"&gt;128&lt;/key&gt;&lt;/foreign-keys&gt;&lt;ref-type name="Journal Article"&gt;17&lt;/ref-type&gt;&lt;contributors&gt;&lt;authors&gt;&lt;author&gt;Washburn, Edward W.&lt;/author&gt;&lt;/authors&gt;&lt;/contributors&gt;&lt;titles&gt;&lt;title&gt;The Dynamics of Capillary Flow&lt;/title&gt;&lt;secondary-title&gt;Physical Review&lt;/secondary-title&gt;&lt;/titles&gt;&lt;periodical&gt;&lt;full-title&gt;Physical Review&lt;/full-title&gt;&lt;/periodical&gt;&lt;pages&gt;273-283&lt;/pages&gt;&lt;volume&gt;17&lt;/volume&gt;&lt;number&gt;3&lt;/number&gt;&lt;dates&gt;&lt;year&gt;1921&lt;/year&gt;&lt;pub-dates&gt;&lt;date&gt;03/01/&lt;/date&gt;&lt;/pub-dates&gt;&lt;/dates&gt;&lt;publisher&gt;American Physical Society&lt;/publisher&gt;&lt;urls&gt;&lt;related-urls&gt;&lt;url&gt;https://link.aps.org/doi/10.1103/PhysRev.17.273&lt;/url&gt;&lt;/related-urls&gt;&lt;/urls&gt;&lt;electronic-resource-num&gt;10.1103/PhysRev.17.273&lt;/electronic-resource-num&gt;&lt;/record&gt;&lt;/Cite&gt;&lt;/EndNote&gt;</w:instrText>
      </w:r>
      <w:r w:rsidR="002D798E">
        <w:rPr>
          <w:rFonts w:eastAsiaTheme="minorEastAsia" w:cs="Times New Roman"/>
        </w:rPr>
        <w:fldChar w:fldCharType="separate"/>
      </w:r>
      <w:r w:rsidR="002D798E" w:rsidRPr="002D798E">
        <w:rPr>
          <w:rFonts w:eastAsiaTheme="minorEastAsia" w:cs="Times New Roman"/>
          <w:noProof/>
          <w:vertAlign w:val="superscript"/>
        </w:rPr>
        <w:t>2</w:t>
      </w:r>
      <w:r w:rsidR="002D798E">
        <w:rPr>
          <w:rFonts w:eastAsiaTheme="minorEastAsia" w:cs="Times New Roman"/>
        </w:rPr>
        <w:fldChar w:fldCharType="end"/>
      </w:r>
      <w:r w:rsidR="00F01100">
        <w:rPr>
          <w:rFonts w:eastAsiaTheme="minorEastAsia" w:cs="Times New Roman"/>
        </w:rPr>
        <w:t xml:space="preserve"> </w:t>
      </w:r>
      <w:r w:rsidR="008A4F32">
        <w:rPr>
          <w:rFonts w:eastAsiaTheme="minorEastAsia" w:cs="Times New Roman"/>
        </w:rPr>
        <w:t xml:space="preserve">Although this equation is </w:t>
      </w:r>
      <w:r w:rsidR="00153793">
        <w:rPr>
          <w:rFonts w:eastAsiaTheme="minorEastAsia" w:cs="Times New Roman"/>
        </w:rPr>
        <w:t xml:space="preserve">strictly derived for flow in a single uniform cylindrical tube, </w:t>
      </w:r>
      <w:r w:rsidR="00CE66F2">
        <w:rPr>
          <w:rFonts w:eastAsiaTheme="minorEastAsia" w:cs="Times New Roman"/>
        </w:rPr>
        <w:t xml:space="preserve">it has been </w:t>
      </w:r>
      <w:r w:rsidR="004D0891">
        <w:rPr>
          <w:rFonts w:eastAsiaTheme="minorEastAsia" w:cs="Times New Roman"/>
        </w:rPr>
        <w:t>demonstrated experimentally</w:t>
      </w:r>
      <w:r w:rsidR="00CE66F2">
        <w:rPr>
          <w:rFonts w:eastAsiaTheme="minorEastAsia" w:cs="Times New Roman"/>
        </w:rPr>
        <w:t xml:space="preserve"> by </w:t>
      </w:r>
      <w:r w:rsidR="00976B01">
        <w:rPr>
          <w:rFonts w:eastAsiaTheme="minorEastAsia" w:cs="Times New Roman"/>
        </w:rPr>
        <w:t>Fisher in 1999</w:t>
      </w:r>
      <w:r w:rsidR="00DC267B">
        <w:rPr>
          <w:rFonts w:eastAsiaTheme="minorEastAsia" w:cs="Times New Roman"/>
        </w:rPr>
        <w:t xml:space="preserve"> that the equation can be highly accurate for more complex porous materials, including biscuits.</w:t>
      </w:r>
      <w:r w:rsidR="00F272C8">
        <w:rPr>
          <w:rFonts w:eastAsiaTheme="minorEastAsia" w:cs="Times New Roman"/>
        </w:rPr>
        <w:fldChar w:fldCharType="begin"/>
      </w:r>
      <w:r w:rsidR="00F272C8">
        <w:rPr>
          <w:rFonts w:eastAsiaTheme="minorEastAsia" w:cs="Times New Roman"/>
        </w:rPr>
        <w:instrText xml:space="preserve"> ADDIN EN.CITE &lt;EndNote&gt;&lt;Cite&gt;&lt;Author&gt;Fisher&lt;/Author&gt;&lt;Year&gt;1999&lt;/Year&gt;&lt;RecNum&gt;127&lt;/RecNum&gt;&lt;DisplayText&gt;&lt;style face="superscript"&gt;1&lt;/style&gt;&lt;/DisplayText&gt;&lt;record&gt;&lt;rec-number&gt;127&lt;/rec-number&gt;&lt;foreign-keys&gt;&lt;key app="EN" db-id="vxxrf9fd3z9zvhedt04pr09tfp952wfrxr92" timestamp="1777029422"&gt;127&lt;/key&gt;&lt;/foreign-keys&gt;&lt;ref-type name="Journal Article"&gt;17&lt;/ref-type&gt;&lt;contributors&gt;&lt;authors&gt;&lt;author&gt;Fisher, Len&lt;/author&gt;&lt;/authors&gt;&lt;/contributors&gt;&lt;titles&gt;&lt;title&gt;Physics takes the biscuit&lt;/title&gt;&lt;secondary-title&gt;Nature&lt;/secondary-title&gt;&lt;/titles&gt;&lt;periodical&gt;&lt;full-title&gt;Nature&lt;/full-title&gt;&lt;/periodical&gt;&lt;pages&gt;469-469&lt;/pages&gt;&lt;volume&gt;397&lt;/volume&gt;&lt;number&gt;6719&lt;/number&gt;&lt;dates&gt;&lt;year&gt;1999&lt;/year&gt;&lt;pub-dates&gt;&lt;date&gt;1999/02/01&lt;/date&gt;&lt;/pub-dates&gt;&lt;/dates&gt;&lt;isbn&gt;1476-4687&lt;/isbn&gt;&lt;urls&gt;&lt;related-urls&gt;&lt;url&gt;https://doi.org/10.1038/17203&lt;/url&gt;&lt;/related-urls&gt;&lt;/urls&gt;&lt;electronic-resource-num&gt;10.1038/17203&lt;/electronic-resource-num&gt;&lt;/record&gt;&lt;/Cite&gt;&lt;/EndNote&gt;</w:instrText>
      </w:r>
      <w:r w:rsidR="00F272C8">
        <w:rPr>
          <w:rFonts w:eastAsiaTheme="minorEastAsia" w:cs="Times New Roman"/>
        </w:rPr>
        <w:fldChar w:fldCharType="separate"/>
      </w:r>
      <w:r w:rsidR="00F272C8" w:rsidRPr="00F272C8">
        <w:rPr>
          <w:rFonts w:eastAsiaTheme="minorEastAsia" w:cs="Times New Roman"/>
          <w:noProof/>
          <w:vertAlign w:val="superscript"/>
        </w:rPr>
        <w:t>1</w:t>
      </w:r>
      <w:r w:rsidR="00F272C8">
        <w:rPr>
          <w:rFonts w:eastAsiaTheme="minorEastAsia" w:cs="Times New Roman"/>
        </w:rPr>
        <w:fldChar w:fldCharType="end"/>
      </w:r>
    </w:p>
    <w:p w14:paraId="6B248172" w14:textId="7939FF0D" w:rsidR="00DF4977" w:rsidRDefault="00FE55A6" w:rsidP="00DF4977">
      <w:pPr>
        <w:jc w:val="both"/>
      </w:pPr>
      <w:r>
        <w:t xml:space="preserve">Three datasets </w:t>
      </w:r>
      <w:r w:rsidR="001722AE">
        <w:t>were experimentally curated</w:t>
      </w:r>
      <w:r w:rsidR="005C3644">
        <w:t>, with the first consisting of 3000 dunking observations</w:t>
      </w:r>
      <w:r w:rsidR="00302697">
        <w:t xml:space="preserve"> recording</w:t>
      </w:r>
      <w:r w:rsidR="004C2568">
        <w:t xml:space="preserve"> </w:t>
      </w:r>
      <w:r w:rsidR="004C2568" w:rsidRPr="000739AC">
        <w:rPr>
          <w:i/>
          <w:iCs/>
        </w:rPr>
        <w:t>L</w:t>
      </w:r>
      <w:r w:rsidR="004C2568">
        <w:t>,</w:t>
      </w:r>
      <w:r w:rsidR="00302697">
        <w:t xml:space="preserve"> </w:t>
      </w:r>
      <w:r w:rsidR="00302697" w:rsidRPr="000739AC">
        <w:rPr>
          <w:rFonts w:ascii="Times New Roman" w:hAnsi="Times New Roman" w:cs="Times New Roman"/>
          <w:i/>
          <w:iCs/>
        </w:rPr>
        <w:t>γ</w:t>
      </w:r>
      <w:r w:rsidR="005F6277">
        <w:t>,</w:t>
      </w:r>
      <w:r w:rsidR="005F6277" w:rsidRPr="000739AC">
        <w:rPr>
          <w:i/>
          <w:iCs/>
        </w:rPr>
        <w:t xml:space="preserve"> t</w:t>
      </w:r>
      <w:r w:rsidR="005F6277">
        <w:t>,</w:t>
      </w:r>
      <w:r w:rsidR="005F6277" w:rsidRPr="000739AC">
        <w:rPr>
          <w:i/>
          <w:iCs/>
        </w:rPr>
        <w:t xml:space="preserve"> </w:t>
      </w:r>
      <w:r w:rsidR="005F6277" w:rsidRPr="000739AC">
        <w:rPr>
          <w:rFonts w:ascii="Times New Roman" w:hAnsi="Times New Roman" w:cs="Times New Roman"/>
          <w:i/>
          <w:iCs/>
        </w:rPr>
        <w:t>ϕ</w:t>
      </w:r>
      <w:r w:rsidR="000739AC">
        <w:t xml:space="preserve"> and </w:t>
      </w:r>
      <w:r w:rsidR="000739AC" w:rsidRPr="000739AC">
        <w:rPr>
          <w:rFonts w:ascii="Times New Roman" w:hAnsi="Times New Roman" w:cs="Times New Roman"/>
          <w:i/>
          <w:iCs/>
        </w:rPr>
        <w:t>η</w:t>
      </w:r>
      <w:r w:rsidR="000739AC">
        <w:t xml:space="preserve"> </w:t>
      </w:r>
      <w:r w:rsidR="005C3644">
        <w:t xml:space="preserve">across three biscuit types of Digestives, Hobnobs and Rich </w:t>
      </w:r>
      <w:r w:rsidR="00D16E46">
        <w:t>Tea.</w:t>
      </w:r>
      <w:r w:rsidR="007A4787">
        <w:t xml:space="preserve"> A subset </w:t>
      </w:r>
      <w:r w:rsidR="002D671B">
        <w:t>of 500 of th</w:t>
      </w:r>
      <w:r w:rsidR="002368BA">
        <w:t xml:space="preserve">ese biscuits were additionally analysed by </w:t>
      </w:r>
      <w:r w:rsidR="00D72365">
        <w:t>measuring their pore radi</w:t>
      </w:r>
      <w:r w:rsidR="005A6030">
        <w:t>us</w:t>
      </w:r>
      <w:r w:rsidR="00D72365">
        <w:t xml:space="preserve"> by microscopy</w:t>
      </w:r>
      <w:r w:rsidR="009A088D">
        <w:t xml:space="preserve">. Finally three time resolved </w:t>
      </w:r>
      <w:r w:rsidR="005D2C16">
        <w:t>datasets</w:t>
      </w:r>
      <w:r w:rsidR="009911F3">
        <w:t xml:space="preserve">, each measuring the soaking length </w:t>
      </w:r>
      <w:r w:rsidR="009911F3" w:rsidRPr="009911F3">
        <w:rPr>
          <w:i/>
          <w:iCs/>
        </w:rPr>
        <w:t>L</w:t>
      </w:r>
      <w:r w:rsidR="009911F3">
        <w:t xml:space="preserve"> </w:t>
      </w:r>
      <w:r w:rsidR="00B120D1">
        <w:t xml:space="preserve">of an unknown biscuit type over a period of 30-300s at fixed experimental </w:t>
      </w:r>
      <w:r w:rsidR="00694F86">
        <w:t>conditions</w:t>
      </w:r>
      <w:r w:rsidR="00661820">
        <w:t xml:space="preserve"> </w:t>
      </w:r>
      <w:r w:rsidR="007E46F9">
        <w:t>of:</w:t>
      </w:r>
      <w:r w:rsidR="006A41A4">
        <w:t xml:space="preserve"> </w:t>
      </w:r>
      <w:r w:rsidR="001E5B9D" w:rsidRPr="00046EFC">
        <w:rPr>
          <w:rFonts w:ascii="Times New Roman" w:hAnsi="Times New Roman" w:cs="Times New Roman"/>
        </w:rPr>
        <w:t>γ</w:t>
      </w:r>
      <w:r w:rsidR="005C2BB8">
        <w:t xml:space="preserve"> = </w:t>
      </w:r>
      <w:r w:rsidR="001E5B9D">
        <w:t>6.78 x 10</w:t>
      </w:r>
      <w:r w:rsidR="001E5B9D" w:rsidRPr="00046EFC">
        <w:rPr>
          <w:vertAlign w:val="superscript"/>
        </w:rPr>
        <w:t>-2</w:t>
      </w:r>
      <w:r w:rsidR="00BA7292">
        <w:t xml:space="preserve"> N</w:t>
      </w:r>
      <w:r w:rsidR="00A63D6A">
        <w:t>m</w:t>
      </w:r>
      <w:r w:rsidR="00A63D6A" w:rsidRPr="00046EFC">
        <w:rPr>
          <w:vertAlign w:val="superscript"/>
        </w:rPr>
        <w:t>-1</w:t>
      </w:r>
      <w:r w:rsidR="006A41A4">
        <w:t xml:space="preserve">, </w:t>
      </w:r>
      <w:r w:rsidR="00A63D6A" w:rsidRPr="006A41A4">
        <w:rPr>
          <w:rFonts w:ascii="Times New Roman" w:hAnsi="Times New Roman" w:cs="Times New Roman"/>
        </w:rPr>
        <w:t>ϕ</w:t>
      </w:r>
      <w:r w:rsidR="00A63D6A">
        <w:t xml:space="preserve"> = 1.45 </w:t>
      </w:r>
      <w:r w:rsidR="00D47795">
        <w:t xml:space="preserve">radians </w:t>
      </w:r>
      <w:r w:rsidR="006A41A4">
        <w:t xml:space="preserve">and </w:t>
      </w:r>
      <w:r w:rsidR="00D47795" w:rsidRPr="006A41A4">
        <w:rPr>
          <w:rFonts w:ascii="Times New Roman" w:hAnsi="Times New Roman" w:cs="Times New Roman"/>
        </w:rPr>
        <w:t>η</w:t>
      </w:r>
      <w:r w:rsidR="00D47795">
        <w:t xml:space="preserve"> = 9.93 x 10</w:t>
      </w:r>
      <w:r w:rsidR="00BA7292" w:rsidRPr="006A41A4">
        <w:rPr>
          <w:vertAlign w:val="superscript"/>
        </w:rPr>
        <w:t>-4</w:t>
      </w:r>
      <w:r w:rsidR="00BA7292">
        <w:t xml:space="preserve"> P</w:t>
      </w:r>
      <w:r w:rsidR="00BA7292" w:rsidRPr="00BA7292">
        <w:t>a</w:t>
      </w:r>
      <w:r w:rsidR="00B6220D">
        <w:t xml:space="preserve"> </w:t>
      </w:r>
      <w:r w:rsidR="00BA7292" w:rsidRPr="00BA7292">
        <w:t>s</w:t>
      </w:r>
      <w:r w:rsidR="006A41A4">
        <w:t xml:space="preserve">, </w:t>
      </w:r>
      <w:r w:rsidR="00DF4977">
        <w:t xml:space="preserve">where the identity of the biscuit behind each blind sample </w:t>
      </w:r>
      <w:r w:rsidR="005D2C16">
        <w:t>is unknown.</w:t>
      </w:r>
    </w:p>
    <w:p w14:paraId="07398726" w14:textId="54FFCDD6" w:rsidR="00010A01" w:rsidRPr="00BD440D" w:rsidRDefault="00010A01" w:rsidP="00DF4977">
      <w:pPr>
        <w:jc w:val="both"/>
      </w:pPr>
      <w:r>
        <w:t xml:space="preserve">There </w:t>
      </w:r>
      <w:r w:rsidR="0070212E">
        <w:t>a</w:t>
      </w:r>
      <w:r>
        <w:t>re three main questions posed for investigation</w:t>
      </w:r>
      <w:r w:rsidR="005B4673">
        <w:t xml:space="preserve">. First, </w:t>
      </w:r>
      <w:r w:rsidR="005B4673" w:rsidRPr="005B4673">
        <w:t> </w:t>
      </w:r>
      <w:r w:rsidR="005B4673">
        <w:t>c</w:t>
      </w:r>
      <w:r w:rsidR="005B4673" w:rsidRPr="005B4673">
        <w:t>an a machine learning algorithm identify the different types of biscuits from their dunking behaviour?</w:t>
      </w:r>
      <w:r w:rsidR="00F158EE">
        <w:t xml:space="preserve"> Secondly, </w:t>
      </w:r>
      <w:r w:rsidR="000E70AE">
        <w:t>h</w:t>
      </w:r>
      <w:r w:rsidR="00F158EE" w:rsidRPr="00F158EE">
        <w:t>ow does the effective pore radius differ between Digestive, Hobnob, and Rich Tea biscuits?</w:t>
      </w:r>
      <w:r w:rsidR="00F158EE">
        <w:t xml:space="preserve"> </w:t>
      </w:r>
      <w:r w:rsidR="000E70AE">
        <w:t>And f</w:t>
      </w:r>
      <w:r w:rsidR="00F158EE">
        <w:t xml:space="preserve">inally, </w:t>
      </w:r>
      <w:r w:rsidR="000E70AE">
        <w:t>h</w:t>
      </w:r>
      <w:r w:rsidR="000320AD" w:rsidRPr="000320AD">
        <w:t>ow accurate is the Washburn equation for describing capillary flow in biscuits, and can a machine learning regressor outperform it?</w:t>
      </w:r>
      <w:r w:rsidR="000320AD">
        <w:t xml:space="preserve"> </w:t>
      </w:r>
    </w:p>
    <w:p w14:paraId="2931D09B" w14:textId="45110F55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Analysis and Discussion</w:t>
      </w:r>
    </w:p>
    <w:p w14:paraId="071BCFFF" w14:textId="77777777" w:rsidR="00B226E6" w:rsidRPr="00236586" w:rsidRDefault="00B226E6" w:rsidP="00BD440D">
      <w:pPr>
        <w:jc w:val="both"/>
      </w:pPr>
    </w:p>
    <w:p w14:paraId="40724912" w14:textId="70B0F53F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Conclusions</w:t>
      </w:r>
    </w:p>
    <w:p w14:paraId="2A7CCE91" w14:textId="1777CD51" w:rsidR="00A15E29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References</w:t>
      </w:r>
    </w:p>
    <w:p w14:paraId="37AAB941" w14:textId="77777777" w:rsidR="00F272C8" w:rsidRPr="00F272C8" w:rsidRDefault="00A15E29" w:rsidP="00F272C8">
      <w:pPr>
        <w:pStyle w:val="EndNoteBibliography"/>
        <w:spacing w:after="0"/>
        <w:ind w:left="720" w:hanging="720"/>
      </w:pPr>
      <w:r>
        <w:rPr>
          <w:sz w:val="28"/>
          <w:szCs w:val="28"/>
          <w:u w:val="single"/>
        </w:rPr>
        <w:fldChar w:fldCharType="begin"/>
      </w:r>
      <w:r>
        <w:rPr>
          <w:sz w:val="28"/>
          <w:szCs w:val="28"/>
          <w:u w:val="single"/>
        </w:rPr>
        <w:instrText xml:space="preserve"> ADDIN EN.REFLIST </w:instrText>
      </w:r>
      <w:r>
        <w:rPr>
          <w:sz w:val="28"/>
          <w:szCs w:val="28"/>
          <w:u w:val="single"/>
        </w:rPr>
        <w:fldChar w:fldCharType="separate"/>
      </w:r>
      <w:r w:rsidR="00F272C8" w:rsidRPr="00F272C8">
        <w:t>1.</w:t>
      </w:r>
      <w:r w:rsidR="00F272C8" w:rsidRPr="00F272C8">
        <w:tab/>
        <w:t xml:space="preserve">L. Fisher, </w:t>
      </w:r>
      <w:r w:rsidR="00F272C8" w:rsidRPr="00F272C8">
        <w:rPr>
          <w:i/>
        </w:rPr>
        <w:t>Nature</w:t>
      </w:r>
      <w:r w:rsidR="00F272C8" w:rsidRPr="00F272C8">
        <w:t xml:space="preserve">, 1999, </w:t>
      </w:r>
      <w:r w:rsidR="00F272C8" w:rsidRPr="00F272C8">
        <w:rPr>
          <w:b/>
        </w:rPr>
        <w:t>397</w:t>
      </w:r>
      <w:r w:rsidR="00F272C8" w:rsidRPr="00F272C8">
        <w:t>, 469-469.</w:t>
      </w:r>
    </w:p>
    <w:p w14:paraId="109A2FA1" w14:textId="77777777" w:rsidR="00F272C8" w:rsidRPr="00F272C8" w:rsidRDefault="00F272C8" w:rsidP="00F272C8">
      <w:pPr>
        <w:pStyle w:val="EndNoteBibliography"/>
        <w:ind w:left="720" w:hanging="720"/>
      </w:pPr>
      <w:r w:rsidRPr="00F272C8">
        <w:t>2.</w:t>
      </w:r>
      <w:r w:rsidRPr="00F272C8">
        <w:tab/>
        <w:t xml:space="preserve">E. W. Washburn, </w:t>
      </w:r>
      <w:r w:rsidRPr="00F272C8">
        <w:rPr>
          <w:i/>
        </w:rPr>
        <w:t>Physical Review</w:t>
      </w:r>
      <w:r w:rsidRPr="00F272C8">
        <w:t xml:space="preserve">, 1921, </w:t>
      </w:r>
      <w:r w:rsidRPr="00F272C8">
        <w:rPr>
          <w:b/>
        </w:rPr>
        <w:t>17</w:t>
      </w:r>
      <w:r w:rsidRPr="00F272C8">
        <w:t>, 273-283.</w:t>
      </w:r>
    </w:p>
    <w:p w14:paraId="2F0E6DDD" w14:textId="2B91BA06" w:rsidR="00BD440D" w:rsidRPr="00BD440D" w:rsidRDefault="00A15E29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fldChar w:fldCharType="end"/>
      </w:r>
    </w:p>
    <w:sectPr w:rsidR="00BD440D" w:rsidRPr="00BD44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13EB4"/>
    <w:multiLevelType w:val="hybridMultilevel"/>
    <w:tmpl w:val="9120E97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30C536C"/>
    <w:multiLevelType w:val="hybridMultilevel"/>
    <w:tmpl w:val="52C4B28C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88359972">
    <w:abstractNumId w:val="1"/>
  </w:num>
  <w:num w:numId="2" w16cid:durableId="1411075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Royal Society of Chemistry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xxrf9fd3z9zvhedt04pr09tfp952wfrxr92&quot;&gt;My EndNote Library&lt;record-ids&gt;&lt;item&gt;127&lt;/item&gt;&lt;item&gt;128&lt;/item&gt;&lt;/record-ids&gt;&lt;/item&gt;&lt;/Libraries&gt;"/>
  </w:docVars>
  <w:rsids>
    <w:rsidRoot w:val="00294B51"/>
    <w:rsid w:val="00010A01"/>
    <w:rsid w:val="000320AD"/>
    <w:rsid w:val="00046EFC"/>
    <w:rsid w:val="000739AC"/>
    <w:rsid w:val="00091F33"/>
    <w:rsid w:val="000A56A0"/>
    <w:rsid w:val="000B5155"/>
    <w:rsid w:val="000E70AE"/>
    <w:rsid w:val="00153793"/>
    <w:rsid w:val="001722AE"/>
    <w:rsid w:val="00192C73"/>
    <w:rsid w:val="001A12A2"/>
    <w:rsid w:val="001C7FF5"/>
    <w:rsid w:val="001E5B9D"/>
    <w:rsid w:val="001F44F9"/>
    <w:rsid w:val="002010F8"/>
    <w:rsid w:val="00236586"/>
    <w:rsid w:val="002368BA"/>
    <w:rsid w:val="00294B51"/>
    <w:rsid w:val="002D671B"/>
    <w:rsid w:val="002D798E"/>
    <w:rsid w:val="00302697"/>
    <w:rsid w:val="003D1B26"/>
    <w:rsid w:val="003D7A6B"/>
    <w:rsid w:val="003E53BB"/>
    <w:rsid w:val="00423072"/>
    <w:rsid w:val="004473D0"/>
    <w:rsid w:val="004520CD"/>
    <w:rsid w:val="004B425F"/>
    <w:rsid w:val="004C2568"/>
    <w:rsid w:val="004C422A"/>
    <w:rsid w:val="004D0891"/>
    <w:rsid w:val="0052692A"/>
    <w:rsid w:val="005A6030"/>
    <w:rsid w:val="005B4673"/>
    <w:rsid w:val="005C2BB8"/>
    <w:rsid w:val="005C3644"/>
    <w:rsid w:val="005D2C16"/>
    <w:rsid w:val="005F6277"/>
    <w:rsid w:val="0062011B"/>
    <w:rsid w:val="00661820"/>
    <w:rsid w:val="0068673A"/>
    <w:rsid w:val="00694F86"/>
    <w:rsid w:val="006A41A4"/>
    <w:rsid w:val="006D3139"/>
    <w:rsid w:val="0070212E"/>
    <w:rsid w:val="00704292"/>
    <w:rsid w:val="007A4787"/>
    <w:rsid w:val="007E46F9"/>
    <w:rsid w:val="008304C2"/>
    <w:rsid w:val="008A4F32"/>
    <w:rsid w:val="008D15A4"/>
    <w:rsid w:val="00900A02"/>
    <w:rsid w:val="00901558"/>
    <w:rsid w:val="00965E8C"/>
    <w:rsid w:val="00976A41"/>
    <w:rsid w:val="00976B01"/>
    <w:rsid w:val="009907C1"/>
    <w:rsid w:val="009911F3"/>
    <w:rsid w:val="009A088D"/>
    <w:rsid w:val="009E1AE9"/>
    <w:rsid w:val="00A15E29"/>
    <w:rsid w:val="00A2376E"/>
    <w:rsid w:val="00A63D6A"/>
    <w:rsid w:val="00A8196F"/>
    <w:rsid w:val="00A92211"/>
    <w:rsid w:val="00AF090D"/>
    <w:rsid w:val="00AF7335"/>
    <w:rsid w:val="00B120D1"/>
    <w:rsid w:val="00B226E6"/>
    <w:rsid w:val="00B35BDA"/>
    <w:rsid w:val="00B56040"/>
    <w:rsid w:val="00B6220D"/>
    <w:rsid w:val="00B777F6"/>
    <w:rsid w:val="00B838AC"/>
    <w:rsid w:val="00B957C9"/>
    <w:rsid w:val="00BA4FA5"/>
    <w:rsid w:val="00BA7292"/>
    <w:rsid w:val="00BD440D"/>
    <w:rsid w:val="00BE7E6F"/>
    <w:rsid w:val="00C062DA"/>
    <w:rsid w:val="00C23E57"/>
    <w:rsid w:val="00C33E9A"/>
    <w:rsid w:val="00C45689"/>
    <w:rsid w:val="00C80E62"/>
    <w:rsid w:val="00C91348"/>
    <w:rsid w:val="00CD61B0"/>
    <w:rsid w:val="00CE2176"/>
    <w:rsid w:val="00CE66F2"/>
    <w:rsid w:val="00D13069"/>
    <w:rsid w:val="00D16E46"/>
    <w:rsid w:val="00D4649B"/>
    <w:rsid w:val="00D47795"/>
    <w:rsid w:val="00D72365"/>
    <w:rsid w:val="00DA1630"/>
    <w:rsid w:val="00DC267B"/>
    <w:rsid w:val="00DF4977"/>
    <w:rsid w:val="00DF4A99"/>
    <w:rsid w:val="00E0675A"/>
    <w:rsid w:val="00EB42A9"/>
    <w:rsid w:val="00EF6B03"/>
    <w:rsid w:val="00F01100"/>
    <w:rsid w:val="00F158EE"/>
    <w:rsid w:val="00F272C8"/>
    <w:rsid w:val="00F519BE"/>
    <w:rsid w:val="00F851E3"/>
    <w:rsid w:val="00F95854"/>
    <w:rsid w:val="00FB3B77"/>
    <w:rsid w:val="00FE54FD"/>
    <w:rsid w:val="00FE55A6"/>
    <w:rsid w:val="00FF36C3"/>
    <w:rsid w:val="00FF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49EB6"/>
  <w15:chartTrackingRefBased/>
  <w15:docId w15:val="{BB6A954E-E5B3-4036-AD97-29B67B8D6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B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B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B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B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B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B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B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B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B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B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B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B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B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B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B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B51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A15E29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A15E29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A15E29"/>
    <w:pPr>
      <w:spacing w:line="240" w:lineRule="auto"/>
      <w:jc w:val="both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A15E29"/>
    <w:rPr>
      <w:rFonts w:ascii="Aptos" w:hAnsi="Aptos"/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9907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811</Words>
  <Characters>4628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Hardman</dc:creator>
  <cp:keywords/>
  <dc:description/>
  <cp:lastModifiedBy>Nick Hardman</cp:lastModifiedBy>
  <cp:revision>102</cp:revision>
  <dcterms:created xsi:type="dcterms:W3CDTF">2026-04-24T10:28:00Z</dcterms:created>
  <dcterms:modified xsi:type="dcterms:W3CDTF">2026-04-24T14:55:00Z</dcterms:modified>
</cp:coreProperties>
</file>