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2856" w14:textId="24E75183" w:rsidR="006D380D" w:rsidRPr="008C12C7" w:rsidRDefault="00683BE3">
      <w:pPr>
        <w:pStyle w:val="Title"/>
        <w:rPr>
          <w:sz w:val="34"/>
          <w:szCs w:val="34"/>
          <w:lang w:val="en-GB"/>
        </w:rPr>
      </w:pPr>
      <w:r w:rsidRPr="008C12C7">
        <w:rPr>
          <w:sz w:val="34"/>
          <w:szCs w:val="34"/>
          <w:lang w:val="en-GB"/>
        </w:rPr>
        <w:t>Dissecting the cardiometabolic and inflammatory consequences of genetically proxied NLRP3 activity for coronary artery disease risk</w:t>
      </w:r>
    </w:p>
    <w:p w14:paraId="58E85F4E" w14:textId="77777777" w:rsidR="006D380D" w:rsidRPr="008C12C7" w:rsidRDefault="00000000">
      <w:pPr>
        <w:keepNext/>
        <w:keepLines/>
        <w:pBdr>
          <w:top w:val="nil"/>
          <w:left w:val="nil"/>
          <w:bottom w:val="nil"/>
          <w:right w:val="nil"/>
          <w:between w:val="nil"/>
        </w:pBdr>
        <w:jc w:val="center"/>
        <w:rPr>
          <w:color w:val="000000"/>
          <w:lang w:val="en-GB"/>
        </w:rPr>
      </w:pPr>
      <w:r w:rsidRPr="008C12C7">
        <w:rPr>
          <w:color w:val="000000"/>
          <w:lang w:val="en-GB"/>
        </w:rPr>
        <w:t>Nick Hirschmüller</w:t>
      </w:r>
      <w:r w:rsidRPr="008C12C7">
        <w:rPr>
          <w:color w:val="000000"/>
          <w:vertAlign w:val="superscript"/>
          <w:lang w:val="en-GB"/>
        </w:rPr>
        <w:t>1</w:t>
      </w:r>
      <w:r w:rsidRPr="008C12C7">
        <w:rPr>
          <w:color w:val="000000"/>
          <w:lang w:val="en-GB"/>
        </w:rPr>
        <w:t xml:space="preserve">, </w:t>
      </w:r>
      <w:r w:rsidRPr="008C12C7">
        <w:rPr>
          <w:lang w:val="en-GB"/>
        </w:rPr>
        <w:t xml:space="preserve">…………………………, </w:t>
      </w:r>
      <w:r w:rsidRPr="008C12C7">
        <w:rPr>
          <w:color w:val="000000"/>
          <w:lang w:val="en-GB"/>
        </w:rPr>
        <w:t>Stephen Burgess</w:t>
      </w:r>
      <w:r w:rsidRPr="008C12C7">
        <w:rPr>
          <w:color w:val="000000"/>
          <w:vertAlign w:val="superscript"/>
          <w:lang w:val="en-GB"/>
        </w:rPr>
        <w:t>1,2</w:t>
      </w:r>
      <w:r w:rsidRPr="008C12C7">
        <w:rPr>
          <w:color w:val="000000"/>
          <w:lang w:val="en-GB"/>
        </w:rPr>
        <w:t>, Dirk S. Paul</w:t>
      </w:r>
      <w:r w:rsidRPr="008C12C7">
        <w:rPr>
          <w:color w:val="000000"/>
          <w:vertAlign w:val="superscript"/>
          <w:lang w:val="en-GB"/>
        </w:rPr>
        <w:t>3</w:t>
      </w:r>
      <w:r w:rsidRPr="008C12C7">
        <w:rPr>
          <w:color w:val="000000"/>
          <w:lang w:val="en-GB"/>
        </w:rPr>
        <w:t>, Adam S. Butterworth</w:t>
      </w:r>
      <w:r w:rsidRPr="008C12C7">
        <w:rPr>
          <w:color w:val="000000"/>
          <w:vertAlign w:val="superscript"/>
          <w:lang w:val="en-GB"/>
        </w:rPr>
        <w:t>1,4</w:t>
      </w:r>
      <w:r w:rsidRPr="008C12C7">
        <w:rPr>
          <w:color w:val="000000"/>
          <w:lang w:val="en-GB"/>
        </w:rPr>
        <w:br/>
      </w:r>
      <w:r w:rsidRPr="008C12C7">
        <w:rPr>
          <w:color w:val="000000"/>
          <w:sz w:val="20"/>
          <w:szCs w:val="20"/>
          <w:vertAlign w:val="superscript"/>
          <w:lang w:val="en-GB"/>
        </w:rPr>
        <w:t>1</w:t>
      </w:r>
      <w:r w:rsidRPr="008C12C7">
        <w:rPr>
          <w:color w:val="000000"/>
          <w:sz w:val="20"/>
          <w:szCs w:val="20"/>
          <w:lang w:val="en-GB"/>
        </w:rPr>
        <w:t xml:space="preserve"> British Heart Foundation Cardiovascular Epidemiology Unit, Department of Public Health and Primary Care, University of Cambridge, Cambridge, UK</w:t>
      </w:r>
      <w:r w:rsidRPr="008C12C7">
        <w:rPr>
          <w:color w:val="000000"/>
          <w:lang w:val="en-GB"/>
        </w:rPr>
        <w:br/>
      </w:r>
      <w:r w:rsidRPr="008C12C7">
        <w:rPr>
          <w:color w:val="000000"/>
          <w:sz w:val="20"/>
          <w:szCs w:val="20"/>
          <w:vertAlign w:val="superscript"/>
          <w:lang w:val="en-GB"/>
        </w:rPr>
        <w:t>2</w:t>
      </w:r>
      <w:r w:rsidRPr="008C12C7">
        <w:rPr>
          <w:color w:val="000000"/>
          <w:sz w:val="20"/>
          <w:szCs w:val="20"/>
          <w:lang w:val="en-GB"/>
        </w:rPr>
        <w:t xml:space="preserve"> MRC Biostatistics Unit, University of Cambridge, Cambridge, UK</w:t>
      </w:r>
      <w:r w:rsidRPr="008C12C7">
        <w:rPr>
          <w:color w:val="000000"/>
          <w:lang w:val="en-GB"/>
        </w:rPr>
        <w:br/>
      </w:r>
      <w:r w:rsidRPr="008C12C7">
        <w:rPr>
          <w:color w:val="000000"/>
          <w:sz w:val="20"/>
          <w:szCs w:val="20"/>
          <w:vertAlign w:val="superscript"/>
          <w:lang w:val="en-GB"/>
        </w:rPr>
        <w:t>3</w:t>
      </w:r>
      <w:r w:rsidRPr="008C12C7">
        <w:rPr>
          <w:color w:val="000000"/>
          <w:sz w:val="20"/>
          <w:szCs w:val="20"/>
          <w:lang w:val="en-GB"/>
        </w:rPr>
        <w:t xml:space="preserve"> Centre for Genomics Research, Discovery Sciences, </w:t>
      </w:r>
      <w:proofErr w:type="spellStart"/>
      <w:r w:rsidRPr="008C12C7">
        <w:rPr>
          <w:color w:val="000000"/>
          <w:sz w:val="20"/>
          <w:szCs w:val="20"/>
          <w:lang w:val="en-GB"/>
        </w:rPr>
        <w:t>BioPharmaceuticals</w:t>
      </w:r>
      <w:proofErr w:type="spellEnd"/>
      <w:r w:rsidRPr="008C12C7">
        <w:rPr>
          <w:color w:val="000000"/>
          <w:sz w:val="20"/>
          <w:szCs w:val="20"/>
          <w:lang w:val="en-GB"/>
        </w:rPr>
        <w:t xml:space="preserve"> R&amp;D, AstraZeneca, Cambridge, UK</w:t>
      </w:r>
      <w:r w:rsidRPr="008C12C7">
        <w:rPr>
          <w:color w:val="000000"/>
          <w:lang w:val="en-GB"/>
        </w:rPr>
        <w:br/>
      </w:r>
      <w:r w:rsidRPr="008C12C7">
        <w:rPr>
          <w:color w:val="000000"/>
          <w:sz w:val="20"/>
          <w:szCs w:val="20"/>
          <w:vertAlign w:val="superscript"/>
          <w:lang w:val="en-GB"/>
        </w:rPr>
        <w:t>4</w:t>
      </w:r>
      <w:r w:rsidRPr="008C12C7">
        <w:rPr>
          <w:color w:val="000000"/>
          <w:sz w:val="20"/>
          <w:szCs w:val="20"/>
          <w:lang w:val="en-GB"/>
        </w:rPr>
        <w:t xml:space="preserve"> BHF Centre of Research Excellence, University of Cambridge, Cambridge, UK</w:t>
      </w:r>
    </w:p>
    <w:p w14:paraId="659D1B1C" w14:textId="77777777" w:rsidR="006D380D" w:rsidRPr="008C12C7" w:rsidRDefault="00000000">
      <w:pPr>
        <w:rPr>
          <w:lang w:val="en-GB"/>
        </w:rPr>
      </w:pPr>
      <w:r w:rsidRPr="008C12C7">
        <w:rPr>
          <w:lang w:val="en-GB"/>
        </w:rPr>
        <w:br w:type="page"/>
      </w:r>
    </w:p>
    <w:p w14:paraId="5725F0F7" w14:textId="56A793CC" w:rsidR="006D380D" w:rsidRPr="008C12C7" w:rsidRDefault="00000000" w:rsidP="0014364A">
      <w:pPr>
        <w:pStyle w:val="Heading1"/>
        <w:rPr>
          <w:lang w:val="en-GB"/>
        </w:rPr>
      </w:pPr>
      <w:bookmarkStart w:id="0" w:name="gbl2aeagc5w2" w:colFirst="0" w:colLast="0"/>
      <w:bookmarkStart w:id="1" w:name="_mb6hwljvx8z9" w:colFirst="0" w:colLast="0"/>
      <w:bookmarkEnd w:id="0"/>
      <w:bookmarkEnd w:id="1"/>
      <w:r w:rsidRPr="008C12C7">
        <w:rPr>
          <w:lang w:val="en-GB"/>
        </w:rPr>
        <w:lastRenderedPageBreak/>
        <w:t>1. Abstract</w:t>
      </w:r>
    </w:p>
    <w:p w14:paraId="659A0DDE" w14:textId="77777777" w:rsidR="006D380D" w:rsidRPr="008C12C7" w:rsidRDefault="006D380D" w:rsidP="0014364A">
      <w:pPr>
        <w:rPr>
          <w:lang w:val="en-GB"/>
        </w:rPr>
      </w:pPr>
    </w:p>
    <w:p w14:paraId="6212EB31" w14:textId="77777777" w:rsidR="006D380D" w:rsidRPr="008C12C7" w:rsidRDefault="00000000" w:rsidP="00436FB7">
      <w:pPr>
        <w:pStyle w:val="Normalnoindent"/>
      </w:pPr>
      <w:bookmarkStart w:id="2" w:name="_Hlk238402564"/>
      <w:r w:rsidRPr="008C12C7">
        <w:t>Background and Aims</w:t>
      </w:r>
    </w:p>
    <w:p w14:paraId="7AAB8771" w14:textId="433EB0D7" w:rsidR="00D24ED7" w:rsidRDefault="009116F7" w:rsidP="00596DEC">
      <w:pPr>
        <w:pStyle w:val="NormalWeb"/>
        <w:spacing w:before="0" w:beforeAutospacing="0" w:after="0" w:afterAutospacing="0"/>
        <w:jc w:val="both"/>
        <w:rPr>
          <w:color w:val="000000"/>
          <w:sz w:val="22"/>
          <w:szCs w:val="22"/>
        </w:rPr>
      </w:pPr>
      <w:bookmarkStart w:id="3" w:name="_Hlk238394662"/>
      <w:bookmarkStart w:id="4" w:name="_Hlk238394777"/>
      <w:r w:rsidRPr="008C12C7">
        <w:rPr>
          <w:color w:val="000000"/>
          <w:sz w:val="22"/>
          <w:szCs w:val="22"/>
        </w:rPr>
        <w:t xml:space="preserve">Preclinical studies implicate NLRP3 inflammasome activation, which drives release of interleukin-1β and interleukin-18, in vascular inflammation and atherosclerosis, and selective NLRP3 inhibitors are now in clinical development. </w:t>
      </w:r>
      <w:bookmarkStart w:id="5" w:name="_Hlk238394599"/>
      <w:r w:rsidRPr="008C12C7">
        <w:rPr>
          <w:color w:val="000000"/>
          <w:sz w:val="22"/>
          <w:szCs w:val="22"/>
        </w:rPr>
        <w:t>However, whether lowering NLRP3 activity reduces coronary artery disease (CAD) risk in humans is unknown. We used human genetics to estimate this effect and</w:t>
      </w:r>
      <w:bookmarkEnd w:id="3"/>
      <w:bookmarkEnd w:id="4"/>
      <w:bookmarkEnd w:id="5"/>
      <w:r w:rsidR="0076067F" w:rsidRPr="008C12C7">
        <w:rPr>
          <w:color w:val="000000"/>
          <w:sz w:val="22"/>
          <w:szCs w:val="22"/>
        </w:rPr>
        <w:t xml:space="preserve"> the pathways mediating it.</w:t>
      </w:r>
    </w:p>
    <w:p w14:paraId="25D07A3F" w14:textId="77777777" w:rsidR="00436FB7" w:rsidRPr="008C12C7" w:rsidRDefault="00436FB7" w:rsidP="00596DEC">
      <w:pPr>
        <w:pStyle w:val="NormalWeb"/>
        <w:spacing w:before="0" w:beforeAutospacing="0" w:after="0" w:afterAutospacing="0"/>
        <w:jc w:val="both"/>
        <w:rPr>
          <w:color w:val="000000"/>
          <w:sz w:val="22"/>
          <w:szCs w:val="22"/>
        </w:rPr>
      </w:pPr>
    </w:p>
    <w:bookmarkEnd w:id="2"/>
    <w:p w14:paraId="54527E5E" w14:textId="77777777" w:rsidR="006D380D" w:rsidRPr="008C12C7" w:rsidRDefault="00000000" w:rsidP="00436FB7">
      <w:pPr>
        <w:pStyle w:val="Normalnoindent"/>
      </w:pPr>
      <w:r w:rsidRPr="008C12C7">
        <w:t>Methods</w:t>
      </w:r>
    </w:p>
    <w:p w14:paraId="1411FC20" w14:textId="69442403" w:rsidR="006D380D" w:rsidRDefault="00FB56D5" w:rsidP="00596DEC">
      <w:pPr>
        <w:pStyle w:val="NormalWeb"/>
        <w:spacing w:before="0" w:beforeAutospacing="0" w:after="0" w:afterAutospacing="0"/>
        <w:jc w:val="both"/>
        <w:rPr>
          <w:color w:val="000000"/>
          <w:sz w:val="22"/>
          <w:szCs w:val="22"/>
        </w:rPr>
      </w:pPr>
      <w:bookmarkStart w:id="6" w:name="_Hlk238404291"/>
      <w:r w:rsidRPr="008C12C7">
        <w:rPr>
          <w:color w:val="000000"/>
          <w:sz w:val="22"/>
          <w:szCs w:val="22"/>
        </w:rPr>
        <w:t xml:space="preserve">A genetic NLRP3 activity score was derived by combining the effects of eight variants at the </w:t>
      </w:r>
      <w:r w:rsidRPr="008C12C7">
        <w:rPr>
          <w:i/>
          <w:iCs/>
          <w:color w:val="000000"/>
          <w:sz w:val="22"/>
          <w:szCs w:val="22"/>
        </w:rPr>
        <w:t>NLRP3</w:t>
      </w:r>
      <w:r w:rsidRPr="008C12C7">
        <w:rPr>
          <w:color w:val="000000"/>
          <w:sz w:val="22"/>
          <w:szCs w:val="22"/>
        </w:rPr>
        <w:t xml:space="preserve"> locus on </w:t>
      </w:r>
      <w:r w:rsidRPr="008C12C7">
        <w:rPr>
          <w:i/>
          <w:iCs/>
          <w:color w:val="000000"/>
          <w:sz w:val="22"/>
          <w:szCs w:val="22"/>
        </w:rPr>
        <w:t>NLRP3</w:t>
      </w:r>
      <w:r w:rsidRPr="008C12C7">
        <w:rPr>
          <w:color w:val="000000"/>
          <w:sz w:val="22"/>
          <w:szCs w:val="22"/>
        </w:rPr>
        <w:t xml:space="preserve"> expression and three inflammatory biomarkers: C-reactive protein, glycoprotein acetylation (</w:t>
      </w:r>
      <w:proofErr w:type="spellStart"/>
      <w:r w:rsidRPr="008C12C7">
        <w:rPr>
          <w:color w:val="000000"/>
          <w:sz w:val="22"/>
          <w:szCs w:val="22"/>
        </w:rPr>
        <w:t>GlycA</w:t>
      </w:r>
      <w:proofErr w:type="spellEnd"/>
      <w:r w:rsidRPr="008C12C7">
        <w:rPr>
          <w:color w:val="000000"/>
          <w:sz w:val="22"/>
          <w:szCs w:val="22"/>
        </w:rPr>
        <w:t xml:space="preserve">), and neutrophil count. The score was validated against circulating interleukin-1β and interleukin-18. Drug-target Mendelian randomization was used to estimate the effect of lower NLRP3 activity on CAD risk, cardiometabolic traits, </w:t>
      </w:r>
      <w:r w:rsidRPr="00185F2E">
        <w:rPr>
          <w:color w:val="000000"/>
          <w:sz w:val="22"/>
          <w:szCs w:val="22"/>
        </w:rPr>
        <w:t xml:space="preserve">and other </w:t>
      </w:r>
      <w:bookmarkStart w:id="7" w:name="_Hlk239241456"/>
      <w:r w:rsidRPr="00185F2E">
        <w:rPr>
          <w:color w:val="000000"/>
          <w:sz w:val="22"/>
          <w:szCs w:val="22"/>
        </w:rPr>
        <w:t>diseases for which NLRP3 inhibitors are in development</w:t>
      </w:r>
      <w:bookmarkEnd w:id="7"/>
      <w:r w:rsidRPr="008C12C7">
        <w:rPr>
          <w:color w:val="000000"/>
          <w:sz w:val="22"/>
          <w:szCs w:val="22"/>
        </w:rPr>
        <w:t xml:space="preserve">. Mediation by cardiometabolic risk factors was quantified using the product-of-coefficients method. </w:t>
      </w:r>
      <w:bookmarkEnd w:id="6"/>
    </w:p>
    <w:p w14:paraId="0539D976" w14:textId="77777777" w:rsidR="00436FB7" w:rsidRPr="00596DEC" w:rsidRDefault="00436FB7" w:rsidP="00596DEC">
      <w:pPr>
        <w:pStyle w:val="NormalWeb"/>
        <w:spacing w:before="0" w:beforeAutospacing="0" w:after="0" w:afterAutospacing="0"/>
        <w:jc w:val="both"/>
        <w:rPr>
          <w:color w:val="000000"/>
          <w:sz w:val="22"/>
          <w:szCs w:val="22"/>
        </w:rPr>
      </w:pPr>
    </w:p>
    <w:p w14:paraId="2110A4C3" w14:textId="168D8471" w:rsidR="00436FB7" w:rsidRPr="008C12C7" w:rsidRDefault="00000000" w:rsidP="00436FB7">
      <w:pPr>
        <w:pStyle w:val="Normalnoindent"/>
      </w:pPr>
      <w:r w:rsidRPr="008C12C7">
        <w:t>Results</w:t>
      </w:r>
    </w:p>
    <w:p w14:paraId="04E140C3" w14:textId="05DF4837" w:rsidR="006D380D" w:rsidRDefault="006E7DD4" w:rsidP="00596DEC">
      <w:pPr>
        <w:pStyle w:val="NormalWeb"/>
        <w:spacing w:before="0" w:beforeAutospacing="0" w:after="0" w:afterAutospacing="0"/>
        <w:jc w:val="both"/>
        <w:rPr>
          <w:sz w:val="22"/>
          <w:szCs w:val="22"/>
        </w:rPr>
      </w:pPr>
      <w:r w:rsidRPr="008C12C7">
        <w:rPr>
          <w:sz w:val="22"/>
          <w:szCs w:val="22"/>
        </w:rPr>
        <w:t>A lower genetically proxied NLRP3 activity score was associated with lower circulating interleukin-1β and interleukin-18, but with higher CAD risk (OR</w:t>
      </w:r>
      <w:r w:rsidR="005F54D2">
        <w:rPr>
          <w:sz w:val="22"/>
          <w:szCs w:val="22"/>
        </w:rPr>
        <w:t xml:space="preserve"> </w:t>
      </w:r>
      <w:r w:rsidRPr="008C12C7">
        <w:rPr>
          <w:sz w:val="22"/>
          <w:szCs w:val="22"/>
        </w:rPr>
        <w:t>=</w:t>
      </w:r>
      <w:r w:rsidR="005F54D2">
        <w:rPr>
          <w:sz w:val="22"/>
          <w:szCs w:val="22"/>
        </w:rPr>
        <w:t xml:space="preserve"> </w:t>
      </w:r>
      <w:r w:rsidRPr="008C12C7">
        <w:rPr>
          <w:sz w:val="22"/>
          <w:szCs w:val="22"/>
        </w:rPr>
        <w:t>1.2</w:t>
      </w:r>
      <w:r w:rsidR="009C1D19" w:rsidRPr="008C12C7">
        <w:rPr>
          <w:sz w:val="22"/>
          <w:szCs w:val="22"/>
        </w:rPr>
        <w:t>1</w:t>
      </w:r>
      <w:r w:rsidRPr="008C12C7">
        <w:rPr>
          <w:sz w:val="22"/>
          <w:szCs w:val="22"/>
        </w:rPr>
        <w:t>, 95% CI 1.0</w:t>
      </w:r>
      <w:r w:rsidR="009C1D19" w:rsidRPr="008C12C7">
        <w:rPr>
          <w:sz w:val="22"/>
          <w:szCs w:val="22"/>
        </w:rPr>
        <w:t>2</w:t>
      </w:r>
      <w:r w:rsidRPr="008C12C7">
        <w:rPr>
          <w:sz w:val="22"/>
          <w:szCs w:val="22"/>
        </w:rPr>
        <w:t>–1.4</w:t>
      </w:r>
      <w:r w:rsidR="009C1D19" w:rsidRPr="008C12C7">
        <w:rPr>
          <w:sz w:val="22"/>
          <w:szCs w:val="22"/>
        </w:rPr>
        <w:t>5</w:t>
      </w:r>
      <w:r w:rsidRPr="008C12C7">
        <w:rPr>
          <w:sz w:val="22"/>
          <w:szCs w:val="22"/>
        </w:rPr>
        <w:t xml:space="preserve">, </w:t>
      </w:r>
      <w:r w:rsidRPr="005F54D2">
        <w:rPr>
          <w:i/>
          <w:iCs/>
          <w:sz w:val="22"/>
          <w:szCs w:val="22"/>
        </w:rPr>
        <w:t>P</w:t>
      </w:r>
      <w:r w:rsidR="005F54D2">
        <w:rPr>
          <w:sz w:val="22"/>
          <w:szCs w:val="22"/>
        </w:rPr>
        <w:t xml:space="preserve"> </w:t>
      </w:r>
      <w:r w:rsidRPr="008C12C7">
        <w:rPr>
          <w:sz w:val="22"/>
          <w:szCs w:val="22"/>
        </w:rPr>
        <w:t>=</w:t>
      </w:r>
      <w:r w:rsidR="005F54D2">
        <w:rPr>
          <w:sz w:val="22"/>
          <w:szCs w:val="22"/>
        </w:rPr>
        <w:t xml:space="preserve"> </w:t>
      </w:r>
      <w:r w:rsidRPr="008C12C7">
        <w:rPr>
          <w:sz w:val="22"/>
          <w:szCs w:val="22"/>
        </w:rPr>
        <w:t>0.0</w:t>
      </w:r>
      <w:r w:rsidR="009C1D19" w:rsidRPr="008C12C7">
        <w:rPr>
          <w:sz w:val="22"/>
          <w:szCs w:val="22"/>
        </w:rPr>
        <w:t>32</w:t>
      </w:r>
      <w:r w:rsidRPr="008C12C7">
        <w:rPr>
          <w:sz w:val="22"/>
          <w:szCs w:val="22"/>
        </w:rPr>
        <w:t xml:space="preserve">). It was also associated with higher systolic blood pressure, apolipoprotein B levels, and type 2 diabetes risk, which together mediated an estimated </w:t>
      </w:r>
      <w:r w:rsidR="00EC111C">
        <w:rPr>
          <w:sz w:val="22"/>
          <w:szCs w:val="22"/>
        </w:rPr>
        <w:t>87</w:t>
      </w:r>
      <w:r w:rsidRPr="008C12C7">
        <w:rPr>
          <w:sz w:val="22"/>
          <w:szCs w:val="22"/>
        </w:rPr>
        <w:t>% of the association with CAD. The residual direct association with CAD was attenuated (</w:t>
      </w:r>
      <w:r w:rsidR="00EC111C" w:rsidRPr="00EC111C">
        <w:rPr>
          <w:sz w:val="22"/>
          <w:szCs w:val="22"/>
        </w:rPr>
        <w:t>OR</w:t>
      </w:r>
      <w:r w:rsidR="003C0518">
        <w:rPr>
          <w:sz w:val="22"/>
          <w:szCs w:val="22"/>
        </w:rPr>
        <w:t xml:space="preserve"> </w:t>
      </w:r>
      <w:r w:rsidR="00EC111C" w:rsidRPr="00EC111C">
        <w:rPr>
          <w:sz w:val="22"/>
          <w:szCs w:val="22"/>
        </w:rPr>
        <w:t>=</w:t>
      </w:r>
      <w:r w:rsidR="003C0518">
        <w:rPr>
          <w:sz w:val="22"/>
          <w:szCs w:val="22"/>
        </w:rPr>
        <w:t xml:space="preserve"> </w:t>
      </w:r>
      <w:r w:rsidR="00EC111C" w:rsidRPr="00EC111C">
        <w:rPr>
          <w:sz w:val="22"/>
          <w:szCs w:val="22"/>
        </w:rPr>
        <w:t>1.03, 95% CI 0.8</w:t>
      </w:r>
      <w:r w:rsidR="00AB378E">
        <w:rPr>
          <w:sz w:val="22"/>
          <w:szCs w:val="22"/>
        </w:rPr>
        <w:t>5</w:t>
      </w:r>
      <w:r w:rsidR="00EC111C" w:rsidRPr="00EC111C">
        <w:rPr>
          <w:sz w:val="22"/>
          <w:szCs w:val="22"/>
        </w:rPr>
        <w:t>–1.</w:t>
      </w:r>
      <w:r w:rsidR="00AB378E">
        <w:rPr>
          <w:sz w:val="22"/>
          <w:szCs w:val="22"/>
        </w:rPr>
        <w:t>24</w:t>
      </w:r>
      <w:r w:rsidR="00EC111C" w:rsidRPr="00EC111C">
        <w:rPr>
          <w:sz w:val="22"/>
          <w:szCs w:val="22"/>
        </w:rPr>
        <w:t xml:space="preserve">, </w:t>
      </w:r>
      <w:r w:rsidR="00EC111C" w:rsidRPr="003C0518">
        <w:rPr>
          <w:i/>
          <w:iCs/>
          <w:sz w:val="22"/>
          <w:szCs w:val="22"/>
        </w:rPr>
        <w:t>P</w:t>
      </w:r>
      <w:r w:rsidR="003C0518">
        <w:rPr>
          <w:sz w:val="22"/>
          <w:szCs w:val="22"/>
        </w:rPr>
        <w:t xml:space="preserve"> </w:t>
      </w:r>
      <w:r w:rsidR="00EC111C" w:rsidRPr="00EC111C">
        <w:rPr>
          <w:sz w:val="22"/>
          <w:szCs w:val="22"/>
        </w:rPr>
        <w:t>=</w:t>
      </w:r>
      <w:r w:rsidR="003C0518">
        <w:rPr>
          <w:sz w:val="22"/>
          <w:szCs w:val="22"/>
        </w:rPr>
        <w:t xml:space="preserve"> </w:t>
      </w:r>
      <w:r w:rsidR="00EC111C" w:rsidRPr="00EC111C">
        <w:rPr>
          <w:sz w:val="22"/>
          <w:szCs w:val="22"/>
        </w:rPr>
        <w:t>0.7</w:t>
      </w:r>
      <w:r w:rsidR="00AB378E">
        <w:rPr>
          <w:sz w:val="22"/>
          <w:szCs w:val="22"/>
        </w:rPr>
        <w:t>9</w:t>
      </w:r>
      <w:r w:rsidR="00825D2D">
        <w:rPr>
          <w:sz w:val="22"/>
          <w:szCs w:val="22"/>
        </w:rPr>
        <w:t>)</w:t>
      </w:r>
      <w:r w:rsidR="005727B8" w:rsidRPr="008C12C7">
        <w:rPr>
          <w:sz w:val="22"/>
          <w:szCs w:val="22"/>
        </w:rPr>
        <w:t>.</w:t>
      </w:r>
      <w:r w:rsidRPr="008C12C7">
        <w:rPr>
          <w:sz w:val="22"/>
          <w:szCs w:val="22"/>
        </w:rPr>
        <w:t xml:space="preserve"> In contrast, a lower score was </w:t>
      </w:r>
      <w:r w:rsidR="00C05C66">
        <w:rPr>
          <w:sz w:val="22"/>
          <w:szCs w:val="22"/>
        </w:rPr>
        <w:t xml:space="preserve">nominally </w:t>
      </w:r>
      <w:r w:rsidRPr="008C12C7">
        <w:rPr>
          <w:sz w:val="22"/>
          <w:szCs w:val="22"/>
        </w:rPr>
        <w:t xml:space="preserve">associated with lower risk of gout, </w:t>
      </w:r>
      <w:r w:rsidR="00B50FA7">
        <w:rPr>
          <w:sz w:val="22"/>
          <w:szCs w:val="22"/>
        </w:rPr>
        <w:t>pericarditis</w:t>
      </w:r>
      <w:r w:rsidRPr="008C12C7">
        <w:rPr>
          <w:sz w:val="22"/>
          <w:szCs w:val="22"/>
        </w:rPr>
        <w:t>, and</w:t>
      </w:r>
      <w:r w:rsidR="00C05C66">
        <w:rPr>
          <w:sz w:val="22"/>
          <w:szCs w:val="22"/>
        </w:rPr>
        <w:t xml:space="preserve"> </w:t>
      </w:r>
      <w:r w:rsidR="00C05C66" w:rsidRPr="00C05C66">
        <w:rPr>
          <w:sz w:val="22"/>
          <w:szCs w:val="22"/>
        </w:rPr>
        <w:t>Parkinson’s</w:t>
      </w:r>
      <w:r w:rsidRPr="008C12C7">
        <w:rPr>
          <w:sz w:val="22"/>
          <w:szCs w:val="22"/>
        </w:rPr>
        <w:t xml:space="preserve"> disease.</w:t>
      </w:r>
    </w:p>
    <w:p w14:paraId="2FA8ED1F" w14:textId="77777777" w:rsidR="00436FB7" w:rsidRPr="00596DEC" w:rsidRDefault="00436FB7" w:rsidP="00596DEC">
      <w:pPr>
        <w:pStyle w:val="NormalWeb"/>
        <w:spacing w:before="0" w:beforeAutospacing="0" w:after="0" w:afterAutospacing="0"/>
        <w:jc w:val="both"/>
        <w:rPr>
          <w:sz w:val="22"/>
          <w:szCs w:val="22"/>
        </w:rPr>
      </w:pPr>
    </w:p>
    <w:p w14:paraId="507E25F2" w14:textId="77777777" w:rsidR="006D380D" w:rsidRPr="008C12C7" w:rsidRDefault="00000000" w:rsidP="00436FB7">
      <w:pPr>
        <w:pStyle w:val="Normalnoindent"/>
      </w:pPr>
      <w:r w:rsidRPr="008C12C7">
        <w:t>Conclusions</w:t>
      </w:r>
    </w:p>
    <w:p w14:paraId="30D040F2" w14:textId="5F3E30D1" w:rsidR="006D380D" w:rsidRPr="008F4134" w:rsidRDefault="00592557" w:rsidP="008F4134">
      <w:pPr>
        <w:pBdr>
          <w:top w:val="nil"/>
          <w:left w:val="nil"/>
          <w:bottom w:val="nil"/>
          <w:right w:val="nil"/>
          <w:between w:val="nil"/>
        </w:pBdr>
        <w:rPr>
          <w:lang w:val="en-GB"/>
        </w:rPr>
      </w:pPr>
      <w:r w:rsidRPr="008C12C7">
        <w:rPr>
          <w:lang w:val="en-GB"/>
        </w:rPr>
        <w:t xml:space="preserve">Genetically proxied lower NLRP3 activity was associated with higher CAD risk, largely mediated by adverse cardiometabolic effects, with no evidence of a residual protective effect. </w:t>
      </w:r>
      <w:r w:rsidR="00E0686A" w:rsidRPr="00E0686A">
        <w:rPr>
          <w:lang w:val="en-GB"/>
        </w:rPr>
        <w:t>These findings reflect lifelong genetic variation and should not be interpreted as equivalent to shorter-term pharmacological inhibition.</w:t>
      </w:r>
      <w:r w:rsidR="00000000" w:rsidRPr="008C12C7">
        <w:rPr>
          <w:lang w:val="en-GB"/>
        </w:rPr>
        <w:br w:type="page"/>
      </w:r>
    </w:p>
    <w:p w14:paraId="456C8A3E" w14:textId="77777777" w:rsidR="006D380D" w:rsidRPr="008C12C7" w:rsidRDefault="00000000">
      <w:pPr>
        <w:pStyle w:val="Heading1"/>
        <w:rPr>
          <w:lang w:val="en-GB"/>
        </w:rPr>
      </w:pPr>
      <w:bookmarkStart w:id="8" w:name="klkvg2gkl23r" w:colFirst="0" w:colLast="0"/>
      <w:bookmarkStart w:id="9" w:name="_rn3l10gkkkla" w:colFirst="0" w:colLast="0"/>
      <w:bookmarkEnd w:id="8"/>
      <w:bookmarkEnd w:id="9"/>
      <w:r w:rsidRPr="008C12C7">
        <w:rPr>
          <w:lang w:val="en-GB"/>
        </w:rPr>
        <w:lastRenderedPageBreak/>
        <w:t>2. Introduction</w:t>
      </w:r>
    </w:p>
    <w:p w14:paraId="4BF802AF" w14:textId="77777777" w:rsidR="00DD0BC7" w:rsidRPr="008C12C7" w:rsidRDefault="00DD0BC7">
      <w:pPr>
        <w:pBdr>
          <w:top w:val="nil"/>
          <w:left w:val="nil"/>
          <w:bottom w:val="nil"/>
          <w:right w:val="nil"/>
          <w:between w:val="nil"/>
        </w:pBdr>
        <w:rPr>
          <w:lang w:val="en-GB"/>
        </w:rPr>
      </w:pPr>
    </w:p>
    <w:p w14:paraId="6A790D85" w14:textId="51FFCACF" w:rsidR="002018B1" w:rsidRDefault="00DC77B7" w:rsidP="002018B1">
      <w:pPr>
        <w:rPr>
          <w:lang w:val="en-GB"/>
        </w:rPr>
      </w:pPr>
      <w:bookmarkStart w:id="10" w:name="_Hlk238494342"/>
      <w:bookmarkStart w:id="11" w:name="_Hlk240970403"/>
      <w:r w:rsidRPr="008C12C7">
        <w:rPr>
          <w:lang w:val="en-GB"/>
        </w:rPr>
        <w:t xml:space="preserve">Despite optimal management of established cardiovascular risk factors, including </w:t>
      </w:r>
      <w:r w:rsidR="0039702D" w:rsidRPr="008C12C7">
        <w:rPr>
          <w:color w:val="000000"/>
          <w:lang w:val="en-GB"/>
        </w:rPr>
        <w:t>low-density lipoprotein cholesterol</w:t>
      </w:r>
      <w:r w:rsidR="00656369" w:rsidRPr="008C12C7">
        <w:rPr>
          <w:color w:val="000000"/>
          <w:lang w:val="en-GB"/>
        </w:rPr>
        <w:t xml:space="preserve"> </w:t>
      </w:r>
      <w:r w:rsidR="0039702D" w:rsidRPr="008C12C7">
        <w:rPr>
          <w:color w:val="000000"/>
          <w:lang w:val="en-GB"/>
        </w:rPr>
        <w:t>(LDL-C)</w:t>
      </w:r>
      <w:r w:rsidR="00C63C0A" w:rsidRPr="008C12C7">
        <w:rPr>
          <w:lang w:val="en-GB"/>
        </w:rPr>
        <w:t xml:space="preserve"> and </w:t>
      </w:r>
      <w:r w:rsidRPr="008C12C7">
        <w:rPr>
          <w:lang w:val="en-GB"/>
        </w:rPr>
        <w:t>blood pressure</w:t>
      </w:r>
      <w:r w:rsidR="00C63C0A" w:rsidRPr="008C12C7">
        <w:rPr>
          <w:lang w:val="en-GB"/>
        </w:rPr>
        <w:t>,</w:t>
      </w:r>
      <w:r w:rsidRPr="008C12C7">
        <w:rPr>
          <w:lang w:val="en-GB"/>
        </w:rPr>
        <w:t xml:space="preserve"> patients with established </w:t>
      </w:r>
      <w:r w:rsidR="0039702D" w:rsidRPr="008C12C7">
        <w:rPr>
          <w:lang w:val="en-GB"/>
        </w:rPr>
        <w:t>coronary artery disease (</w:t>
      </w:r>
      <w:r w:rsidRPr="008C12C7">
        <w:rPr>
          <w:lang w:val="en-GB"/>
        </w:rPr>
        <w:t>CAD</w:t>
      </w:r>
      <w:r w:rsidR="0039702D" w:rsidRPr="008C12C7">
        <w:rPr>
          <w:lang w:val="en-GB"/>
        </w:rPr>
        <w:t xml:space="preserve">) </w:t>
      </w:r>
      <w:r w:rsidRPr="008C12C7">
        <w:rPr>
          <w:lang w:val="en-GB"/>
        </w:rPr>
        <w:t xml:space="preserve">remain at considerable risk of recurrent cardiovascular events. Persistent vascular inflammation, reflected by elevated high-sensitivity C-reactive protein levels, is recognised as a major contributor to this </w:t>
      </w:r>
      <w:bookmarkStart w:id="12" w:name="_Hlk238567829"/>
      <w:r w:rsidRPr="008C12C7">
        <w:rPr>
          <w:lang w:val="en-GB"/>
        </w:rPr>
        <w:t xml:space="preserve">residual cardiovascular </w:t>
      </w:r>
      <w:bookmarkEnd w:id="12"/>
      <w:r w:rsidRPr="008C12C7">
        <w:rPr>
          <w:lang w:val="en-GB"/>
        </w:rPr>
        <w:t>risk</w:t>
      </w:r>
      <w:r w:rsidR="00656369" w:rsidRPr="008C12C7">
        <w:rPr>
          <w:lang w:val="en-GB"/>
        </w:rPr>
        <w:fldChar w:fldCharType="begin"/>
      </w:r>
      <w:r w:rsidR="009A56E4" w:rsidRPr="008C12C7">
        <w:rPr>
          <w:lang w:val="en-GB"/>
        </w:rPr>
        <w:instrText xml:space="preserve"> ADDIN ZOTERO_ITEM CSL_CITATION {"citationID":"TSuqoKM0","properties":{"unsorted":false,"formattedCitation":"\\super 1\\nosupersub{}","plainCitation":"1","noteIndex":0},"citationItems":[{"id":356,"uris":["http://zotero.org/users/12564564/items/FI8MVQTS"],"itemData":{"id":356,"type":"article-journal","abstract":"Life-threatening cardiovascular events occur despite control of conventional risk factors. Inflammation, as measured by high-sensitivity C-reactive protein (hsCRP) concentration, is associated with future vascular events in both primary and secondary prevention, independent of usual risk markers. Statins are powerful lipid-lowering agents with clinically relevant anti-inflammatory effects. Recent data support targeting the interleukin (IL)-1-to-IL-6-to-CRP signaling pathway as an adjunctive method for atheroprotection. The CANTOS (Canakinumab Anti-inflammatory Thrombosis Outcomes Study) trial showed that reducing inflammation through IL-1β inhibition significantly reduced vascular risk, beyond that achievable with lipid lowering. CANTOS further demonstrated a 31% reduction in cardiovascular mortality and all-cause mortality among patients treated with canakinumab who achieved the largest reductions in hsCRP, as well as efficacy in high-risk patients with chronic kidney disease and diabetes. This review outlines the clinical implications of CANTOS for patients with “residual inflammatory risk,” the potential benefits and risks associated with anti-inflammatory therapy, and the importance of CANTOS for future drug development.","container-title":"Journal of the American College of Cardiology","DOI":"10.1016/j.jacc.2018.06.082","ISSN":"0735-1097","issue":"25","journalAbbreviation":"Journal of the American College of Cardiology","page":"3320-3331","source":"ScienceDirect","title":"Clinician’s Guide to Reducing Inflammation to Reduce Atherothrombotic Risk: JACC Review Topic of the Week","title-short":"Clinician’s Guide to Reducing Inflammation to Reduce Atherothrombotic Risk","volume":"72","author":[{"family":"Ridker","given":"Paul M"}],"issued":{"date-parts":[["2018",12,25]]}}}],"schema":"https://github.com/citation-style-language/schema/raw/master/csl-citation.json"} </w:instrText>
      </w:r>
      <w:r w:rsidR="00656369" w:rsidRPr="008C12C7">
        <w:rPr>
          <w:lang w:val="en-GB"/>
        </w:rPr>
        <w:fldChar w:fldCharType="separate"/>
      </w:r>
      <w:r w:rsidR="00C740B9" w:rsidRPr="00C740B9">
        <w:rPr>
          <w:szCs w:val="24"/>
          <w:vertAlign w:val="superscript"/>
          <w:lang w:val="en-GB"/>
        </w:rPr>
        <w:t>1</w:t>
      </w:r>
      <w:r w:rsidR="00656369" w:rsidRPr="008C12C7">
        <w:rPr>
          <w:lang w:val="en-GB"/>
        </w:rPr>
        <w:fldChar w:fldCharType="end"/>
      </w:r>
      <w:r w:rsidRPr="008C12C7">
        <w:rPr>
          <w:color w:val="000000"/>
          <w:lang w:val="en-GB"/>
        </w:rPr>
        <w:t xml:space="preserve">. The </w:t>
      </w:r>
      <w:r w:rsidR="006864C9" w:rsidRPr="008C12C7">
        <w:rPr>
          <w:color w:val="000000"/>
          <w:lang w:val="en-GB"/>
        </w:rPr>
        <w:t>CANTOS trial</w:t>
      </w:r>
      <w:r w:rsidRPr="008C12C7">
        <w:rPr>
          <w:color w:val="000000"/>
          <w:lang w:val="en-GB"/>
        </w:rPr>
        <w:t xml:space="preserve"> provided clinical proof-of-concept that selective inhibition of interleukin-1β (</w:t>
      </w:r>
      <w:bookmarkStart w:id="13" w:name="_Hlk238494306"/>
      <w:r w:rsidRPr="008C12C7">
        <w:rPr>
          <w:color w:val="000000"/>
          <w:lang w:val="en-GB"/>
        </w:rPr>
        <w:t>IL</w:t>
      </w:r>
      <w:r w:rsidR="00000462" w:rsidRPr="008C12C7">
        <w:rPr>
          <w:color w:val="000000"/>
          <w:lang w:val="en-GB"/>
        </w:rPr>
        <w:t>-</w:t>
      </w:r>
      <w:r w:rsidRPr="008C12C7">
        <w:rPr>
          <w:color w:val="000000"/>
          <w:lang w:val="en-GB"/>
        </w:rPr>
        <w:t>1β</w:t>
      </w:r>
      <w:bookmarkEnd w:id="13"/>
      <w:r w:rsidRPr="008C12C7">
        <w:rPr>
          <w:color w:val="000000"/>
          <w:lang w:val="en-GB"/>
        </w:rPr>
        <w:t xml:space="preserve">), a pro-inflammatory cytokine, reduces recurrent cardiovascular events </w:t>
      </w:r>
      <w:r w:rsidR="006025B8" w:rsidRPr="008C12C7">
        <w:rPr>
          <w:color w:val="000000"/>
          <w:lang w:val="en-GB"/>
        </w:rPr>
        <w:t xml:space="preserve">independently of lipid </w:t>
      </w:r>
      <w:r w:rsidRPr="008C12C7">
        <w:rPr>
          <w:color w:val="000000"/>
          <w:lang w:val="en-GB"/>
        </w:rPr>
        <w:t>lowerin</w:t>
      </w:r>
      <w:r w:rsidR="001F4904" w:rsidRPr="008C12C7">
        <w:rPr>
          <w:color w:val="000000"/>
          <w:lang w:val="en-GB"/>
        </w:rPr>
        <w:t>g</w:t>
      </w:r>
      <w:r w:rsidR="001F4904" w:rsidRPr="008C12C7">
        <w:rPr>
          <w:color w:val="000000"/>
          <w:lang w:val="en-GB"/>
        </w:rPr>
        <w:fldChar w:fldCharType="begin"/>
      </w:r>
      <w:r w:rsidR="001F4904" w:rsidRPr="008C12C7">
        <w:rPr>
          <w:color w:val="000000"/>
          <w:lang w:val="en-GB"/>
        </w:rPr>
        <w:instrText xml:space="preserve"> ADDIN ZOTERO_ITEM CSL_CITATION {"citationID":"t0BH12Jl","properties":{"unsorted":false,"formattedCitation":"\\super 2\\nosupersub{}","plainCitation":"2","noteIndex":0},"citationItems":[{"id":481,"uris":["http://zotero.org/users/12564564/items/VB35AAIX"],"itemData":{"id":481,"type":"article-journal","abstract":"Patients with myocardial infarction and a high-sensitivity CRP level of 2 mg or more per liter were assigned to one of three canakinumab doses or placebo. The 150-mg dose, but not the 50-mg or 300-mg dose, led to a lower incidence of recurrent cardiovascular events.","container-title":"New England Journal of Medicine","DOI":"10.1056/NEJMoa1707914","ISSN":"0028-4793","issue":"12","note":"publisher: Massachusetts Medical Society\n_eprint: https://www.nejm.org/doi/pdf/10.1056/NEJMoa1707914","page":"1119-1131","source":"Taylor and Francis+NEJM","title":"Antiinflammatory Therapy with Canakinumab for Atherosclerotic Disease","volume":"377","author":[{"family":"Ridker","given":"Paul M."},{"family":"Everett","given":"Brendan M."},{"family":"Thuren","given":"Tom"},{"family":"MacFadyen","given":"Jean G."},{"family":"Chang","given":"William H."},{"family":"Ballantyne","given":"Christie"},{"family":"Fonseca","given":"Francisco"},{"family":"Nicolau","given":"Jose"},{"family":"Koenig","given":"Wolfgang"},{"family":"Anker","given":"Stefan D."},{"family":"Kastelein","given":"John J. P."},{"family":"Cornel","given":"Jan H."},{"family":"Pais","given":"Prem"},{"family":"Pella","given":"Daniel"},{"family":"Genest","given":"Jacques"},{"family":"Cifkova","given":"Renata"},{"family":"Lorenzatti","given":"Alberto"},{"family":"Forster","given":"Tamas"},{"family":"Kobalava","given":"Zhanna"},{"family":"Vida-Simiti","given":"Luminita"},{"family":"Flather","given":"Marcus"},{"family":"Shimokawa","given":"Hiroaki"},{"family":"Ogawa","given":"Hisao"},{"family":"Dellborg","given":"Mikael"},{"family":"Rossi","given":"Paulo R. F."},{"family":"Troquay","given":"Roland P. T."},{"family":"Libby","given":"Peter"},{"family":"Glynn","given":"Robert J."}],"issued":{"date-parts":[["2017",9,21]]}}}],"schema":"https://github.com/citation-style-language/schema/raw/master/csl-citation.json"} </w:instrText>
      </w:r>
      <w:r w:rsidR="001F4904" w:rsidRPr="008C12C7">
        <w:rPr>
          <w:color w:val="000000"/>
          <w:lang w:val="en-GB"/>
        </w:rPr>
        <w:fldChar w:fldCharType="separate"/>
      </w:r>
      <w:r w:rsidR="00C740B9" w:rsidRPr="00C740B9">
        <w:rPr>
          <w:color w:val="000000"/>
          <w:szCs w:val="24"/>
          <w:vertAlign w:val="superscript"/>
          <w:lang w:val="en-GB"/>
        </w:rPr>
        <w:t>2</w:t>
      </w:r>
      <w:r w:rsidR="001F4904" w:rsidRPr="008C12C7">
        <w:rPr>
          <w:color w:val="000000"/>
          <w:lang w:val="en-GB"/>
        </w:rPr>
        <w:fldChar w:fldCharType="end"/>
      </w:r>
      <w:r w:rsidR="001F4904" w:rsidRPr="008C12C7">
        <w:rPr>
          <w:color w:val="000000"/>
          <w:lang w:val="en-GB"/>
        </w:rPr>
        <w:t xml:space="preserve">. </w:t>
      </w:r>
      <w:r w:rsidR="00DD0BC7" w:rsidRPr="008C12C7">
        <w:rPr>
          <w:color w:val="000000"/>
          <w:lang w:val="en-GB"/>
        </w:rPr>
        <w:t xml:space="preserve">Trials of the broad anti-inflammatory drug colchicine have yielded mixed results, with benefit observed in </w:t>
      </w:r>
      <w:r w:rsidR="005A0735" w:rsidRPr="008C12C7">
        <w:rPr>
          <w:color w:val="000000"/>
          <w:lang w:val="en-GB"/>
        </w:rPr>
        <w:t>LoDoCo2</w:t>
      </w:r>
      <w:r w:rsidR="005A0735" w:rsidRPr="008C12C7">
        <w:rPr>
          <w:color w:val="000000"/>
          <w:lang w:val="en-GB"/>
        </w:rPr>
        <w:fldChar w:fldCharType="begin"/>
      </w:r>
      <w:r w:rsidR="005A0735" w:rsidRPr="008C12C7">
        <w:rPr>
          <w:color w:val="000000"/>
          <w:lang w:val="en-GB"/>
        </w:rPr>
        <w:instrText xml:space="preserve"> ADDIN ZOTERO_ITEM CSL_CITATION {"citationID":"HwRpubR7","properties":{"unsorted":false,"formattedCitation":"\\super 3\\nosupersub{}","plainCitation":"3","noteIndex":0},"citationItems":[{"id":112,"uris":["http://zotero.org/users/12564564/items/S6UUHB7V"],"itemData":{"id":112,"type":"article-journal","abstract":"Patients with chronic coronary disease were randomly assigned to receive 0.5 mg of colchicine once daily or matching placebo. The incidence of the composite end point of cardiovascular death, spontaneous myocardial infarction, ischemic stroke, or ischemia-driven coronary revascularization was significantly lower with colchicine than with placebo.","container-title":"New England Journal of Medicine","DOI":"10.1056/NEJMoa2021372","ISSN":"0028-4793","issue":"19","page":"1838–1847","title":"Colchicine in Patients with Chronic Coronary Disease","volume":"383","author":[{"family":"Nidorf","given":"Stefan M."},{"family":"Fiolet","given":"Aernoud T. L."},{"family":"Mosterd","given":"Arend"},{"family":"Eikelboom","given":"John W."},{"family":"Schut","given":"Astrid"},{"family":"Opstal","given":"Tjerk S. J."},{"family":"The","given":"Salem H. K."},{"family":"Xu","given":"Xiao-Fang"},{"family":"Ireland","given":"Mark A."},{"family":"Lenderink","given":"Timo"},{"family":"Latchem","given":"Donald"},{"family":"Hoogslag","given":"Pieter"},{"family":"Jerzewski","given":"Anastazia"},{"family":"Nierop","given":"Peter"},{"family":"Whelan","given":"Alan"},{"family":"Hendriks","given":"Randall"},{"family":"Swart","given":"Henk"},{"family":"Schaap","given":"Jeroen"},{"family":"Kuijper","given":"Aaf F. M."},{"family":"Hessen","given":"Maarten W. J.","dropping-particle":"van"},{"family":"Saklani","given":"Pradyot"},{"family":"Tan","given":"Isabel"},{"family":"Thompson","given":"Angus G."},{"family":"Morton","given":"Allison"},{"family":"Judkins","given":"Chris"},{"family":"Bax","given":"Willem A."},{"family":"Dirksen","given":"Maurits"},{"family":"Alings","given":"Marco"},{"family":"Hankey","given":"Graeme J."},{"family":"Budgeon","given":"Charley A."},{"family":"Tijssen","given":"Jan G. P."},{"family":"Cornel","given":"Jan H."},{"family":"Thompson","given":"Peter L."}],"issued":{"date-parts":[["2020",11]]}}}],"schema":"https://github.com/citation-style-language/schema/raw/master/csl-citation.json"} </w:instrText>
      </w:r>
      <w:r w:rsidR="005A0735" w:rsidRPr="008C12C7">
        <w:rPr>
          <w:color w:val="000000"/>
          <w:lang w:val="en-GB"/>
        </w:rPr>
        <w:fldChar w:fldCharType="separate"/>
      </w:r>
      <w:r w:rsidR="00C740B9" w:rsidRPr="00C740B9">
        <w:rPr>
          <w:color w:val="000000"/>
          <w:szCs w:val="24"/>
          <w:vertAlign w:val="superscript"/>
          <w:lang w:val="en-GB"/>
        </w:rPr>
        <w:t>3</w:t>
      </w:r>
      <w:r w:rsidR="005A0735" w:rsidRPr="008C12C7">
        <w:rPr>
          <w:color w:val="000000"/>
          <w:lang w:val="en-GB"/>
        </w:rPr>
        <w:fldChar w:fldCharType="end"/>
      </w:r>
      <w:r w:rsidR="005A0735" w:rsidRPr="008C12C7">
        <w:rPr>
          <w:color w:val="000000"/>
          <w:lang w:val="en-GB"/>
        </w:rPr>
        <w:t xml:space="preserve"> among patients with chronic coronary disease, but not in </w:t>
      </w:r>
      <w:r w:rsidR="00DD0BC7" w:rsidRPr="008C12C7">
        <w:rPr>
          <w:color w:val="000000"/>
          <w:lang w:val="en-GB"/>
        </w:rPr>
        <w:t>CLEAR-SYNERGY</w:t>
      </w:r>
      <w:r w:rsidR="002F4CC2" w:rsidRPr="008C12C7">
        <w:rPr>
          <w:color w:val="000000"/>
          <w:lang w:val="en-GB"/>
        </w:rPr>
        <w:fldChar w:fldCharType="begin"/>
      </w:r>
      <w:r w:rsidR="002F4CC2" w:rsidRPr="008C12C7">
        <w:rPr>
          <w:color w:val="000000"/>
          <w:lang w:val="en-GB"/>
        </w:rPr>
        <w:instrText xml:space="preserve"> ADDIN ZOTERO_ITEM CSL_CITATION {"citationID":"XFHY5gcN","properties":{"unsorted":false,"formattedCitation":"\\super 4\\nosupersub{}","plainCitation":"4","noteIndex":0},"citationItems":[{"id":2245,"uris":["http://zotero.org/users/12564564/items/43JTQH63"],"itemData":{"id":2245,"type":"article-journal","abstract":"In a randomized trial involving patients with acute myocardial infarction, colchicine did not decrease the risk of major adverse cardiovascular events over a median follow-up period of 3 years.","container-title":"New England Journal of Medicine","DOI":"10.1056/NEJMoa2405922","ISSN":"0028-4793","issue":"7","page":"633-642","publisher":"Massachusetts Medical Society","source":"Taylor and Francis+NEJM","title":"Colchicine in Acute Myocardial Infarction","volume":"392","author":[{"family":"Jolly","given":"Sanjit S."},{"family":"Entremont","given":"Marc-André","non-dropping-particle":"d’"},{"family":"Lee","given":"Shun Fu"},{"family":"Mian","given":"Rajibul"},{"family":"Tyrwhitt","given":"Jessica"},{"family":"Kedev","given":"Sasko"},{"family":"Montalescot","given":"Gilles"},{"family":"Cornel","given":"Jan H."},{"family":"Stanković","given":"Goran"},{"family":"Moreno","given":"Raul"},{"family":"Storey","given":"Robert F."},{"family":"Henry","given":"Timothy D."},{"family":"Mehta","given":"Shamir R."},{"family":"Bossard","given":"Matthias"},{"family":"Kala","given":"Petr"},{"family":"Layland","given":"Jamie"},{"family":"Zafirovska","given":"Biljana"},{"family":"Devereaux","given":"P. J."},{"family":"Eikelboom","given":"John"},{"family":"Cairns","given":"John A."},{"family":"Shah","given":"Binita"},{"family":"Sheth","given":"Tej"},{"family":"Sharma","given":"Sanjib K."},{"family":"Tarhuni","given":"Wadea"},{"family":"Conen","given":"David"},{"family":"Tawadros","given":"Sarah"},{"family":"Lavi","given":"Shahar"},{"family":"Yusuf","given":"Salim"}],"issued":{"date-parts":[["2025",2,12]]}}}],"schema":"https://github.com/citation-style-language/schema/raw/master/csl-citation.json"} </w:instrText>
      </w:r>
      <w:r w:rsidR="002F4CC2" w:rsidRPr="008C12C7">
        <w:rPr>
          <w:color w:val="000000"/>
          <w:lang w:val="en-GB"/>
        </w:rPr>
        <w:fldChar w:fldCharType="separate"/>
      </w:r>
      <w:r w:rsidR="00C740B9" w:rsidRPr="00C740B9">
        <w:rPr>
          <w:color w:val="000000"/>
          <w:szCs w:val="24"/>
          <w:vertAlign w:val="superscript"/>
          <w:lang w:val="en-GB"/>
        </w:rPr>
        <w:t>4</w:t>
      </w:r>
      <w:r w:rsidR="002F4CC2" w:rsidRPr="008C12C7">
        <w:rPr>
          <w:color w:val="000000"/>
          <w:lang w:val="en-GB"/>
        </w:rPr>
        <w:fldChar w:fldCharType="end"/>
      </w:r>
      <w:r w:rsidR="002F4CC2" w:rsidRPr="008C12C7">
        <w:rPr>
          <w:color w:val="000000"/>
          <w:lang w:val="en-GB"/>
        </w:rPr>
        <w:t xml:space="preserve"> </w:t>
      </w:r>
      <w:r w:rsidR="00DD0BC7" w:rsidRPr="008C12C7">
        <w:rPr>
          <w:color w:val="000000"/>
          <w:lang w:val="en-GB"/>
        </w:rPr>
        <w:t>among patients with acute myocardial infarction.</w:t>
      </w:r>
      <w:r w:rsidR="004C7E03" w:rsidRPr="008C12C7">
        <w:rPr>
          <w:lang w:val="en-GB"/>
        </w:rPr>
        <w:t xml:space="preserve"> Recently, the phase 3 ZEUS trial found no reduction in cardiovascular events with </w:t>
      </w:r>
      <w:r w:rsidR="00D560DF" w:rsidRPr="008C12C7">
        <w:rPr>
          <w:lang w:val="en-GB"/>
        </w:rPr>
        <w:t>interleukin-</w:t>
      </w:r>
      <w:r w:rsidR="004C7E03" w:rsidRPr="008C12C7">
        <w:rPr>
          <w:lang w:val="en-GB"/>
        </w:rPr>
        <w:t>6</w:t>
      </w:r>
      <w:r w:rsidR="00D560DF" w:rsidRPr="008C12C7">
        <w:rPr>
          <w:lang w:val="en-GB"/>
        </w:rPr>
        <w:t xml:space="preserve"> (IL</w:t>
      </w:r>
      <w:r w:rsidR="00000462" w:rsidRPr="008C12C7">
        <w:rPr>
          <w:lang w:val="en-GB"/>
        </w:rPr>
        <w:t>-</w:t>
      </w:r>
      <w:r w:rsidR="00D560DF" w:rsidRPr="008C12C7">
        <w:rPr>
          <w:lang w:val="en-GB"/>
        </w:rPr>
        <w:t>6)</w:t>
      </w:r>
      <w:r w:rsidR="004C7E03" w:rsidRPr="008C12C7">
        <w:rPr>
          <w:lang w:val="en-GB"/>
        </w:rPr>
        <w:t xml:space="preserve"> inhibition</w:t>
      </w:r>
      <w:r w:rsidR="006D7C18" w:rsidRPr="008C12C7">
        <w:rPr>
          <w:lang w:val="en-GB"/>
        </w:rPr>
        <w:fldChar w:fldCharType="begin"/>
      </w:r>
      <w:r w:rsidR="006D7C18" w:rsidRPr="008C12C7">
        <w:rPr>
          <w:lang w:val="en-GB"/>
        </w:rPr>
        <w:instrText xml:space="preserve"> ADDIN ZOTERO_ITEM CSL_CITATION {"citationID":"KNKlpQyO","properties":{"unsorted":false,"formattedCitation":"\\super 5\\nosupersub{}","plainCitation":"5","noteIndex":0},"citationItems":[{"id":2247,"uris":["http://zotero.org/users/12564564/items/CPAT7RG5"],"itemData":{"id":2247,"type":"article-journal","container-title":"American Journal of Preventive Cardiology","DOI":"10.1016/j.ajpc.2026.101799","ISSN":"2666-6677","journalAbbreviation":"American Journal of Preventive Cardiology","page":"101799","source":"ScienceDirect","title":"Preparing for the Full ZEUS Results and the Unfinished Question of IL-6 Inhibition","author":[{"family":"Yao","given":"Zhiqi"},{"family":"Blaha","given":"Michael J."},{"family":"Zahid","given":"Sohail"}],"issued":{"date-parts":[["2026",8,21]]}}}],"schema":"https://github.com/citation-style-language/schema/raw/master/csl-citation.json"} </w:instrText>
      </w:r>
      <w:r w:rsidR="006D7C18" w:rsidRPr="008C12C7">
        <w:rPr>
          <w:lang w:val="en-GB"/>
        </w:rPr>
        <w:fldChar w:fldCharType="separate"/>
      </w:r>
      <w:r w:rsidR="00C740B9" w:rsidRPr="00C740B9">
        <w:rPr>
          <w:szCs w:val="24"/>
          <w:vertAlign w:val="superscript"/>
          <w:lang w:val="en-GB"/>
        </w:rPr>
        <w:t>5</w:t>
      </w:r>
      <w:r w:rsidR="006D7C18" w:rsidRPr="008C12C7">
        <w:rPr>
          <w:lang w:val="en-GB"/>
        </w:rPr>
        <w:fldChar w:fldCharType="end"/>
      </w:r>
      <w:r w:rsidR="006D7C18" w:rsidRPr="008C12C7">
        <w:rPr>
          <w:lang w:val="en-GB"/>
        </w:rPr>
        <w:t>.</w:t>
      </w:r>
      <w:r w:rsidR="00462AE0" w:rsidRPr="008C12C7">
        <w:rPr>
          <w:lang w:val="en-GB"/>
        </w:rPr>
        <w:t xml:space="preserve"> </w:t>
      </w:r>
      <w:r w:rsidR="004C7E03" w:rsidRPr="008C12C7">
        <w:rPr>
          <w:lang w:val="en-GB"/>
        </w:rPr>
        <w:t>Together, these findings suggest that cardiovascular benefit depends on both the inflammatory pathway targeted and the clinical context, rather than on inflammation lowering per se.</w:t>
      </w:r>
      <w:r w:rsidR="005F74C4" w:rsidRPr="008C12C7">
        <w:rPr>
          <w:lang w:val="en-GB"/>
        </w:rPr>
        <w:t xml:space="preserve"> </w:t>
      </w:r>
      <w:bookmarkStart w:id="14" w:name="_Hlk238569944"/>
    </w:p>
    <w:p w14:paraId="52EC0E3C" w14:textId="2E5725DE" w:rsidR="006D380D" w:rsidRPr="008C12C7" w:rsidRDefault="00A83320" w:rsidP="002018B1">
      <w:pPr>
        <w:ind w:firstLine="720"/>
        <w:rPr>
          <w:color w:val="000000"/>
          <w:lang w:val="en-GB"/>
        </w:rPr>
      </w:pPr>
      <w:r w:rsidRPr="008C12C7">
        <w:rPr>
          <w:lang w:val="en-GB"/>
        </w:rPr>
        <w:t xml:space="preserve">One inflammatory pathway that has gained considerable attention is centred on </w:t>
      </w:r>
      <w:r w:rsidR="002C7351" w:rsidRPr="008C12C7">
        <w:rPr>
          <w:lang w:val="en-GB"/>
        </w:rPr>
        <w:t>NLRP3</w:t>
      </w:r>
      <w:r w:rsidRPr="008C12C7">
        <w:rPr>
          <w:lang w:val="en-GB"/>
        </w:rPr>
        <w:t xml:space="preserve">. NLRP3 </w:t>
      </w:r>
      <w:r w:rsidR="002C7351" w:rsidRPr="008C12C7">
        <w:rPr>
          <w:lang w:val="en-GB"/>
        </w:rPr>
        <w:t>is the sensor protein of the NLRP3 inflammasome, a multiprotein complex comprising NLRP3, the adaptor ASC, and caspase-</w:t>
      </w:r>
      <w:r w:rsidR="00393826" w:rsidRPr="008C12C7">
        <w:rPr>
          <w:lang w:val="en-GB"/>
        </w:rPr>
        <w:t>1</w:t>
      </w:r>
      <w:bookmarkEnd w:id="14"/>
      <w:r w:rsidR="00393826" w:rsidRPr="008C12C7">
        <w:rPr>
          <w:lang w:val="en-GB"/>
        </w:rPr>
        <w:t>, whose activation</w:t>
      </w:r>
      <w:r w:rsidR="002C7351" w:rsidRPr="008C12C7">
        <w:rPr>
          <w:lang w:val="en-GB"/>
        </w:rPr>
        <w:t xml:space="preserve"> promotes the maturation and release of </w:t>
      </w:r>
      <w:r w:rsidR="00BA4CDF" w:rsidRPr="008C12C7">
        <w:rPr>
          <w:color w:val="000000"/>
          <w:lang w:val="en-GB"/>
        </w:rPr>
        <w:t>IL</w:t>
      </w:r>
      <w:r w:rsidR="00A103F3" w:rsidRPr="008C12C7">
        <w:rPr>
          <w:color w:val="000000"/>
          <w:lang w:val="en-GB"/>
        </w:rPr>
        <w:t>-</w:t>
      </w:r>
      <w:r w:rsidR="00BA4CDF" w:rsidRPr="008C12C7">
        <w:rPr>
          <w:color w:val="000000"/>
          <w:lang w:val="en-GB"/>
        </w:rPr>
        <w:t>1β</w:t>
      </w:r>
      <w:r w:rsidR="00BA4CDF" w:rsidRPr="008C12C7">
        <w:rPr>
          <w:lang w:val="en-GB"/>
        </w:rPr>
        <w:t xml:space="preserve"> </w:t>
      </w:r>
      <w:r w:rsidR="002C7351" w:rsidRPr="008C12C7">
        <w:rPr>
          <w:lang w:val="en-GB"/>
        </w:rPr>
        <w:t>and interleukin-18</w:t>
      </w:r>
      <w:r w:rsidR="00BA4CDF" w:rsidRPr="008C12C7">
        <w:rPr>
          <w:lang w:val="en-GB"/>
        </w:rPr>
        <w:t xml:space="preserve"> (IL</w:t>
      </w:r>
      <w:r w:rsidR="00000462" w:rsidRPr="008C12C7">
        <w:rPr>
          <w:lang w:val="en-GB"/>
        </w:rPr>
        <w:t>-</w:t>
      </w:r>
      <w:r w:rsidR="00BA4CDF" w:rsidRPr="008C12C7">
        <w:rPr>
          <w:lang w:val="en-GB"/>
        </w:rPr>
        <w:t>18)</w:t>
      </w:r>
      <w:r w:rsidR="002F4CC2" w:rsidRPr="008C12C7">
        <w:rPr>
          <w:lang w:val="en-GB"/>
        </w:rPr>
        <w:fldChar w:fldCharType="begin"/>
      </w:r>
      <w:r w:rsidR="006D7C18" w:rsidRPr="008C12C7">
        <w:rPr>
          <w:lang w:val="en-GB"/>
        </w:rPr>
        <w:instrText xml:space="preserve"> ADDIN ZOTERO_ITEM CSL_CITATION {"citationID":"MyItjzLS","properties":{"unsorted":false,"formattedCitation":"\\super 6\\nosupersub{}","plainCitation":"6","noteIndex":0},"citationItems":[{"id":421,"uris":["http://zotero.org/users/12564564/items/RQ39NDQP"],"itemData":{"id":421,"type":"article-journal","abstract":"NLRP3 (NOD-, LRR- and pyrin domain-containing protein 3) is an intracellular sensor that detects a broad range of microbial motifs, endogenous danger signals and environmental irritants, resulting in the formation and activation of the NLRP3 inflammasome. Assembly of the NLRP3 inflammasome leads to caspase 1-dependent release of the pro-inflammatory cytokines IL-1β and IL-18, as well as to gasdermin D-mediated pyroptotic cell death. Recent studies have revealed new regulators of the NLRP3 inflammasome, including new interacting or regulatory proteins, metabolic pathways and a regulatory mitochondrial hub. In this Review, we present the molecular, cell biological and biochemical bases of NLRP3 activation and regulation and describe how this mechanistic understanding is leading to potential therapeutics that target the NLRP3 inflammasome.","container-title":"Nature Reviews Immunology","DOI":"10.1038/s41577-019-0165-0","ISSN":"1474-1741","issue":"8","journalAbbreviation":"Nat Rev Immunol","language":"en","license":"2019 The Author(s), under exclusive licence to Springer Nature Limited","note":"publisher: Nature Publishing Group","page":"477-489","source":"www.nature.com","title":"The NLRP3 inflammasome: molecular activation and regulation to therapeutics","title-short":"The NLRP3 inflammasome","volume":"19","author":[{"family":"Swanson","given":"Karen V."},{"family":"Deng","given":"Meng"},{"family":"Ting","given":"Jenny P.-Y."}],"issued":{"date-parts":[["2019",8]]}}}],"schema":"https://github.com/citation-style-language/schema/raw/master/csl-citation.json"} </w:instrText>
      </w:r>
      <w:r w:rsidR="002F4CC2" w:rsidRPr="008C12C7">
        <w:rPr>
          <w:lang w:val="en-GB"/>
        </w:rPr>
        <w:fldChar w:fldCharType="separate"/>
      </w:r>
      <w:r w:rsidR="00C740B9" w:rsidRPr="00C740B9">
        <w:rPr>
          <w:szCs w:val="24"/>
          <w:vertAlign w:val="superscript"/>
          <w:lang w:val="en-GB"/>
        </w:rPr>
        <w:t>6</w:t>
      </w:r>
      <w:r w:rsidR="002F4CC2" w:rsidRPr="008C12C7">
        <w:rPr>
          <w:lang w:val="en-GB"/>
        </w:rPr>
        <w:fldChar w:fldCharType="end"/>
      </w:r>
      <w:r w:rsidR="005F74C4" w:rsidRPr="008C12C7">
        <w:rPr>
          <w:color w:val="000000"/>
          <w:lang w:val="en-GB"/>
        </w:rPr>
        <w:t xml:space="preserve">. </w:t>
      </w:r>
      <w:bookmarkEnd w:id="10"/>
      <w:r w:rsidR="005F74C4" w:rsidRPr="008C12C7">
        <w:rPr>
          <w:color w:val="000000"/>
          <w:lang w:val="en-GB"/>
        </w:rPr>
        <w:t xml:space="preserve">These cytokines </w:t>
      </w:r>
      <w:r w:rsidR="002900BA" w:rsidRPr="008C12C7">
        <w:rPr>
          <w:color w:val="000000"/>
          <w:lang w:val="en-GB"/>
        </w:rPr>
        <w:t>promote downstream IL-6 signal</w:t>
      </w:r>
      <w:r w:rsidR="00A46486" w:rsidRPr="008C12C7">
        <w:rPr>
          <w:color w:val="000000"/>
          <w:lang w:val="en-GB"/>
        </w:rPr>
        <w:t>l</w:t>
      </w:r>
      <w:r w:rsidR="002900BA" w:rsidRPr="008C12C7">
        <w:rPr>
          <w:color w:val="000000"/>
          <w:lang w:val="en-GB"/>
        </w:rPr>
        <w:t>ing</w:t>
      </w:r>
      <w:r w:rsidR="00000462" w:rsidRPr="008C12C7">
        <w:rPr>
          <w:color w:val="000000"/>
          <w:lang w:val="en-GB"/>
        </w:rPr>
        <w:t xml:space="preserve">, </w:t>
      </w:r>
      <w:r w:rsidR="005F74C4" w:rsidRPr="008C12C7">
        <w:rPr>
          <w:color w:val="000000"/>
          <w:lang w:val="en-GB"/>
        </w:rPr>
        <w:t xml:space="preserve">which drives the acute-phase response characterised by elevated </w:t>
      </w:r>
      <w:r w:rsidR="005F74C4" w:rsidRPr="008C12C7">
        <w:rPr>
          <w:lang w:val="en-GB"/>
        </w:rPr>
        <w:t>inflammatory</w:t>
      </w:r>
      <w:r w:rsidR="005F74C4" w:rsidRPr="008C12C7">
        <w:rPr>
          <w:color w:val="000000"/>
          <w:lang w:val="en-GB"/>
        </w:rPr>
        <w:t xml:space="preserve"> markers such as </w:t>
      </w:r>
      <w:r w:rsidR="003A3F68">
        <w:rPr>
          <w:color w:val="000000"/>
          <w:lang w:val="en-GB"/>
        </w:rPr>
        <w:t>C-reactive protein (</w:t>
      </w:r>
      <w:r w:rsidR="005F74C4" w:rsidRPr="008C12C7">
        <w:rPr>
          <w:color w:val="000000"/>
          <w:lang w:val="en-GB"/>
        </w:rPr>
        <w:t>CRP</w:t>
      </w:r>
      <w:r w:rsidR="003A3F68">
        <w:rPr>
          <w:color w:val="000000"/>
          <w:lang w:val="en-GB"/>
        </w:rPr>
        <w:t xml:space="preserve">) </w:t>
      </w:r>
      <w:r w:rsidR="005F74C4" w:rsidRPr="008C12C7">
        <w:rPr>
          <w:color w:val="000000"/>
          <w:lang w:val="en-GB"/>
        </w:rPr>
        <w:t xml:space="preserve">and </w:t>
      </w:r>
      <w:proofErr w:type="spellStart"/>
      <w:r w:rsidR="005F74C4" w:rsidRPr="008C12C7">
        <w:rPr>
          <w:color w:val="000000"/>
          <w:lang w:val="en-GB"/>
        </w:rPr>
        <w:t>GlycA</w:t>
      </w:r>
      <w:proofErr w:type="spellEnd"/>
      <w:r w:rsidR="005F74C4" w:rsidRPr="008C12C7">
        <w:rPr>
          <w:color w:val="000000"/>
          <w:lang w:val="en-GB"/>
        </w:rPr>
        <w:t>, a composite measure of glycosylated acute-phase proteins</w:t>
      </w:r>
      <w:r w:rsidR="00A46FBD" w:rsidRPr="008C12C7">
        <w:rPr>
          <w:color w:val="000000"/>
          <w:lang w:val="en-GB"/>
        </w:rPr>
        <w:fldChar w:fldCharType="begin"/>
      </w:r>
      <w:r w:rsidR="00A46FBD" w:rsidRPr="008C12C7">
        <w:rPr>
          <w:color w:val="000000"/>
          <w:lang w:val="en-GB"/>
        </w:rPr>
        <w:instrText xml:space="preserve"> ADDIN ZOTERO_ITEM CSL_CITATION {"citationID":"UmRdtJn2","properties":{"unsorted":false,"formattedCitation":"\\super 7,8\\nosupersub{}","plainCitation":"7,8","noteIndex":0},"citationItems":[{"id":102,"uris":["http://zotero.org/users/12564564/items/6UJHKGKJ"],"itemData":{"id":102,"type":"article-journal","abstract":"IL-1 and IL-18 are members of the IL-1 family of ligands, and their receptors are members of the IL-1 receptor family. Although several biological properties overlap for these cytokines, differences exist. IL-18 uniquely induces IFN-γ from T lymphocytes and natural killer cells but does not cause fever, whereas fever is a prominent characteristic of IL-1 in humans and animals. In the present study, human epithelial cells were stably transfected with the IL-18 receptor β chain and responded to IL-18 with increased production of IL-1α, IL-6, and IL-8. Five minutes after exposure to either cytokine, phosphorylation of mitogen activated protein kinase (MAPK) p38 was present; specific inhibition of p38 MAPK reduced IL-18 activity to background levels. Whereas IL-1β induced the expression of the NF-κB-reporter gene and was suppressed by competitive inhibition of NF-κB binding, IL-18 responses were weak or absent. In contrast to IL-1β, IL-18 also did not activate degradation of the NF-κB inhibitor. After 4 h, both cytokines induced comparable levels of mRNA for the chemokine IL-8 but, in the same cells, steady-state levels of cyclooxygenase (COX)-2 mRNA were high after IL-1β but low or absent after IL-18. After 30 h, IL-18-induced COX-2 appeared in part to be IL-1 dependent. Similarly, low levels of prostaglandin E2 were measured in IL-18-stimulated A549 cells and freshly obtained primary human monocytes and mouse macrophages. We conclude that in epithelial cells, IL-18 signal transduction is primarily via the MAPK p38 pathway rather than NF-κB, which may explain the absence of COX-2 and the failure of IL-18 to cause fever.","container-title":"Proceedings of the National Academy of Sciences of the United States of America","DOI":"10.1073/pnas.0402800101","ISSN":"0027-8424","issue":"23","page":"8815–8820","PMID":"15161979","PMCID":"PMC423278","title":"Differences in signaling pathways by IL-1β and IL-18","volume":"101","author":[{"family":"Lee","given":"Jae-Kwon"},{"family":"Kim","given":"Soo-Hyun"},{"family":"Lewis","given":"Eli C."},{"family":"Azam","given":"Tania"},{"family":"Reznikov","given":"Leonid L."},{"family":"Dinarello","given":"Charles A."}],"issued":{"date-parts":[["2004",6]]}}},{"id":101,"uris":["http://zotero.org/users/12564564/items/83P9FQ6G"],"itemData":{"id":101,"type":"article-journal","abstract":"BACKGROUND: RA and CVD both have inflammation as part of the underlying biology. Our objective was to explore the relationships of GlycA, a measure of glycosylated acute phase proteins, with inflammation and cardiometabolic risk in RA, and explore whether these relationships were similar to those for persons without RA. METHODS: Plasma GlycA was determined for 50 individuals with mild-moderate RA disease activity and 39 controls matched for age, gender, and body mass index (BMI). Regression analyses were performed to assess relationships between GlycA and important markers of traditional inflammation and cardio-metabolic health: inflammatory cytokines, disease activity, measures of adiposity and insulin resistance. RESULTS: On average, RA activity was low (DAS-28 = 3.0 ± 1.4). Traditional inflammatory markers, ESR, hsCRP, IL-1β, IL-6, IL-18 and TNF-α were greater in RA versus controls (P \\textless 0.05 for all). GlycA concentrations were significantly elevated in RA versus controls (P = 0.036). In RA, greater GlycA associated with disease activity (DAS-28; RDAS-28 = 0.5) and inflammation (RESR = 0.7, RhsCRP = 0.7, RIL-6 = 0.3: P \\textless 0.05 for all); in BMI-matched controls, these inflammatory associations were absent or weaker (hsCRP), but GlycA was related to IL-18 (RhsCRP = 0.3, RIL-18 = 0.4: P \\textless 0.05). In RA, greater GlycA associated with more total abdominal adiposity and less muscle density (Rabdominal-adiposity = 0.3, Rmuscle-density = -0.3, P \\textless 0.05 for both). In BMI-matched controls, GlycA associated with more cardio-metabolic markers: BMI, waist circumference, adiposity measures and insulin resistance (R = 0.3-0.6, P \\textless 0.05 for all). CONCLUSIONS: GlycA provides an integrated measure of inflammation with contributions from traditional inflammatory markers and cardio-metabolic sources, dominated by inflammatory markers in persons with RA and cardio-metabolic factors in those without.","container-title":"Arthritis Research &amp; Therapy","DOI":"10.1186/s13075-016-0982-5","ISSN":"1478-6362","language":"eng","page":"86","PMID":"27067270","PMCID":"PMC4828830","title":"A novel inflammatory biomarker, GlycA, associates with disease activity in rheumatoid arthritis and cardio-metabolic risk in BMI-matched controls","volume":"18","author":[{"family":"Bartlett","given":"David B."},{"family":"Connelly","given":"Margery A."},{"family":"AbouAssi","given":"Hiba"},{"family":"Bateman","given":"Lori A."},{"family":"Tune","given":"K. Noelle"},{"family":"Huebner","given":"Janet L."},{"family":"Kraus","given":"Virginia B."},{"family":"Winegar","given":"Deborah A."},{"family":"Otvos","given":"James D."},{"family":"Kraus","given":"William E."},{"family":"Huffman","given":"Kim M."}],"issued":{"date-parts":[["2016",4]]}}}],"schema":"https://github.com/citation-style-language/schema/raw/master/csl-citation.json"} </w:instrText>
      </w:r>
      <w:r w:rsidR="00A46FBD" w:rsidRPr="008C12C7">
        <w:rPr>
          <w:color w:val="000000"/>
          <w:lang w:val="en-GB"/>
        </w:rPr>
        <w:fldChar w:fldCharType="separate"/>
      </w:r>
      <w:r w:rsidR="00C740B9" w:rsidRPr="00C740B9">
        <w:rPr>
          <w:color w:val="000000"/>
          <w:szCs w:val="24"/>
          <w:vertAlign w:val="superscript"/>
          <w:lang w:val="en-GB"/>
        </w:rPr>
        <w:t>7,8</w:t>
      </w:r>
      <w:r w:rsidR="00A46FBD" w:rsidRPr="008C12C7">
        <w:rPr>
          <w:color w:val="000000"/>
          <w:lang w:val="en-GB"/>
        </w:rPr>
        <w:fldChar w:fldCharType="end"/>
      </w:r>
      <w:r w:rsidR="00A46FBD" w:rsidRPr="008C12C7">
        <w:rPr>
          <w:lang w:val="en-GB"/>
        </w:rPr>
        <w:t>.</w:t>
      </w:r>
      <w:r w:rsidR="005F74C4" w:rsidRPr="008C12C7">
        <w:rPr>
          <w:color w:val="000000"/>
          <w:lang w:val="en-GB"/>
        </w:rPr>
        <w:t xml:space="preserve"> </w:t>
      </w:r>
      <w:r w:rsidR="005F74C4" w:rsidRPr="008C12C7">
        <w:rPr>
          <w:lang w:val="en-GB"/>
        </w:rPr>
        <w:t>Concurrently, NLRP3 inflammasome activation increases the production of circulating myeloid cells, predominantly neutrophils</w:t>
      </w:r>
      <w:r w:rsidR="00A46FBD" w:rsidRPr="008C12C7">
        <w:rPr>
          <w:lang w:val="en-GB"/>
        </w:rPr>
        <w:fldChar w:fldCharType="begin"/>
      </w:r>
      <w:r w:rsidR="00A46FBD" w:rsidRPr="008C12C7">
        <w:rPr>
          <w:lang w:val="en-GB"/>
        </w:rPr>
        <w:instrText xml:space="preserve"> ADDIN ZOTERO_ITEM CSL_CITATION {"citationID":"f04fD4Om","properties":{"unsorted":false,"formattedCitation":"\\super 9\\nosupersub{}","plainCitation":"9","noteIndex":0},"citationItems":[{"id":3,"uris":["http://zotero.org/users/12564564/items/UYYJRUH2"],"itemData":{"id":3,"type":"article-journal","abstract":"BACKGROUND: Acute myocardial infarction (MI) results in overzealous production and infiltration of neutrophils to the ischemic heart. This is mediated in part by granulopoiesis induced by the S100A8/A9-NLRP3-IL-1β signaling axis in injury-exposed neutrophils. Despite the transcriptional upregulation of the NLRP3 (Nod Like Receptor Family Pyrin Domain-Containing 3) inflammasome and associated signaling components in neutrophils, the serum levels of IL-1β (interleukin-1β), the effector molecule in granulopoiesis, were not affected by MI, suggesting that IL-1β is not released systemically. We hypothesize that IL-1β is released locally within the bone marrow (BM) by inflammasome-primed and reverse-migrating neutrophils. METHODS: Using a combination of time-dependent parabiosis and flow cytometry techniques, we first characterized the migration patterns of different blood cell types across the parabiotic barrier. We next induced MI in parabiotic mice by permanent ligation of the left anterior descending artery and examined the ability of injury-exposed neutrophils to permeate the parabiotic barrier and induce granulopoiesis in noninfarcted parabionts. Last, using multiple neutrophil adoptive and BM transplant studies, we studied the molecular mechanisms that govern reverse migration and retention of the primed neutrophils, IL-1β secretion, and granulopoiesis. Cardiac function was assessed by echocardiography. RESULTS: MI promoted greater accumulation of the inflammasome-primed neutrophils in the BM. Introducing a time-dependent parabiotic barrier to the free movement of neutrophils inhibited their ability to stimulate granulopoiesis in the noninfarcted parabionts. Previous priming of the NLRP3 inflammasome is not a prerequisite, but the presence of a functional CXCR4 (C-X-C-motif chemokine receptor 4) on the primed-neutrophils and elevated serum S100A8/A9 levels are necessary for homing and retention of the reverse-migrating neutrophils. In the BM, the primed-neutrophils secrete IL-1β through formation of gasdermin D pores and promote granulopoiesis. Pharmacological and genetic strategies aimed at the inhibition of neutrophil homing or release of IL-1β in the BM markedly suppressed MI-induced granulopoiesis and improved cardiac function. CONCLUSIONS: Our data reveal a new paradigm of how circulatory cells establish a direct communication between organs by delivering signaling molecules (eg, IL-1β) directly at the sites of action rather through systemic release. We suggest that this pathway may exist to limit the off-target effects of systemic IL-1β release.","container-title":"Circulation","DOI":"10.1161/CIRCULATIONAHA.121.056019","ISSN":"1524-4539","issue":"1","language":"eng","page":"31–44","PMID":"34788059","PMCID":"PMC8716427","title":"Retention of the NLRP3 Inflammasome-Primed Neutrophils in the Bone Marrow Is Essential for Myocardial Infarction-Induced Granulopoiesis","volume":"145","author":[{"family":"Sreejit","given":"Gopalkrishna"},{"family":"Nooti","given":"Sunil K."},{"family":"Jaggers","given":"Robert M."},{"family":"Athmanathan","given":"Baskaran"},{"family":"Ho Park","given":"Ki"},{"family":"Al-Sharea","given":"Annas"},{"family":"Johnson","given":"Jillian"},{"family":"Dahdah","given":"Albert"},{"family":"Lee","given":"Man K. S."},{"family":"Ma","given":"Jianjie"},{"family":"Murphy","given":"Andrew J."},{"family":"Nagareddy","given":"Prabhakara R."}],"issued":{"date-parts":[["2022",1]]}}}],"schema":"https://github.com/citation-style-language/schema/raw/master/csl-citation.json"} </w:instrText>
      </w:r>
      <w:r w:rsidR="00A46FBD" w:rsidRPr="008C12C7">
        <w:rPr>
          <w:lang w:val="en-GB"/>
        </w:rPr>
        <w:fldChar w:fldCharType="separate"/>
      </w:r>
      <w:r w:rsidR="00C740B9" w:rsidRPr="00C740B9">
        <w:rPr>
          <w:szCs w:val="24"/>
          <w:vertAlign w:val="superscript"/>
          <w:lang w:val="en-GB"/>
        </w:rPr>
        <w:t>9</w:t>
      </w:r>
      <w:r w:rsidR="00A46FBD" w:rsidRPr="008C12C7">
        <w:rPr>
          <w:lang w:val="en-GB"/>
        </w:rPr>
        <w:fldChar w:fldCharType="end"/>
      </w:r>
      <w:r w:rsidR="005F74C4" w:rsidRPr="008C12C7">
        <w:rPr>
          <w:color w:val="000000"/>
          <w:lang w:val="en-GB"/>
        </w:rPr>
        <w:t>.</w:t>
      </w:r>
    </w:p>
    <w:p w14:paraId="72C908CD" w14:textId="1F697332" w:rsidR="00A46FBD" w:rsidRPr="008C12C7" w:rsidRDefault="003A3BD6" w:rsidP="002018B1">
      <w:pPr>
        <w:ind w:firstLine="720"/>
        <w:rPr>
          <w:color w:val="000000"/>
          <w:lang w:val="en-GB"/>
        </w:rPr>
      </w:pPr>
      <w:bookmarkStart w:id="15" w:name="_Hlk238571135"/>
      <w:r w:rsidRPr="008C12C7">
        <w:rPr>
          <w:color w:val="000000"/>
          <w:lang w:val="en-GB"/>
        </w:rPr>
        <w:t>In preclinical models of atherosclerosis, pharmacological NLRP3 inhibition has been reported to reduce vascular inflammation and plaque burden</w:t>
      </w:r>
      <w:r w:rsidR="00AA6FB8" w:rsidRPr="008C12C7">
        <w:rPr>
          <w:color w:val="000000"/>
          <w:lang w:val="en-GB"/>
        </w:rPr>
        <w:fldChar w:fldCharType="begin"/>
      </w:r>
      <w:r w:rsidR="00854721" w:rsidRPr="008C12C7">
        <w:rPr>
          <w:color w:val="000000"/>
          <w:lang w:val="en-GB"/>
        </w:rPr>
        <w:instrText xml:space="preserve"> ADDIN ZOTERO_ITEM CSL_CITATION {"citationID":"pr6nEEYc","properties":{"unsorted":false,"formattedCitation":"\\super 10\\nosupersub{}","plainCitation":"10","noteIndex":0},"citationItems":[{"id":1,"uris":["http://zotero.org/users/12564564/items/6I8B9U3R"],"itemData":{"id":1,"type":"article-journal","abstract":"Objective—Inflammasomes are multiprotein complexes, and their activation has been associated with cardiovascular disease. Inflammasome activation leads to secretion of caspase-1 by innate immune cells, resulting in the activation of interleukin-1β. Recently, a potent and selective inhibitor of the NLRP3 inflammasome, MCC950, was described. In this study, we investigated the effect of MCC950 on atherosclerotic lesion development in apoE−/− mice.Approach and Results—First, we determined the efficacy of MCC950 in vitro. Bone marrow–derived macrophages and dendritic cells were stimulated with lipopolysaccharide and cholesterol crystals resulting in high levels of interleukin-1β release, which was inhibited by MCC950. In vivo MCC950 treatment reduced lipopolysaccharide–induced interleukin-1β secretion, without affecting the tumor necrosis factor-α response. Subsequently, atherosclerotic plaques were induced in Western-type diet fed apoE−/− mice by semiconstrictive perivascular collar placement at the carotid arteries, after which the mice received MCC950 (10 mg/kg) or vehicle control 3× per week intraperitoneally for 4 weeks. After euthanize, atherosclerotic plaque size and volume were quantified in hematoxylin-eosin–stained 10-µm cryosections throughout the artery. MCC950 treatment significantly reduced the development of atherosclerotic lesions as determined by maximal stenosis, average plaque size, and plaque volume. Although the amount of collagen and the necrotic core size were not affected, the number of macrophages in the plaque was significantly reduced on treatment. In addition, VCAM-1 (vascular cell adhesion molecule 1) and ICAM-1 (intercellular adhesion molecule 1) mRNA expression was significantly reduced in the carotids of MCC950-treated mice.Conclusions—These findings show that specific inhibition of the NLRP3 inflammasome using MCC950 can be a promising therapeutic approach to inhibit atherosclerotic lesion development.","container-title":"Arteriosclerosis, Thrombosis, and Vascular Biology","DOI":"10.1161/ATVBAHA.117.309575","issue":"8","page":"1457–1461","title":"NLRP3 Inflammasome Inhibition by MCC950 Reduces Atherosclerotic Lesion Development in Apolipoprotein E–Deficient Mice—Brief Report","volume":"37","author":[{"family":"Heijden","given":"Thomas","non-dropping-particle":"van der"},{"family":"Kritikou","given":"Eva"},{"family":"Venema","given":"Wouter"},{"family":"Duijn","given":"Janine","non-dropping-particle":"van"},{"family":"Santbrink","given":"Peter J.","non-dropping-particle":"van"},{"family":"Slütter","given":"Bram"},{"family":"Foks","given":"Amanda C."},{"family":"Bot","given":"Ilze"},{"family":"Kuiper","given":"Johan"}],"issued":{"date-parts":[["2017",8]]}}}],"schema":"https://github.com/citation-style-language/schema/raw/master/csl-citation.json"} </w:instrText>
      </w:r>
      <w:r w:rsidR="00AA6FB8" w:rsidRPr="008C12C7">
        <w:rPr>
          <w:color w:val="000000"/>
          <w:lang w:val="en-GB"/>
        </w:rPr>
        <w:fldChar w:fldCharType="separate"/>
      </w:r>
      <w:r w:rsidR="00C740B9" w:rsidRPr="00C740B9">
        <w:rPr>
          <w:color w:val="000000"/>
          <w:szCs w:val="24"/>
          <w:vertAlign w:val="superscript"/>
          <w:lang w:val="en-GB"/>
        </w:rPr>
        <w:t>10</w:t>
      </w:r>
      <w:r w:rsidR="00AA6FB8" w:rsidRPr="008C12C7">
        <w:rPr>
          <w:color w:val="000000"/>
          <w:lang w:val="en-GB"/>
        </w:rPr>
        <w:fldChar w:fldCharType="end"/>
      </w:r>
      <w:r w:rsidRPr="008C12C7">
        <w:rPr>
          <w:color w:val="000000"/>
          <w:lang w:val="en-GB"/>
        </w:rPr>
        <w:t xml:space="preserve">. </w:t>
      </w:r>
      <w:bookmarkEnd w:id="15"/>
      <w:r w:rsidRPr="008C12C7">
        <w:rPr>
          <w:color w:val="000000"/>
          <w:lang w:val="en-GB"/>
        </w:rPr>
        <w:t xml:space="preserve">Together with the </w:t>
      </w:r>
      <w:r w:rsidR="00A13F60" w:rsidRPr="008C12C7">
        <w:rPr>
          <w:color w:val="000000"/>
          <w:lang w:val="en-GB"/>
        </w:rPr>
        <w:t xml:space="preserve">evidence linking </w:t>
      </w:r>
      <w:r w:rsidRPr="008C12C7">
        <w:rPr>
          <w:color w:val="000000"/>
          <w:lang w:val="en-GB"/>
        </w:rPr>
        <w:t xml:space="preserve">NLRP3 inflammasome-related cytokines </w:t>
      </w:r>
      <w:r w:rsidR="00A13F60" w:rsidRPr="008C12C7">
        <w:rPr>
          <w:color w:val="000000"/>
          <w:lang w:val="en-GB"/>
        </w:rPr>
        <w:t xml:space="preserve">to </w:t>
      </w:r>
      <w:r w:rsidRPr="008C12C7">
        <w:rPr>
          <w:color w:val="000000"/>
          <w:lang w:val="en-GB"/>
        </w:rPr>
        <w:t>vascular inflammation, these findings have motivated the development of</w:t>
      </w:r>
      <w:r w:rsidR="00B5254B" w:rsidRPr="008C12C7">
        <w:rPr>
          <w:color w:val="000000"/>
          <w:lang w:val="en-GB"/>
        </w:rPr>
        <w:t xml:space="preserve"> small-molecule inhibitors that act directly on the NLRP3 sensor</w:t>
      </w:r>
      <w:r w:rsidR="0093427A" w:rsidRPr="008C12C7">
        <w:rPr>
          <w:color w:val="000000"/>
          <w:lang w:val="en-GB"/>
        </w:rPr>
        <w:t>, several of which have entered clinical testing</w:t>
      </w:r>
      <w:r w:rsidR="00CF2945" w:rsidRPr="008C12C7">
        <w:rPr>
          <w:color w:val="000000"/>
          <w:lang w:val="en-GB"/>
        </w:rPr>
        <w:fldChar w:fldCharType="begin"/>
      </w:r>
      <w:r w:rsidR="00854721" w:rsidRPr="008C12C7">
        <w:rPr>
          <w:color w:val="000000"/>
          <w:lang w:val="en-GB"/>
        </w:rPr>
        <w:instrText xml:space="preserve"> ADDIN ZOTERO_ITEM CSL_CITATION {"citationID":"w71I0ssP","properties":{"unsorted":false,"formattedCitation":"\\super 11\\nosupersub{}","plainCitation":"11","noteIndex":0},"citationItems":[{"id":400,"uris":["http://zotero.org/users/12564564/items/PNT8EILS"],"itemData":{"id":400,"type":"article-journal","abstract":"NOD-like receptor (NLR) family pyrin domain-containing 3 (NLRP3) is a vital sensor of the innate immune system, capable of responding to various exogenous invading pathogens and endogenous cell injury. Once the danger signal is detected, NLRP3 recruits downstream molecules to assemble into inflammasomes, which induce inflammatory cell death and trigger an inflammatory response. PANoptosis is a specific mode of inflammatory cell death that integrates the processes of pyroptosis, apoptosis, and necrosis. It is primarily driven by a multiprotein complex termed the PANoptosome. The NLRP3 inflammasome, an essential component of the PANoptosome, is implicated in the pathogenesis of several human disorders. Targeted inhibition of NLRP3 activation specifically has a notable impact on mitigating a variety of disease conditions. This review briefly describes how the NLRP3 inflammasome forms and is activated, outlines its multifaceted roles in disorders, and emphasizes the vital role of NLRP3 in PANoptosis. Additionally, we discuss the potential of NLRP3 as a target for the clinical management of associated diseases. Improved understanding of the NLRP3 inflammasome and its involvement in PANoptosis is crucial for guiding new treatment strategies.","container-title":"Cell Death Discovery","DOI":"10.1038/s41420-025-02689-1","ISSN":"2058-7716","issue":"1","journalAbbreviation":"Cell Death Discov.","language":"en","license":"2025 The Author(s)","note":"publisher: Nature Publishing Group","page":"389","source":"www.nature.com","title":"Diverse functions of NLRP3 inflammasome in PANoptosis and diseases","volume":"11","author":[{"family":"Jiang","given":"Yuanyuan"},{"family":"Qiang","given":"Zhiyuan"},{"family":"Liu","given":"Yue"},{"family":"Zhu","given":"Liwei"},{"family":"Xiao","given":"Long"},{"family":"Du","given":"Zhenfang"},{"family":"Cai","given":"Rong"},{"family":"Qiang","given":"Sheng"}],"issued":{"date-parts":[["2025",8,19]]}}}],"schema":"https://github.com/citation-style-language/schema/raw/master/csl-citation.json"} </w:instrText>
      </w:r>
      <w:r w:rsidR="00CF2945" w:rsidRPr="008C12C7">
        <w:rPr>
          <w:color w:val="000000"/>
          <w:lang w:val="en-GB"/>
        </w:rPr>
        <w:fldChar w:fldCharType="separate"/>
      </w:r>
      <w:r w:rsidR="00C740B9" w:rsidRPr="00C740B9">
        <w:rPr>
          <w:color w:val="000000"/>
          <w:szCs w:val="24"/>
          <w:vertAlign w:val="superscript"/>
          <w:lang w:val="en-GB"/>
        </w:rPr>
        <w:t>11</w:t>
      </w:r>
      <w:r w:rsidR="00CF2945" w:rsidRPr="008C12C7">
        <w:rPr>
          <w:color w:val="000000"/>
          <w:lang w:val="en-GB"/>
        </w:rPr>
        <w:fldChar w:fldCharType="end"/>
      </w:r>
      <w:r w:rsidR="00B5254B" w:rsidRPr="008C12C7">
        <w:rPr>
          <w:color w:val="000000"/>
          <w:lang w:val="en-GB"/>
        </w:rPr>
        <w:t>.</w:t>
      </w:r>
      <w:r w:rsidR="00D92EE5">
        <w:rPr>
          <w:color w:val="000000"/>
          <w:lang w:val="en-GB"/>
        </w:rPr>
        <w:t xml:space="preserve"> </w:t>
      </w:r>
      <w:r w:rsidR="00420E5C" w:rsidRPr="008C12C7">
        <w:rPr>
          <w:color w:val="000000"/>
          <w:lang w:val="en-GB"/>
        </w:rPr>
        <w:t>However, no phase 3 trial has yet established whether selective NLRP3 inhibition reduces cardiovascular events in humans.</w:t>
      </w:r>
    </w:p>
    <w:p w14:paraId="06DBB329" w14:textId="23741C53" w:rsidR="006D380D" w:rsidRPr="008C12C7" w:rsidRDefault="00000000" w:rsidP="002018B1">
      <w:pPr>
        <w:ind w:firstLine="720"/>
        <w:rPr>
          <w:lang w:val="en-GB"/>
        </w:rPr>
      </w:pPr>
      <w:bookmarkStart w:id="16" w:name="_Hlk238574144"/>
      <w:r w:rsidRPr="008C12C7">
        <w:rPr>
          <w:color w:val="000000"/>
          <w:lang w:val="en-GB"/>
        </w:rPr>
        <w:t xml:space="preserve">In the absence of large randomised clinical trials, drug-target Mendelian randomization (MR) can provide </w:t>
      </w:r>
      <w:r w:rsidR="00854721" w:rsidRPr="008C12C7">
        <w:rPr>
          <w:color w:val="000000"/>
          <w:lang w:val="en-GB"/>
        </w:rPr>
        <w:t xml:space="preserve">genetic evidence on </w:t>
      </w:r>
      <w:r w:rsidR="00DD24C8" w:rsidRPr="008C12C7">
        <w:rPr>
          <w:color w:val="000000"/>
          <w:lang w:val="en-GB"/>
        </w:rPr>
        <w:t>whether</w:t>
      </w:r>
      <w:r w:rsidR="00854721" w:rsidRPr="008C12C7">
        <w:rPr>
          <w:color w:val="000000"/>
          <w:lang w:val="en-GB"/>
        </w:rPr>
        <w:t xml:space="preserve"> a target causally influences disease risk, using naturally occurring variation near drug-target genes to proxy differences in target activity.</w:t>
      </w:r>
      <w:r w:rsidRPr="008C12C7">
        <w:rPr>
          <w:color w:val="000000"/>
          <w:lang w:val="en-GB"/>
        </w:rPr>
        <w:t xml:space="preserve"> This approach has precedent in cardiovascular drug development. For example, genetic variation in </w:t>
      </w:r>
      <w:r w:rsidRPr="008C12C7">
        <w:rPr>
          <w:i/>
          <w:iCs/>
          <w:color w:val="000000"/>
          <w:lang w:val="en-GB"/>
        </w:rPr>
        <w:t>PCSK9</w:t>
      </w:r>
      <w:r w:rsidRPr="008C12C7">
        <w:rPr>
          <w:color w:val="000000"/>
          <w:lang w:val="en-GB"/>
        </w:rPr>
        <w:t xml:space="preserve"> supported LDL-C lowering through PCSK9 inhibition as a strategy expected to reduce cardiovascular ri</w:t>
      </w:r>
      <w:bookmarkEnd w:id="16"/>
      <w:r w:rsidRPr="008C12C7">
        <w:rPr>
          <w:color w:val="000000"/>
          <w:lang w:val="en-GB"/>
        </w:rPr>
        <w:t>sk</w:t>
      </w:r>
      <w:r w:rsidR="00175DC2" w:rsidRPr="008C12C7">
        <w:rPr>
          <w:color w:val="000000"/>
          <w:lang w:val="en-GB"/>
        </w:rPr>
        <w:fldChar w:fldCharType="begin"/>
      </w:r>
      <w:r w:rsidR="00175DC2" w:rsidRPr="008C12C7">
        <w:rPr>
          <w:color w:val="000000"/>
          <w:lang w:val="en-GB"/>
        </w:rPr>
        <w:instrText xml:space="preserve"> ADDIN ZOTERO_ITEM CSL_CITATION {"citationID":"MJeZBERp","properties":{"unsorted":false,"formattedCitation":"\\super 12\\nosupersub{}","plainCitation":"12","noteIndex":0},"citationItems":[{"id":352,"uris":["http://zotero.org/users/12564564/items/2SKUWCVP"],"itemData":{"id":352,"type":"article-journal","abstract":"Statins are known to lower levels of LDL cholesterol, protect against cardiovascular disease, and slightly increase the risk of type 2 diabetes. This analysis of genetic variants in 112,772 participants from 14 studies suggests that PCSK9 inhibitors may do the same. Monoclonal antibodies and other therapies that inhibit proprotein convertase subtilisin–kexin type 9 (PCSK9) have been shown to reduce low-density lipoprotein (LDL) cholesterol levels by approximately 50 to 60% in several randomized trials.1–8 Whether lowering LDL cholesterol levels by inhibiting PCSK9 will reduce the risk of cardiovascular events and, like statins, also increase the risk of new-onset diabetes is unknown.9 Exploratory and post hoc analyses of randomized trials have suggested that lowering LDL cholesterol levels by approximately 70 mg per deciliter (1.81 mmol per liter) with a PCSK9 inhibitor may reduce the risk of major cardiovascular events by up to . . .","container-title":"New England Journal of Medicine","DOI":"10.1056/NEJMoa1604304","ISSN":"0028-4793","issue":"22","note":"publisher: Massachusetts Medical Society\n_eprint: https://www.nejm.org/doi/pdf/10.1056/NEJMoa1604304","page":"2144-2153","source":"Taylor and Francis+NEJM","title":"Variation in PCSK9 and HMGCR and Risk of Cardiovascular Disease and Diabetes","volume":"375","author":[{"family":"Ference","given":"Brian A."},{"family":"Robinson","given":"Jennifer G."},{"family":"Brook","given":"Robert D."},{"family":"Catapano","given":"Alberico L."},{"family":"Chapman","given":"M. John"},{"family":"Neff","given":"David R."},{"family":"Voros","given":"Szilard"},{"family":"Giugliano","given":"Robert P."},{"family":"Smith","given":"George Davey"},{"family":"Fazio","given":"Sergio"},{"family":"Sabatine","given":"Marc S."}],"issued":{"date-parts":[["2016",12,1]]}}}],"schema":"https://github.com/citation-style-language/schema/raw/master/csl-citation.json"} </w:instrText>
      </w:r>
      <w:r w:rsidR="00175DC2" w:rsidRPr="008C12C7">
        <w:rPr>
          <w:color w:val="000000"/>
          <w:lang w:val="en-GB"/>
        </w:rPr>
        <w:fldChar w:fldCharType="separate"/>
      </w:r>
      <w:r w:rsidR="00C740B9" w:rsidRPr="00C740B9">
        <w:rPr>
          <w:color w:val="000000"/>
          <w:szCs w:val="24"/>
          <w:vertAlign w:val="superscript"/>
          <w:lang w:val="en-GB"/>
        </w:rPr>
        <w:t>12</w:t>
      </w:r>
      <w:r w:rsidR="00175DC2" w:rsidRPr="008C12C7">
        <w:rPr>
          <w:color w:val="000000"/>
          <w:lang w:val="en-GB"/>
        </w:rPr>
        <w:fldChar w:fldCharType="end"/>
      </w:r>
      <w:r w:rsidRPr="008C12C7">
        <w:rPr>
          <w:color w:val="000000"/>
          <w:lang w:val="en-GB"/>
        </w:rPr>
        <w:t>. Conversely, genetic proxies of lower lipoprotein-associated phospholipase A</w:t>
      </w:r>
      <w:r w:rsidR="009C7196">
        <w:rPr>
          <w:color w:val="000000"/>
          <w:vertAlign w:val="subscript"/>
          <w:lang w:val="en-GB"/>
        </w:rPr>
        <w:t>2</w:t>
      </w:r>
      <w:r w:rsidRPr="008C12C7">
        <w:rPr>
          <w:color w:val="000000"/>
          <w:lang w:val="en-GB"/>
        </w:rPr>
        <w:t xml:space="preserve"> (Lp-PLA</w:t>
      </w:r>
      <w:r w:rsidR="009C7196">
        <w:rPr>
          <w:color w:val="000000"/>
          <w:vertAlign w:val="subscript"/>
          <w:lang w:val="en-GB"/>
        </w:rPr>
        <w:t>2</w:t>
      </w:r>
      <w:r w:rsidRPr="008C12C7">
        <w:rPr>
          <w:color w:val="000000"/>
          <w:lang w:val="en-GB"/>
        </w:rPr>
        <w:t>) activity were not associated with lower coronary heart disease risk, consistent with the lack of benefit observed for pharmacological Lp</w:t>
      </w:r>
      <w:r w:rsidR="00FC32C6" w:rsidRPr="008C12C7">
        <w:rPr>
          <w:color w:val="000000"/>
          <w:lang w:val="en-GB"/>
        </w:rPr>
        <w:t>-</w:t>
      </w:r>
      <w:r w:rsidRPr="008C12C7">
        <w:rPr>
          <w:color w:val="000000"/>
          <w:lang w:val="en-GB"/>
        </w:rPr>
        <w:t>PLA</w:t>
      </w:r>
      <w:r w:rsidR="0037738E">
        <w:rPr>
          <w:color w:val="000000"/>
          <w:vertAlign w:val="subscript"/>
          <w:lang w:val="en-GB"/>
        </w:rPr>
        <w:t>2</w:t>
      </w:r>
      <w:r w:rsidRPr="008C12C7">
        <w:rPr>
          <w:color w:val="000000"/>
          <w:lang w:val="en-GB"/>
        </w:rPr>
        <w:t xml:space="preserve"> inhibitio</w:t>
      </w:r>
      <w:r w:rsidR="00175DC2" w:rsidRPr="008C12C7">
        <w:rPr>
          <w:color w:val="000000"/>
          <w:lang w:val="en-GB"/>
        </w:rPr>
        <w:t>n</w:t>
      </w:r>
      <w:r w:rsidR="00175DC2" w:rsidRPr="008C12C7">
        <w:rPr>
          <w:color w:val="000000"/>
          <w:lang w:val="en-GB"/>
        </w:rPr>
        <w:fldChar w:fldCharType="begin"/>
      </w:r>
      <w:r w:rsidR="00175DC2" w:rsidRPr="008C12C7">
        <w:rPr>
          <w:color w:val="000000"/>
          <w:lang w:val="en-GB"/>
        </w:rPr>
        <w:instrText xml:space="preserve"> ADDIN ZOTERO_ITEM CSL_CITATION {"citationID":"1D5ygWkk","properties":{"unsorted":false,"formattedCitation":"\\super 13\\nosupersub{}","plainCitation":"13","noteIndex":0},"citationItems":[{"id":25,"uris":["http://zotero.org/users/12564564/items/LKLQVLZ5"],"itemData":{"id":25,"type":"article-journal","abstract":"Aims Darapladib, a potent inhibitor of lipoprotein-associated phospholipase A2 (Lp-PLA2), has not reduced risk of cardiovascular disease outcomes in recent randomized trials. We aimed to test whether Lp-PLA2 enzyme activity is causally relevant to coronary heart disease. Methods In 72,657 patients with coronary heart disease and 110,218 controls in 23 epidemiological studies, we genotyped five functional variants: four rare loss-of-function mutations (c.109+2T \\textgreater C (rs142974898), Arg82His (rs144983904), Val279Phe (rs76863441), Gln287Ter (rs140020965)) and one common modest-impact variant (Val379Ala (rs1051931)) in PLA2G7, the gene encoding Lp-PLA2. We supplemented de-novo genotyping with information on a further 45,823 coronary heart disease patients and 88,680 controls in publicly available databases and other previous studies. We conducted a systematic review of randomized trials to compare effects of darapladib treatment on soluble Lp-PLA2 activity, conventional cardiovascular risk factors, and coronary heart disease risk with corresponding effects of Lp-PLA2-lowering alleles. Results Lp-PLA2 activity was decreased by 64% (p = 2.4 × 10–25) with carriage of any of the four loss-of-function variants, by 45% (p \\textless 10–300) for every allele inherited at Val279Phe, and by 2.7% (p = 1.9 × 10–12) for every allele inherited at Val379Ala. Darapladib 160 mg once-daily reduced Lp-PLA2 activity by 65% (p \\textless 10–300). Causal risk ratios for coronary heart disease per 65% lower Lp-PLA2 activity were: 0.95 (0.88–1.03) with Val279Phe; 0.92 (0.74–1.16) with carriage of any loss-of-function variant; 1.01 (0.68–1.51) with Val379Ala; and 0.95 (0.89–1.02) with darapladib treatment. Conclusions In a large-scale human genetic study, none of a series of Lp-PLA2-lowering alleles was related to coronary heart disease risk, suggesting that Lp-PLA2 is unlikely to be a causal risk factor.","container-title":"European Journal of Preventive Cardiology","DOI":"10.1177/2047487316682186","ISSN":"2047-4873","issue":"5","page":"492–504","PMID":"27940953","PMCID":"PMC5460752","title":"Genetic invalidation of Lp-PLA2 as a therapeutic target: Large-scale study of five functional Lp-PLA2-lowering alleles","title-short":"Genetic invalidation of Lp-PLA2 as a therapeutic target","volume":"24","author":[{"family":"Gregson","given":"John M"},{"family":"Freitag","given":"Daniel F"},{"family":"Surendran","given":"Praveen"},{"family":"Stitziel","given":"Nathan O"},{"family":"Chowdhury","given":"Rajiv"},{"family":"Burgess","given":"Stephen"},{"family":"Kaptoge","given":"Stephen"},{"family":"Gao","given":"Pei"},{"family":"Staley","given":"James R"},{"family":"Willeit","given":"Peter"},{"family":"Nielsen","given":"Sune F"},{"family":"Caslake","given":"Muriel"},{"family":"Trompet","given":"Stella"},{"family":"Polfus","given":"Linda M"},{"family":"Kuulasmaa","given":"Kari"},{"family":"Kontto","given":"Jukka"},{"family":"Perola","given":"Markus"},{"family":"Blankenberg","given":"Stefan"},{"family":"Veronesi","given":"Giovanni"},{"family":"Gianfagna","given":"Francesco"},{"family":"Männistö","given":"Satu"},{"family":"Kimura","given":"Akinori"},{"family":"Lin","given":"Honghuang"},{"family":"Reilly","given":"Dermot F"},{"family":"Gorski","given":"Mathias"},{"family":"Mijatovic","given":"Vladan"},{"family":"Munroe","given":"Patricia B"},{"family":"Ehret","given":"Georg B"},{"family":"Thompson","given":"Alex"},{"family":"Uria-Nickelsen","given":"Maria"},{"family":"Malarstig","given":"Anders"},{"family":"Dehghan","given":"Abbas"},{"family":"Vogt","given":"Thomas F"},{"family":"Sasaoka","given":"Taishi"},{"family":"Takeuchi","given":"Fumihiko"},{"family":"Kato","given":"Norihiro"},{"family":"Yamada","given":"Yoshiji"},{"family":"Kee","given":"Frank"},{"family":"Müller-Nurasyid","given":"Martina"},{"family":"Ferrières","given":"Jean"},{"family":"Arveiler","given":"Dominique"},{"family":"Amouyel","given":"Philippe"},{"family":"Salomaa","given":"Veikko"},{"family":"Boerwinkle","given":"Eric"},{"family":"Thompson","given":"Simon G"},{"family":"Ford","given":"Ian"},{"family":"Wouter Jukema","given":"J"},{"family":"Sattar","given":"Naveed"},{"family":"Packard","given":"Chris J"},{"family":"Shafi Majumder","given":"Abdulla","dropping-particle":"al"},{"family":"Alam","given":"Dewan S"},{"family":"Deloukas","given":"Panos"},{"family":"Schunkert","given":"Heribert"},{"family":"Samani","given":"Nilesh J"},{"family":"Kathiresan","given":"Sekar"},{"family":"Nordestgaard","given":"Børge G"},{"family":"Saleheen","given":"Danish"},{"family":"Howson","given":"Joanna MM"},{"family":"Di Angelantonio","given":"Emanuele"},{"family":"Butterworth","given":"Adam S"},{"family":"Danesh","given":"John"}],"issued":{"date-parts":[["2017",3]]}}}],"schema":"https://github.com/citation-style-language/schema/raw/master/csl-citation.json"} </w:instrText>
      </w:r>
      <w:r w:rsidR="00175DC2" w:rsidRPr="008C12C7">
        <w:rPr>
          <w:color w:val="000000"/>
          <w:lang w:val="en-GB"/>
        </w:rPr>
        <w:fldChar w:fldCharType="separate"/>
      </w:r>
      <w:r w:rsidR="00C740B9" w:rsidRPr="00C740B9">
        <w:rPr>
          <w:color w:val="000000"/>
          <w:szCs w:val="24"/>
          <w:vertAlign w:val="superscript"/>
          <w:lang w:val="en-GB"/>
        </w:rPr>
        <w:t>13</w:t>
      </w:r>
      <w:r w:rsidR="00175DC2" w:rsidRPr="008C12C7">
        <w:rPr>
          <w:color w:val="000000"/>
          <w:lang w:val="en-GB"/>
        </w:rPr>
        <w:fldChar w:fldCharType="end"/>
      </w:r>
      <w:r w:rsidRPr="008C12C7">
        <w:rPr>
          <w:color w:val="000000"/>
          <w:lang w:val="en-GB"/>
        </w:rPr>
        <w:t>.</w:t>
      </w:r>
    </w:p>
    <w:p w14:paraId="626D315E" w14:textId="72CB8889" w:rsidR="006D380D" w:rsidRPr="008C12C7" w:rsidRDefault="00000000" w:rsidP="002018B1">
      <w:pPr>
        <w:ind w:firstLine="720"/>
        <w:rPr>
          <w:lang w:val="en-GB"/>
        </w:rPr>
      </w:pPr>
      <w:r w:rsidRPr="008C12C7">
        <w:rPr>
          <w:lang w:val="en-GB"/>
        </w:rPr>
        <w:t>In this study, we applied drug-target MR to test whether genetically proxied NLRP3 activity is associated with CAD risk</w:t>
      </w:r>
      <w:r w:rsidR="003E46AC" w:rsidRPr="008C12C7">
        <w:rPr>
          <w:lang w:val="en-GB"/>
        </w:rPr>
        <w:t xml:space="preserve">, examined the pathways underlying this association, </w:t>
      </w:r>
      <w:r w:rsidR="00384422" w:rsidRPr="008C12C7">
        <w:rPr>
          <w:lang w:val="en-GB"/>
        </w:rPr>
        <w:t xml:space="preserve">and explored additional diseases </w:t>
      </w:r>
      <w:r w:rsidR="00D41851" w:rsidRPr="008C12C7">
        <w:rPr>
          <w:lang w:val="en-GB"/>
        </w:rPr>
        <w:t>for</w:t>
      </w:r>
      <w:r w:rsidR="00384422" w:rsidRPr="008C12C7">
        <w:rPr>
          <w:lang w:val="en-GB"/>
        </w:rPr>
        <w:t xml:space="preserve"> which selective NLRP3 inhibitors have been or are being evaluated in clinical trials.</w:t>
      </w:r>
    </w:p>
    <w:bookmarkEnd w:id="11"/>
    <w:p w14:paraId="120BD292" w14:textId="77777777" w:rsidR="006D380D" w:rsidRPr="008C12C7" w:rsidRDefault="00000000" w:rsidP="002018B1">
      <w:pPr>
        <w:rPr>
          <w:lang w:val="en-GB"/>
        </w:rPr>
      </w:pPr>
      <w:r w:rsidRPr="008C12C7">
        <w:rPr>
          <w:lang w:val="en-GB"/>
        </w:rPr>
        <w:br w:type="page"/>
      </w:r>
    </w:p>
    <w:p w14:paraId="6A99E255" w14:textId="77777777" w:rsidR="006D380D" w:rsidRPr="008C12C7" w:rsidRDefault="00000000">
      <w:pPr>
        <w:pStyle w:val="Heading1"/>
        <w:rPr>
          <w:lang w:val="en-GB"/>
        </w:rPr>
      </w:pPr>
      <w:bookmarkStart w:id="17" w:name="wdigrb1oymt" w:colFirst="0" w:colLast="0"/>
      <w:bookmarkStart w:id="18" w:name="_690ech8m366q" w:colFirst="0" w:colLast="0"/>
      <w:bookmarkStart w:id="19" w:name="_Hlk240565654"/>
      <w:bookmarkEnd w:id="17"/>
      <w:bookmarkEnd w:id="18"/>
      <w:r w:rsidRPr="008C12C7">
        <w:rPr>
          <w:lang w:val="en-GB"/>
        </w:rPr>
        <w:lastRenderedPageBreak/>
        <w:t>3. Methods</w:t>
      </w:r>
    </w:p>
    <w:p w14:paraId="2C8CD908" w14:textId="55D2F2BE" w:rsidR="006D380D" w:rsidRPr="008C12C7" w:rsidRDefault="00000000">
      <w:pPr>
        <w:pStyle w:val="Heading2"/>
        <w:rPr>
          <w:lang w:val="en-GB"/>
        </w:rPr>
      </w:pPr>
      <w:bookmarkStart w:id="20" w:name="tyi8vi68m4z9" w:colFirst="0" w:colLast="0"/>
      <w:bookmarkStart w:id="21" w:name="_dixsrdfifjg" w:colFirst="0" w:colLast="0"/>
      <w:bookmarkEnd w:id="20"/>
      <w:bookmarkEnd w:id="21"/>
      <w:r w:rsidRPr="008C12C7">
        <w:rPr>
          <w:lang w:val="en-GB"/>
        </w:rPr>
        <w:t xml:space="preserve">3.1. Study </w:t>
      </w:r>
      <w:r w:rsidR="00007387">
        <w:rPr>
          <w:lang w:val="en-GB"/>
        </w:rPr>
        <w:t>d</w:t>
      </w:r>
      <w:r w:rsidRPr="008C12C7">
        <w:rPr>
          <w:lang w:val="en-GB"/>
        </w:rPr>
        <w:t>esign</w:t>
      </w:r>
    </w:p>
    <w:p w14:paraId="326ECEF0" w14:textId="3D3F2F07" w:rsidR="006D380D" w:rsidRPr="008C12C7" w:rsidRDefault="00000000">
      <w:pPr>
        <w:pBdr>
          <w:top w:val="nil"/>
          <w:left w:val="nil"/>
          <w:bottom w:val="nil"/>
          <w:right w:val="nil"/>
          <w:between w:val="nil"/>
        </w:pBdr>
        <w:rPr>
          <w:color w:val="000000"/>
          <w:lang w:val="en-GB"/>
        </w:rPr>
      </w:pPr>
      <w:bookmarkStart w:id="22" w:name="_Hlk238576876"/>
      <w:r w:rsidRPr="008C12C7">
        <w:rPr>
          <w:color w:val="000000"/>
          <w:lang w:val="en-GB"/>
        </w:rPr>
        <w:t xml:space="preserve">We used drug-target MR to test whether </w:t>
      </w:r>
      <w:r w:rsidR="00D94E6B" w:rsidRPr="008C12C7">
        <w:rPr>
          <w:color w:val="000000"/>
          <w:lang w:val="en-GB"/>
        </w:rPr>
        <w:t>genetically proxied NLRP3 activity, represented by an NLRP3 activity score</w:t>
      </w:r>
      <w:r w:rsidR="0022720B" w:rsidRPr="008C12C7">
        <w:rPr>
          <w:color w:val="000000"/>
          <w:lang w:val="en-GB"/>
        </w:rPr>
        <w:t>,</w:t>
      </w:r>
      <w:r w:rsidR="00D94E6B" w:rsidRPr="008C12C7">
        <w:rPr>
          <w:color w:val="000000"/>
          <w:lang w:val="en-GB"/>
        </w:rPr>
        <w:t xml:space="preserve"> was associated with CAD risk </w:t>
      </w:r>
      <w:r w:rsidRPr="008C12C7">
        <w:rPr>
          <w:color w:val="000000"/>
          <w:lang w:val="en-GB"/>
        </w:rPr>
        <w:t>(</w:t>
      </w:r>
      <w:hyperlink w:anchor="ply28ugmsqdz">
        <w:r w:rsidR="006D380D" w:rsidRPr="008C12C7">
          <w:rPr>
            <w:color w:val="000000"/>
            <w:lang w:val="en-GB"/>
          </w:rPr>
          <w:t>Figure 1</w:t>
        </w:r>
      </w:hyperlink>
      <w:r w:rsidRPr="008C12C7">
        <w:rPr>
          <w:color w:val="000000"/>
          <w:lang w:val="en-GB"/>
        </w:rPr>
        <w:t xml:space="preserve">). We constructed </w:t>
      </w:r>
      <w:r w:rsidR="00C42247" w:rsidRPr="008C12C7">
        <w:rPr>
          <w:color w:val="000000"/>
          <w:lang w:val="en-GB"/>
        </w:rPr>
        <w:t>the score</w:t>
      </w:r>
      <w:r w:rsidRPr="008C12C7">
        <w:rPr>
          <w:color w:val="000000"/>
          <w:lang w:val="en-GB"/>
        </w:rPr>
        <w:t xml:space="preserve"> from eight </w:t>
      </w:r>
      <w:r w:rsidRPr="008C12C7">
        <w:rPr>
          <w:i/>
          <w:iCs/>
          <w:color w:val="000000"/>
          <w:lang w:val="en-GB"/>
        </w:rPr>
        <w:t>cis</w:t>
      </w:r>
      <w:r w:rsidRPr="008C12C7">
        <w:rPr>
          <w:color w:val="000000"/>
          <w:lang w:val="en-GB"/>
        </w:rPr>
        <w:t xml:space="preserve">-acting variants at the </w:t>
      </w:r>
      <w:r w:rsidRPr="008C12C7">
        <w:rPr>
          <w:i/>
          <w:iCs/>
          <w:color w:val="000000"/>
          <w:lang w:val="en-GB"/>
        </w:rPr>
        <w:t>NLRP3</w:t>
      </w:r>
      <w:r w:rsidRPr="008C12C7">
        <w:rPr>
          <w:color w:val="000000"/>
          <w:lang w:val="en-GB"/>
        </w:rPr>
        <w:t xml:space="preserve"> locus, using their associations with </w:t>
      </w:r>
      <w:r w:rsidRPr="008C12C7">
        <w:rPr>
          <w:i/>
          <w:iCs/>
          <w:color w:val="000000"/>
          <w:lang w:val="en-GB"/>
        </w:rPr>
        <w:t>NLRP3</w:t>
      </w:r>
      <w:r w:rsidRPr="008C12C7">
        <w:rPr>
          <w:color w:val="000000"/>
          <w:lang w:val="en-GB"/>
        </w:rPr>
        <w:t xml:space="preserve"> expression and circulating inflammatory biomarkers downstream of NLRP3 inflammasome activation. We validated this score against canonical </w:t>
      </w:r>
      <w:r w:rsidR="00C42247" w:rsidRPr="008C12C7">
        <w:rPr>
          <w:color w:val="000000"/>
          <w:lang w:val="en-GB"/>
        </w:rPr>
        <w:t xml:space="preserve">NLRP3 </w:t>
      </w:r>
      <w:r w:rsidRPr="008C12C7">
        <w:rPr>
          <w:color w:val="000000"/>
          <w:lang w:val="en-GB"/>
        </w:rPr>
        <w:t>inflammasome effector cytokines</w:t>
      </w:r>
      <w:r w:rsidR="00C42247" w:rsidRPr="008C12C7">
        <w:rPr>
          <w:color w:val="000000"/>
          <w:lang w:val="en-GB"/>
        </w:rPr>
        <w:t xml:space="preserve"> IL-1β and IL-18</w:t>
      </w:r>
      <w:r w:rsidRPr="008C12C7">
        <w:rPr>
          <w:color w:val="000000"/>
          <w:lang w:val="en-GB"/>
        </w:rPr>
        <w:t xml:space="preserve"> before estimating its association with CAD. We further assessed mediation by cardiometabolic risk factors and explored </w:t>
      </w:r>
      <w:r w:rsidR="00C00961" w:rsidRPr="008C12C7">
        <w:rPr>
          <w:color w:val="000000"/>
          <w:lang w:val="en-GB"/>
        </w:rPr>
        <w:t>additional diseases for which selective NLRP3 inhibitors have been or are being evaluated in clinical trials.</w:t>
      </w:r>
    </w:p>
    <w:p w14:paraId="6005AE85" w14:textId="57693C67" w:rsidR="006D380D" w:rsidRPr="008C12C7" w:rsidRDefault="00000000">
      <w:pPr>
        <w:pStyle w:val="Heading2"/>
        <w:rPr>
          <w:lang w:val="en-GB"/>
        </w:rPr>
      </w:pPr>
      <w:bookmarkStart w:id="23" w:name="v0e0wftp8odd" w:colFirst="0" w:colLast="0"/>
      <w:bookmarkStart w:id="24" w:name="_u34xllh8z2yo" w:colFirst="0" w:colLast="0"/>
      <w:bookmarkEnd w:id="22"/>
      <w:bookmarkEnd w:id="23"/>
      <w:bookmarkEnd w:id="24"/>
      <w:r w:rsidRPr="008C12C7">
        <w:rPr>
          <w:lang w:val="en-GB"/>
        </w:rPr>
        <w:t>3.2. Data sources</w:t>
      </w:r>
    </w:p>
    <w:p w14:paraId="4F0AB44F" w14:textId="363785CD" w:rsidR="00CE51DC" w:rsidRPr="008C12C7" w:rsidRDefault="00CE51DC" w:rsidP="00CE51DC">
      <w:pPr>
        <w:rPr>
          <w:color w:val="000000"/>
          <w:lang w:val="en-GB"/>
        </w:rPr>
      </w:pPr>
      <w:r w:rsidRPr="008C12C7">
        <w:rPr>
          <w:color w:val="000000"/>
          <w:lang w:val="en-GB"/>
        </w:rPr>
        <w:t xml:space="preserve">Across analyses, we prioritised the largest publicly available GWAS summary statistics from European-ancestry participants to maximise statistical power while maintaining ancestry consistency with the instrument-construction datasets. </w:t>
      </w:r>
    </w:p>
    <w:p w14:paraId="3B4F3970" w14:textId="77777777" w:rsidR="006D380D" w:rsidRPr="008C12C7" w:rsidRDefault="00000000">
      <w:pPr>
        <w:pStyle w:val="Heading3"/>
        <w:rPr>
          <w:lang w:val="en-GB"/>
        </w:rPr>
      </w:pPr>
      <w:r w:rsidRPr="008C12C7">
        <w:rPr>
          <w:lang w:val="en-GB"/>
        </w:rPr>
        <w:t>3.2.1. Datasets for instrument construction and validation</w:t>
      </w:r>
    </w:p>
    <w:p w14:paraId="695B4B03" w14:textId="4D937E2C" w:rsidR="006D380D" w:rsidRPr="00C31E8B" w:rsidRDefault="001810F7">
      <w:pPr>
        <w:pBdr>
          <w:top w:val="nil"/>
          <w:left w:val="nil"/>
          <w:bottom w:val="nil"/>
          <w:right w:val="nil"/>
          <w:between w:val="nil"/>
        </w:pBdr>
        <w:rPr>
          <w:color w:val="000000" w:themeColor="text1"/>
          <w:lang w:val="en-GB"/>
        </w:rPr>
      </w:pPr>
      <w:r w:rsidRPr="008C12C7">
        <w:rPr>
          <w:color w:val="000000"/>
          <w:lang w:val="en-GB"/>
        </w:rPr>
        <w:t xml:space="preserve">Instrument construction used GWAS summary statistics for circulating CRP levels, </w:t>
      </w:r>
      <w:proofErr w:type="spellStart"/>
      <w:r w:rsidRPr="008C12C7">
        <w:rPr>
          <w:color w:val="000000"/>
          <w:lang w:val="en-GB"/>
        </w:rPr>
        <w:t>GlycA</w:t>
      </w:r>
      <w:proofErr w:type="spellEnd"/>
      <w:r w:rsidRPr="008C12C7">
        <w:rPr>
          <w:color w:val="000000"/>
          <w:lang w:val="en-GB"/>
        </w:rPr>
        <w:t xml:space="preserve"> concentrations, neutrophil count, and whole-blood </w:t>
      </w:r>
      <w:r w:rsidRPr="000B5B8C">
        <w:rPr>
          <w:i/>
          <w:iCs/>
          <w:color w:val="000000"/>
          <w:lang w:val="en-GB"/>
        </w:rPr>
        <w:t>NLRP3</w:t>
      </w:r>
      <w:r w:rsidRPr="008C12C7">
        <w:rPr>
          <w:color w:val="000000"/>
          <w:lang w:val="en-GB"/>
        </w:rPr>
        <w:t xml:space="preserve"> expression. Summary statistics for CRP levels were obtained from a UK Biobank and CHARGE meta-analysis including 575,531 European-ancestry individuals, with CRP measured using immunoturbidimetric assays</w:t>
      </w:r>
      <w:r w:rsidR="00EF380D" w:rsidRPr="008C12C7">
        <w:rPr>
          <w:color w:val="000000"/>
          <w:lang w:val="en-GB"/>
        </w:rPr>
        <w:fldChar w:fldCharType="begin"/>
      </w:r>
      <w:r w:rsidR="00EF380D" w:rsidRPr="008C12C7">
        <w:rPr>
          <w:color w:val="000000"/>
          <w:lang w:val="en-GB"/>
        </w:rPr>
        <w:instrText xml:space="preserve"> ADDIN ZOTERO_ITEM CSL_CITATION {"citationID":"1ok3IFt3","properties":{"unsorted":false,"formattedCitation":"\\super 14\\nosupersub{}","plainCitation":"14","noteIndex":0},"citationItems":[{"id":467,"uris":["http://zotero.org/users/12564564/items/6DKSU4WP"],"itemData":{"id":467,"type":"article-journal","abstract":"Chronic low-grade inflammation is linked to a multitude of chronic diseases. We report the largest genome-wide association study (GWAS) on C-reactive protein (CRP), a marker of systemic inflammation, in UK Biobank participants (N = 427,367, European descent) and the Cohorts for Heart and Aging Research in Genomic Epidemiology (CHARGE) Consortium (total N = 575,531 European descent). We identify 266 independent loci, of which 211 are not previously reported. Gene-set analysis highlighted 42 gene sets associated with CRP levels (p ≤ 3.2 ×10−6) and tissue expression analysis indicated a strong association of CRP related genes with liver and whole blood gene expression. Phenome-wide association study identified 27 clinical outcomes associated with genetically determined CRP and subsequent Mendelian randomisation analyses supported a causal association with schizophrenia, chronic airway obstruction and prostate cancer. Our findings identified genetic loci and functional properties of chronic low-grade inflammation and provided evidence for causal associations with a range of diseases.","container-title":"Nature Communications","DOI":"10.1038/s41467-022-29650-5","ISSN":"2041-1723","issue":"1","journalAbbreviation":"Nat Commun","language":"en","license":"2022 The Author(s)","note":"publisher: Nature Publishing Group","page":"2198","source":"www.nature.com","title":"Genetic analysis of over half a million people characterises C-reactive protein loci","volume":"13","author":[{"family":"Said","given":"Saredo"},{"family":"Pazoki","given":"Raha"},{"family":"Karhunen","given":"Ville"},{"family":"Võsa","given":"Urmo"},{"family":"Ligthart","given":"Symen"},{"family":"Bodinier","given":"Barbara"},{"family":"Koskeridis","given":"Fotios"},{"family":"Welsh","given":"Paul"},{"family":"Alizadeh","given":"Behrooz Z."},{"family":"Chasman","given":"Daniel I."},{"family":"Sattar","given":"Naveed"},{"family":"Chadeau-Hyam","given":"Marc"},{"family":"Evangelou","given":"Evangelos"},{"family":"Jarvelin","given":"Marjo-Riitta"},{"family":"Elliott","given":"Paul"},{"family":"Tzoulaki","given":"Ioanna"},{"family":"Dehghan","given":"Abbas"}],"issued":{"date-parts":[["2022",4,22]]}}}],"schema":"https://github.com/citation-style-language/schema/raw/master/csl-citation.json"} </w:instrText>
      </w:r>
      <w:r w:rsidR="00EF380D" w:rsidRPr="008C12C7">
        <w:rPr>
          <w:color w:val="000000"/>
          <w:lang w:val="en-GB"/>
        </w:rPr>
        <w:fldChar w:fldCharType="separate"/>
      </w:r>
      <w:r w:rsidR="00C740B9" w:rsidRPr="00C740B9">
        <w:rPr>
          <w:color w:val="000000"/>
          <w:szCs w:val="24"/>
          <w:vertAlign w:val="superscript"/>
          <w:lang w:val="en-GB"/>
        </w:rPr>
        <w:t>14</w:t>
      </w:r>
      <w:r w:rsidR="00EF380D" w:rsidRPr="008C12C7">
        <w:rPr>
          <w:color w:val="000000"/>
          <w:lang w:val="en-GB"/>
        </w:rPr>
        <w:fldChar w:fldCharType="end"/>
      </w:r>
      <w:r w:rsidRPr="008C12C7">
        <w:rPr>
          <w:color w:val="000000"/>
          <w:lang w:val="en-GB"/>
        </w:rPr>
        <w:t xml:space="preserve">. Summary statistics for </w:t>
      </w:r>
      <w:proofErr w:type="spellStart"/>
      <w:r w:rsidRPr="008C12C7">
        <w:rPr>
          <w:color w:val="000000"/>
          <w:lang w:val="en-GB"/>
        </w:rPr>
        <w:t>GlycA</w:t>
      </w:r>
      <w:proofErr w:type="spellEnd"/>
      <w:r w:rsidRPr="008C12C7">
        <w:rPr>
          <w:color w:val="000000"/>
          <w:lang w:val="en-GB"/>
        </w:rPr>
        <w:t xml:space="preserve"> concentrations were obtained from 434,646 European-ancestry UK Biobank participants, with </w:t>
      </w:r>
      <w:proofErr w:type="spellStart"/>
      <w:r w:rsidRPr="008C12C7">
        <w:rPr>
          <w:color w:val="000000"/>
          <w:lang w:val="en-GB"/>
        </w:rPr>
        <w:t>GlycA</w:t>
      </w:r>
      <w:proofErr w:type="spellEnd"/>
      <w:r w:rsidRPr="008C12C7">
        <w:rPr>
          <w:color w:val="000000"/>
          <w:lang w:val="en-GB"/>
        </w:rPr>
        <w:t xml:space="preserve"> quantified using the Nightingale Health nuclear magnetic resonance metabolomics platform</w:t>
      </w:r>
      <w:r w:rsidR="00EF380D" w:rsidRPr="008C12C7">
        <w:rPr>
          <w:color w:val="000000"/>
          <w:lang w:val="en-GB"/>
        </w:rPr>
        <w:fldChar w:fldCharType="begin"/>
      </w:r>
      <w:r w:rsidR="00EF380D" w:rsidRPr="008C12C7">
        <w:rPr>
          <w:color w:val="000000"/>
          <w:lang w:val="en-GB"/>
        </w:rPr>
        <w:instrText xml:space="preserve"> ADDIN ZOTERO_ITEM CSL_CITATION {"citationID":"TWJQsGLZ","properties":{"unsorted":false,"formattedCitation":"\\super 15\\nosupersub{}","plainCitation":"15","noteIndex":0},"citationItems":[{"id":21,"uris":["http://zotero.org/users/12564564/items/4BFPSAYJ"],"itemData":{"id":21,"type":"article-journal","abstract":"Genetic studies of human metabolism have been limited in scale and allelic breadth. Here we provide a data-driven map of the genetic regulation of circulating small molecules and lipoprotein characteristics (249 traits) measured using proton nuclear magnetic resonance spectroscopy across the allele frequency spectrum in \\textasciitilde450,000 individuals. Trans-ancestral meta-analyses identify 29,824 locus–metabolite associations mapping to 753 regions with effects largely consistent between men and women and large ancestral groups represented in UK Biobank. We observe and classify extreme genetic pleiotropy, identify regulators of lipid metabolism, and assign effector genes at \\textgreater100 loci through rare-to-common allelic series. We propose roles for genes less established in metabolic control (for example, SIDT2), genes characterized by phenotypic heterogeneity (for example, APOA1) and genes with specific disease relevance (for example, VEGFA). Our study demonstrates the value of broad, large-scale metabolomic phenotyping to identify and characterize regulators of human metabolism.","container-title":"Nature Genetics","DOI":"10.1038/s41588-025-02355-3","ISSN":"1546-1718","issue":"10","language":"en","license":"2025 The Author(s)","page":"2445–2455","title":"A genetic map of human metabolism across the allele frequency spectrum","volume":"57","author":[{"family":"Zoodsma","given":"Martijn"},{"family":"Beuchel","given":"Carl"},{"family":"Yasmeen","given":"Summaira"},{"family":"Kohleick","given":"Leonhard"},{"family":"Nepal","given":"Aakash"},{"family":"Koprulu","given":"Mine"},{"family":"Kronenberg","given":"Florian"},{"family":"Mayr","given":"Manuel"},{"family":"Williamson","given":"Alice"},{"family":"Pietzner","given":"Maik"},{"family":"Langenberg","given":"Claudia"}],"issued":{"date-parts":[["2025",10]]}}}],"schema":"https://github.com/citation-style-language/schema/raw/master/csl-citation.json"} </w:instrText>
      </w:r>
      <w:r w:rsidR="00EF380D" w:rsidRPr="008C12C7">
        <w:rPr>
          <w:color w:val="000000"/>
          <w:lang w:val="en-GB"/>
        </w:rPr>
        <w:fldChar w:fldCharType="separate"/>
      </w:r>
      <w:r w:rsidR="00C740B9" w:rsidRPr="00C740B9">
        <w:rPr>
          <w:color w:val="000000"/>
          <w:szCs w:val="24"/>
          <w:vertAlign w:val="superscript"/>
          <w:lang w:val="en-GB"/>
        </w:rPr>
        <w:t>15</w:t>
      </w:r>
      <w:r w:rsidR="00EF380D" w:rsidRPr="008C12C7">
        <w:rPr>
          <w:color w:val="000000"/>
          <w:lang w:val="en-GB"/>
        </w:rPr>
        <w:fldChar w:fldCharType="end"/>
      </w:r>
      <w:r w:rsidRPr="008C12C7">
        <w:rPr>
          <w:color w:val="000000"/>
          <w:lang w:val="en-GB"/>
        </w:rPr>
        <w:t>. Neutrophil count summary statistics were obtained from the European-ancestry subset of a multi-ancestry blood-cell trait meta-analysis including 519,288 individuals, in which counts were measured by automated haematology analysers in contributing cohorts</w:t>
      </w:r>
      <w:r w:rsidR="00EF380D" w:rsidRPr="008C12C7">
        <w:rPr>
          <w:color w:val="000000"/>
          <w:lang w:val="en-GB"/>
        </w:rPr>
        <w:fldChar w:fldCharType="begin"/>
      </w:r>
      <w:r w:rsidR="001865ED">
        <w:rPr>
          <w:color w:val="000000"/>
          <w:lang w:val="en-GB"/>
        </w:rPr>
        <w:instrText xml:space="preserve"> ADDIN ZOTERO_ITEM CSL_CITATION {"citationID":"7kXhYcXZ","properties":{"unsorted":false,"formattedCitation":"\\super 16\\nosupersub{}","plainCitation":"16","noteIndex":0},"citationItems":[{"id":562,"uris":["http://zotero.org/users/12564564/items/YJ8XJLER"],"itemData":{"id":562,"type":"article-journal","abstract":"Most loci identified by GWASs have been found in populations of European ancestry (EUR). In trans-ethnic meta-analyses for 15 hematological traits in 746,667 participants, including 184,535 non-EUR individuals, we identified 5,552 trait-variant associations at p &lt; 5 × 10-9, including 71 novel associations not found in EUR populations. We also identified 28 additional novel variants in ancestry-specific, non-EUR meta-analyses, including an IL7 missense variant in South Asians associated with lymphocyte count in vivo and IL-7 secretion levels in vitro. Fine-mapping prioritized variants annotated as functional and generated 95% credible sets that were 30% smaller when using the trans-ethnic as opposed to the EUR-only results. We explored the clinical significance and predictive value of trans-ethnic variants in multiple populations and compared genetic architecture and the effect of natural selection on these blood phenotypes between populations. Altogether, our results for hematological traits highlight the value of a more global representation of populations in genetic studies.","container-title":"Cell","DOI":"10.1016/j.cell.2020.06.045","ISSN":"1097-4172","issue":"5","journalAbbreviation":"Cell","language":"eng","note":"PMID: 32888493\nPMCID: PMC7480402","page":"1198–1213.e14","source":"PubMed","title":"Trans-ethnic and Ancestry-Specific Blood-Cell Genetics in 746,667 Individuals from 5 Global Populations","volume":"182","author":[{"family":"Chen","given":"Ming-Huei"},{"family":"Raffield","given":"Laura M."},{"family":"Mousas","given":"Abdou"},{"family":"Sakaue","given":"Saori"},{"family":"Huffman","given":"Jennifer E."},{"family":"Moscati","given":"Arden"},{"family":"Trivedi","given":"Bhavi"},{"family":"Jiang","given":"Tao"},{"family":"Akbari","given":"Parsa"},{"family":"Vuckovic","given":"Dragana"},{"family":"Bao","given":"Erik L."},{"family":"Zhong","given":"Xue"},{"family":"Manansala","given":"Regina"},{"family":"Laplante","given":"Véronique"},{"family":"Chen","given":"Minhui"},{"family":"Lo","given":"Ken Sin"},{"family":"Qian","given":"Huijun"},{"family":"Lareau","given":"Caleb A."},{"family":"Beaudoin","given":"Mélissa"},{"family":"Hunt","given":"Karen A."},{"family":"Akiyama","given":"Masato"},{"family":"Bartz","given":"Traci M."},{"family":"Ben-Shlomo","given":"Yoav"},{"family":"Beswick","given":"Andrew"},{"family":"Bork-Jensen","given":"Jette"},{"family":"Bottinger","given":"Erwin P."},{"family":"Brody","given":"Jennifer A."},{"family":"Rooij","given":"Frank J. A.","non-dropping-particle":"van"},{"family":"Chitrala","given":"Kumaraswamynaidu"},{"family":"Cho","given":"Kelly"},{"family":"Choquet","given":"Hélène"},{"family":"Correa","given":"Adolfo"},{"family":"Danesh","given":"John"},{"family":"Di Angelantonio","given":"Emanuele"},{"family":"Dimou","given":"Niki"},{"family":"Ding","given":"Jingzhong"},{"family":"Elliott","given":"Paul"},{"family":"Esko","given":"Tõnu"},{"family":"Evans","given":"Michele K."},{"family":"Floyd","given":"James S."},{"family":"Broer","given":"Linda"},{"family":"Grarup","given":"Niels"},{"family":"Guo","given":"Michael H."},{"family":"Greinacher","given":"Andreas"},{"family":"Haessler","given":"Jeff"},{"family":"Hansen","given":"Torben"},{"family":"Howson","given":"Joanna M. M."},{"family":"Huang","given":"Qin Qin"},{"family":"Huang","given":"Wei"},{"family":"Jorgenson","given":"Eric"},{"family":"Kacprowski","given":"Tim"},{"family":"Kähönen","given":"Mika"},{"family":"Kamatani","given":"Yoichiro"},{"family":"Kanai","given":"Masahiro"},{"family":"Karthikeyan","given":"Savita"},{"family":"Koskeridis","given":"Fotis"},{"family":"Lange","given":"Leslie A."},{"family":"Lehtimäki","given":"Terho"},{"family":"Lerch","given":"Markus M."},{"family":"Linneberg","given":"Allan"},{"family":"Liu","given":"Yongmei"},{"family":"Lyytikäinen","given":"Leo-Pekka"},{"family":"Manichaikul","given":"Ani"},{"family":"Martin","given":"Hilary C."},{"family":"Matsuda","given":"Koichi"},{"family":"Mohlke","given":"Karen L."},{"family":"Mononen","given":"Nina"},{"family":"Murakami","given":"Yoshinori"},{"family":"Nadkarni","given":"Girish N."},{"family":"Nauck","given":"Matthias"},{"family":"Nikus","given":"Kjell"},{"family":"Ouwehand","given":"Willem H."},{"family":"Pankratz","given":"Nathan"},{"family":"Pedersen","given":"Oluf"},{"family":"Preuss","given":"Michael"},{"family":"Psaty","given":"Bruce M."},{"family":"Raitakari","given":"Olli T."},{"family":"Roberts","given":"David J."},{"family":"Rich","given":"Stephen S."},{"family":"Rodriguez","given":"Benjamin A. T."},{"family":"Rosen","given":"Jonathan D."},{"family":"Rotter","given":"Jerome I."},{"family":"Schubert","given":"Petra"},{"family":"Spracklen","given":"Cassandra N."},{"family":"Surendran","given":"Praveen"},{"family":"Tang","given":"Hua"},{"family":"Tardif","given":"Jean-Claude"},{"family":"Trembath","given":"Richard C."},{"family":"Ghanbari","given":"Mohsen"},{"family":"Völker","given":"Uwe"},{"family":"Völzke","given":"Henry"},{"family":"Watkins","given":"Nicholas A."},{"family":"Zonderman","given":"Alan B."},{"literal":"VA Million Veteran Program"},{"family":"Wilson","given":"Peter W. F."},{"family":"Li","given":"Yun"},{"family":"Butterworth","given":"Adam S."},{"family":"Gauchat","given":"Jean-François"},{"family":"Chiang","given":"Charleston W. K."},{"family":"Li","given":"Bingshan"},{"family":"Loos","given":"Ruth J. F."},{"family":"Astle","given":"William J."},{"family":"Evangelou","given":"Evangelos"},{"family":"Heel","given":"David A.","non-dropping-particle":"van"},{"family":"Sankaran","given":"Vijay G."},{"family":"Okada","given":"Yukinori"},{"family":"Soranzo","given":"Nicole"},{"family":"Johnson","given":"Andrew D."},{"family":"Reiner","given":"Alexander P."},{"family":"Auer","given":"Paul L."},{"family":"Lettre","given":"Guillaume"}],"issued":{"date-parts":[["2020",9,3]]}}}],"schema":"https://github.com/citation-style-language/schema/raw/master/csl-citation.json"} </w:instrText>
      </w:r>
      <w:r w:rsidR="00EF380D" w:rsidRPr="008C12C7">
        <w:rPr>
          <w:color w:val="000000"/>
          <w:lang w:val="en-GB"/>
        </w:rPr>
        <w:fldChar w:fldCharType="separate"/>
      </w:r>
      <w:r w:rsidR="00C740B9" w:rsidRPr="00C740B9">
        <w:rPr>
          <w:color w:val="000000"/>
          <w:szCs w:val="24"/>
          <w:vertAlign w:val="superscript"/>
          <w:lang w:val="en-GB"/>
        </w:rPr>
        <w:t>16</w:t>
      </w:r>
      <w:r w:rsidR="00EF380D" w:rsidRPr="008C12C7">
        <w:rPr>
          <w:color w:val="000000"/>
          <w:lang w:val="en-GB"/>
        </w:rPr>
        <w:fldChar w:fldCharType="end"/>
      </w:r>
      <w:r w:rsidRPr="008C12C7">
        <w:rPr>
          <w:color w:val="000000"/>
          <w:lang w:val="en-GB"/>
        </w:rPr>
        <w:t xml:space="preserve">. Whole-blood </w:t>
      </w:r>
      <w:r w:rsidRPr="000B5B8C">
        <w:rPr>
          <w:i/>
          <w:iCs/>
          <w:color w:val="000000"/>
          <w:lang w:val="en-GB"/>
        </w:rPr>
        <w:t>NLRP3</w:t>
      </w:r>
      <w:r w:rsidRPr="008C12C7">
        <w:rPr>
          <w:color w:val="000000"/>
          <w:lang w:val="en-GB"/>
        </w:rPr>
        <w:t xml:space="preserve"> expression quantitative trait locus data were obtained from 4,732 European-ancestry INTERVAL participants, with expression measured by RNA sequencing</w:t>
      </w:r>
      <w:r w:rsidR="00EF380D" w:rsidRPr="008C12C7">
        <w:rPr>
          <w:color w:val="000000"/>
          <w:lang w:val="en-GB"/>
        </w:rPr>
        <w:fldChar w:fldCharType="begin"/>
      </w:r>
      <w:r w:rsidR="00EF380D" w:rsidRPr="008C12C7">
        <w:rPr>
          <w:color w:val="000000"/>
          <w:lang w:val="en-GB"/>
        </w:rPr>
        <w:instrText xml:space="preserve"> ADDIN ZOTERO_ITEM CSL_CITATION {"citationID":"zR03a8FV","properties":{"unsorted":false,"formattedCitation":"\\super 17\\nosupersub{}","plainCitation":"17","noteIndex":0},"citationItems":[{"id":82,"uris":["http://zotero.org/users/12564564/items/HAJNJT3F"],"itemData":{"id":82,"type":"article-journal","abstract":"The biological mechanisms through which most nonprotein-coding genetic variants affect disease risk are unknown. To investigate gene-regulatory mechanisms, we mapped blood gene expression and splicing quantitative trait loci (QTLs) through bulk RNA sequencing in 4,732 participants and integrated protein, metabolite and lipid data from the same individuals. We identified cis-QTLs for the expression of 17,233 genes and 29,514 splicing events (in 6,853 genes). Colocalization analyses revealed 3,430 proteomic and metabolomic traits with a shared association signal with either gene expression or splicing. We quantified the relative contribution of the genetic effects at loci with shared etiology, observing 222 molecular phenotypes significantly mediated by gene expression or splicing. We uncovered gene-regulatory mechanisms at disease loci with therapeutic implications, such as WARS1 in hypertension, IL7R in dermatitis and IFNAR2 in COVID-19. Our study provides an open-access resource on the shared genetic etiology across transcriptional phenotypes, molecular traits and health outcomes in humans (https://IntervalRNA.org.uk).","container-title":"Nature Genetics","DOI":"10.1038/s41588-025-02096-3","ISSN":"1546-1718","issue":"3","language":"en","license":"2025 The Author(s)","page":"616–625","title":"The contribution of genetic determinants of blood gene expression and splicing to molecular phenotypes and health outcomes","volume":"57","author":[{"family":"Tokolyi","given":"Alex"},{"family":"Persyn","given":"Elodie"},{"family":"Nath","given":"Artika P."},{"family":"Burnham","given":"Katie L."},{"family":"Marten","given":"Jonathan"},{"family":"Vanderstichele","given":"Thomas"},{"family":"Tardaguila","given":"Manuel"},{"family":"Stacey","given":"David"},{"family":"Farr","given":"Ben"},{"family":"Iyer","given":"Vivek"},{"family":"Jiang","given":"Xilin"},{"family":"Lambert","given":"Samuel A."},{"family":"Noell","given":"Guillaume"},{"family":"Quail","given":"Michael A."},{"family":"Rajan","given":"Diana"},{"family":"Ritchie","given":"Scott C."},{"family":"Sun","given":"Benjamin B."},{"family":"Thurston","given":"Scott A. J."},{"family":"Xu","given":"Yu"},{"family":"Whelan","given":"Christopher D."},{"family":"Runz","given":"Heiko"},{"family":"Petrovski","given":"Slavé"},{"family":"Gaffney","given":"Daniel J."},{"family":"Roberts","given":"David J."},{"family":"Di Angelantonio","given":"Emanuele"},{"family":"Peters","given":"James E."},{"family":"Soranzo","given":"Nicole"},{"family":"Danesh","given":"John"},{"family":"Butterworth","given":"Adam S."},{"family":"Inouye","given":"Michael"},{"family":"Davenport","given":"Emma E."},{"family":"Paul","given":"Dirk S."}],"issued":{"date-parts":[["2025",3]]}}}],"schema":"https://github.com/citation-style-language/schema/raw/master/csl-citation.json"} </w:instrText>
      </w:r>
      <w:r w:rsidR="00EF380D" w:rsidRPr="008C12C7">
        <w:rPr>
          <w:color w:val="000000"/>
          <w:lang w:val="en-GB"/>
        </w:rPr>
        <w:fldChar w:fldCharType="separate"/>
      </w:r>
      <w:r w:rsidR="00C740B9" w:rsidRPr="00C740B9">
        <w:rPr>
          <w:color w:val="000000"/>
          <w:szCs w:val="24"/>
          <w:vertAlign w:val="superscript"/>
          <w:lang w:val="en-GB"/>
        </w:rPr>
        <w:t>17</w:t>
      </w:r>
      <w:r w:rsidR="00EF380D" w:rsidRPr="008C12C7">
        <w:rPr>
          <w:color w:val="000000"/>
          <w:lang w:val="en-GB"/>
        </w:rPr>
        <w:fldChar w:fldCharType="end"/>
      </w:r>
      <w:r w:rsidRPr="008C12C7">
        <w:rPr>
          <w:color w:val="000000"/>
          <w:lang w:val="en-GB"/>
        </w:rPr>
        <w:t xml:space="preserve">. </w:t>
      </w:r>
      <w:r w:rsidR="00EC15F8">
        <w:rPr>
          <w:color w:val="000000"/>
          <w:lang w:val="en-GB"/>
        </w:rPr>
        <w:t xml:space="preserve">For instrument validation, we used plasma protein GWAS summary statistics </w:t>
      </w:r>
      <w:r w:rsidR="006113DB">
        <w:rPr>
          <w:color w:val="000000"/>
          <w:lang w:val="en-GB"/>
        </w:rPr>
        <w:t xml:space="preserve">from </w:t>
      </w:r>
      <w:r w:rsidR="00EC15F8">
        <w:rPr>
          <w:color w:val="000000"/>
          <w:lang w:val="en-GB"/>
        </w:rPr>
        <w:t xml:space="preserve">the </w:t>
      </w:r>
      <w:r w:rsidR="0059237A" w:rsidRPr="0059237A">
        <w:rPr>
          <w:color w:val="000000"/>
          <w:lang w:val="en-GB"/>
        </w:rPr>
        <w:t xml:space="preserve">full UK Biobank Pharma Proteomics Project cohort, comprising up to 51,637 participants per protein profiled using the </w:t>
      </w:r>
      <w:proofErr w:type="spellStart"/>
      <w:r w:rsidR="0059237A" w:rsidRPr="0059237A">
        <w:rPr>
          <w:color w:val="000000"/>
          <w:lang w:val="en-GB"/>
        </w:rPr>
        <w:t>Olink</w:t>
      </w:r>
      <w:proofErr w:type="spellEnd"/>
      <w:r w:rsidR="0059237A" w:rsidRPr="0059237A">
        <w:rPr>
          <w:color w:val="000000"/>
          <w:lang w:val="en-GB"/>
        </w:rPr>
        <w:t xml:space="preserve"> Explore platform</w:t>
      </w:r>
      <w:r w:rsidR="00EF380D" w:rsidRPr="00C31E8B">
        <w:rPr>
          <w:color w:val="000000" w:themeColor="text1"/>
          <w:lang w:val="en-GB"/>
        </w:rPr>
        <w:fldChar w:fldCharType="begin"/>
      </w:r>
      <w:r w:rsidR="00EF380D" w:rsidRPr="00C31E8B">
        <w:rPr>
          <w:color w:val="000000" w:themeColor="text1"/>
          <w:lang w:val="en-GB"/>
        </w:rPr>
        <w:instrText xml:space="preserve"> ADDIN ZOTERO_ITEM CSL_CITATION {"citationID":"yR8t99Hl","properties":{"unsorted":false,"formattedCitation":"\\super 18\\nosupersub{}","plainCitation":"18","noteIndex":0},"citationItems":[{"id":296,"uris":["http://zotero.org/users/12564564/items/24KF5FQD"],"itemData":{"id":296,"type":"article-journal","abstract":"The Pharma Proteomics Project is a precompetitive biopharmaceutical consortium characterizing the plasma proteomic profiles of 54,219 UK Biobank participants. Here we provide a detailed summary of this initiative, including technical and biological validations, insights into proteomic disease signatures, and prediction modelling for various demographic and health indicators. We present comprehensive protein quantitative trait locus (pQTL) mapping of 2,923 proteins that identifies 14,287 primary genetic associations, of which 81% are previously undescribed, alongside ancestry-specific pQTL mapping in non-European individuals. The study provides an updated characterization of the genetic architecture of the plasma proteome, contextualized with projected pQTL discovery rates as sample sizes and proteomic assay coverages increase over time. We offer extensive insights into trans pQTLs across multiple biological domains, highlight genetic influences on ligand–receptor interactions and pathway perturbations across a diverse collection of cytokines and complement networks, and illustrate long-range epistatic effects of ABO blood group and FUT2 secretor status on proteins with gastrointestinal tissue-enriched expression. We demonstrate the utility of these data for drug discovery by extending the genetic proxied effects of protein targets, such as PCSK9, on additional endpoints, and disentangle specific genes and proteins perturbed at loci associated with COVID-19 susceptibility. This public–private partnership provides the scientific community with an open-access proteomics resource of considerable breadth and depth to help to elucidate the biological mechanisms underlying proteo-genomic discoveries and accelerate the development of biomarkers, predictive models and therapeutics1.","container-title":"Nature","DOI":"10.1038/s41586-023-06592-6","ISSN":"1476-4687","issue":"7982","language":"en","license":"2023 The Author(s)","page":"329–338","title":"Plasma proteomic associations with genetics and health in the UK Biobank","volume":"622","author":[{"family":"Sun","given":"Benjamin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S."},{"family":"Davitte","given":"Jonathan"},{"family":"Ferber","given":"Kyle L."},{"family":"Gillies","given":"Christopher E."},{"family":"Hedman","given":"Åsa K."},{"family":"Hu","given":"Sile"},{"family":"Lin","given":"Tinchi"},{"family":"Mikkilineni","given":"Rajesh"},{"family":"Pendergrass","given":"Rion K."},{"family":"Pickering","given":"Corran"},{"family":"Prins","given":"Bram"},{"family":"Baird","given":"Denis"},{"family":"Chen","given":"Chia-Yen"},{"family":"Ward","given":"Lucas D."},{"family":"Deaton","given":"Aimee M."},{"family":"Welsh","given":"Samantha"},{"family":"Willis","given":"Carissa M."},{"family":"Lehner","given":"Nick"},{"family":"Arnold","given":"Matthias"},{"family":"Wörheide","given":"Maria A."},{"family":"Suhre","given":"Karsten"},{"family":"Kastenmüller","given":"Gabi"},{"family":"Sethi","given":"Anurag"},{"family":"Cule","given":"Madeleine"},{"family":"Raj","given":"Anil"},{"family":"Kang","given":"Hyun Ming"},{"family":"Burkitt-Gray","given":"Lucy"},{"family":"Melamud","given":"Eugene"},{"family":"Black","given":"Mary Helen"},{"family":"Fauman","given":"Eric B."},{"family":"Howson","given":"Joanna M. M."},{"family":"Kang","given":"Hyun Min"},{"family":"McCarthy","given":"Mark I."},{"family":"Nioi","given":"Paul"},{"family":"Petrovski","given":"Slavé"},{"family":"Scott","given":"Robert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D."}],"issued":{"date-parts":[["2023",10]]}}}],"schema":"https://github.com/citation-style-language/schema/raw/master/csl-citation.json"} </w:instrText>
      </w:r>
      <w:r w:rsidR="00EF380D" w:rsidRPr="00C31E8B">
        <w:rPr>
          <w:color w:val="000000" w:themeColor="text1"/>
          <w:lang w:val="en-GB"/>
        </w:rPr>
        <w:fldChar w:fldCharType="separate"/>
      </w:r>
      <w:r w:rsidR="00C740B9" w:rsidRPr="00C31E8B">
        <w:rPr>
          <w:color w:val="000000" w:themeColor="text1"/>
          <w:szCs w:val="24"/>
          <w:vertAlign w:val="superscript"/>
          <w:lang w:val="en-GB"/>
        </w:rPr>
        <w:t>18</w:t>
      </w:r>
      <w:r w:rsidR="00EF380D" w:rsidRPr="00C31E8B">
        <w:rPr>
          <w:color w:val="000000" w:themeColor="text1"/>
          <w:lang w:val="en-GB"/>
        </w:rPr>
        <w:fldChar w:fldCharType="end"/>
      </w:r>
      <w:r w:rsidRPr="00C31E8B">
        <w:rPr>
          <w:color w:val="000000" w:themeColor="text1"/>
          <w:lang w:val="en-GB"/>
        </w:rPr>
        <w:t xml:space="preserve">. </w:t>
      </w:r>
      <w:r w:rsidR="00EC15F8">
        <w:rPr>
          <w:color w:val="000000" w:themeColor="text1"/>
          <w:lang w:val="en-GB"/>
        </w:rPr>
        <w:t>This cohort is predominantly</w:t>
      </w:r>
      <w:r w:rsidR="006113DB">
        <w:rPr>
          <w:color w:val="000000" w:themeColor="text1"/>
          <w:lang w:val="en-GB"/>
        </w:rPr>
        <w:t xml:space="preserve"> of</w:t>
      </w:r>
      <w:r w:rsidR="00EC15F8">
        <w:rPr>
          <w:color w:val="000000" w:themeColor="text1"/>
          <w:lang w:val="en-GB"/>
        </w:rPr>
        <w:t xml:space="preserve"> European ancestry (45,397 of 52,363 participants).</w:t>
      </w:r>
      <w:r w:rsidR="00814ED4">
        <w:rPr>
          <w:color w:val="000000" w:themeColor="text1"/>
          <w:lang w:val="en-GB"/>
        </w:rPr>
        <w:t xml:space="preserve"> We used these full-cohort summary statistics, which the original study provides to maximise </w:t>
      </w:r>
      <w:r w:rsidR="00511ECF">
        <w:rPr>
          <w:color w:val="000000" w:themeColor="text1"/>
          <w:lang w:val="en-GB"/>
        </w:rPr>
        <w:t>statistical</w:t>
      </w:r>
      <w:r w:rsidR="00814ED4">
        <w:rPr>
          <w:color w:val="000000" w:themeColor="text1"/>
          <w:lang w:val="en-GB"/>
        </w:rPr>
        <w:t xml:space="preserve"> power and variant coverage</w:t>
      </w:r>
      <w:r w:rsidR="00814ED4">
        <w:rPr>
          <w:color w:val="000000" w:themeColor="text1"/>
          <w:lang w:val="en-GB"/>
        </w:rPr>
        <w:fldChar w:fldCharType="begin"/>
      </w:r>
      <w:r w:rsidR="00814ED4">
        <w:rPr>
          <w:color w:val="000000" w:themeColor="text1"/>
          <w:lang w:val="en-GB"/>
        </w:rPr>
        <w:instrText xml:space="preserve"> ADDIN ZOTERO_ITEM CSL_CITATION {"citationID":"m747L5f1","properties":{"unsorted":false,"formattedCitation":"\\super 18\\nosupersub{}","plainCitation":"18","noteIndex":0},"citationItems":[{"id":296,"uris":["http://zotero.org/users/12564564/items/24KF5FQD"],"itemData":{"id":296,"type":"article-journal","abstract":"The Pharma Proteomics Project is a precompetitive biopharmaceutical consortium characterizing the plasma proteomic profiles of 54,219 UK Biobank participants. Here we provide a detailed summary of this initiative, including technical and biological validations, insights into proteomic disease signatures, and prediction modelling for various demographic and health indicators. We present comprehensive protein quantitative trait locus (pQTL) mapping of 2,923 proteins that identifies 14,287 primary genetic associations, of which 81% are previously undescribed, alongside ancestry-specific pQTL mapping in non-European individuals. The study provides an updated characterization of the genetic architecture of the plasma proteome, contextualized with projected pQTL discovery rates as sample sizes and proteomic assay coverages increase over time. We offer extensive insights into trans pQTLs across multiple biological domains, highlight genetic influences on ligand–receptor interactions and pathway perturbations across a diverse collection of cytokines and complement networks, and illustrate long-range epistatic effects of ABO blood group and FUT2 secretor status on proteins with gastrointestinal tissue-enriched expression. We demonstrate the utility of these data for drug discovery by extending the genetic proxied effects of protein targets, such as PCSK9, on additional endpoints, and disentangle specific genes and proteins perturbed at loci associated with COVID-19 susceptibility. This public–private partnership provides the scientific community with an open-access proteomics resource of considerable breadth and depth to help to elucidate the biological mechanisms underlying proteo-genomic discoveries and accelerate the development of biomarkers, predictive models and therapeutics1.","container-title":"Nature","DOI":"10.1038/s41586-023-06592-6","ISSN":"1476-4687","issue":"7982","language":"en","license":"2023 The Author(s)","page":"329–338","title":"Plasma proteomic associations with genetics and health in the UK Biobank","volume":"622","author":[{"family":"Sun","given":"Benjamin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S."},{"family":"Davitte","given":"Jonathan"},{"family":"Ferber","given":"Kyle L."},{"family":"Gillies","given":"Christopher E."},{"family":"Hedman","given":"Åsa K."},{"family":"Hu","given":"Sile"},{"family":"Lin","given":"Tinchi"},{"family":"Mikkilineni","given":"Rajesh"},{"family":"Pendergrass","given":"Rion K."},{"family":"Pickering","given":"Corran"},{"family":"Prins","given":"Bram"},{"family":"Baird","given":"Denis"},{"family":"Chen","given":"Chia-Yen"},{"family":"Ward","given":"Lucas D."},{"family":"Deaton","given":"Aimee M."},{"family":"Welsh","given":"Samantha"},{"family":"Willis","given":"Carissa M."},{"family":"Lehner","given":"Nick"},{"family":"Arnold","given":"Matthias"},{"family":"Wörheide","given":"Maria A."},{"family":"Suhre","given":"Karsten"},{"family":"Kastenmüller","given":"Gabi"},{"family":"Sethi","given":"Anurag"},{"family":"Cule","given":"Madeleine"},{"family":"Raj","given":"Anil"},{"family":"Kang","given":"Hyun Ming"},{"family":"Burkitt-Gray","given":"Lucy"},{"family":"Melamud","given":"Eugene"},{"family":"Black","given":"Mary Helen"},{"family":"Fauman","given":"Eric B."},{"family":"Howson","given":"Joanna M. M."},{"family":"Kang","given":"Hyun Min"},{"family":"McCarthy","given":"Mark I."},{"family":"Nioi","given":"Paul"},{"family":"Petrovski","given":"Slavé"},{"family":"Scott","given":"Robert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D."}],"issued":{"date-parts":[["2023",10]]}}}],"schema":"https://github.com/citation-style-language/schema/raw/master/csl-citation.json"} </w:instrText>
      </w:r>
      <w:r w:rsidR="00814ED4">
        <w:rPr>
          <w:color w:val="000000" w:themeColor="text1"/>
          <w:lang w:val="en-GB"/>
        </w:rPr>
        <w:fldChar w:fldCharType="separate"/>
      </w:r>
      <w:r w:rsidR="00814ED4" w:rsidRPr="00814ED4">
        <w:rPr>
          <w:color w:val="000000"/>
          <w:szCs w:val="24"/>
          <w:vertAlign w:val="superscript"/>
          <w:lang w:val="en-GB"/>
        </w:rPr>
        <w:t>18</w:t>
      </w:r>
      <w:r w:rsidR="00814ED4">
        <w:rPr>
          <w:color w:val="000000" w:themeColor="text1"/>
          <w:lang w:val="en-GB"/>
        </w:rPr>
        <w:fldChar w:fldCharType="end"/>
      </w:r>
      <w:r w:rsidR="00814ED4">
        <w:rPr>
          <w:color w:val="000000" w:themeColor="text1"/>
          <w:lang w:val="en-GB"/>
        </w:rPr>
        <w:t xml:space="preserve">. </w:t>
      </w:r>
      <w:r w:rsidR="00D33C92" w:rsidRPr="00D33C92">
        <w:rPr>
          <w:color w:val="000000" w:themeColor="text1"/>
          <w:lang w:val="en-GB"/>
        </w:rPr>
        <w:t>IL-1β and IL-18 were available only in this smaller proteomic dataset and were therefore used to validate the score rather than to construct it.</w:t>
      </w:r>
      <w:r w:rsidR="00BA1660" w:rsidRPr="00C31E8B">
        <w:rPr>
          <w:color w:val="000000" w:themeColor="text1"/>
          <w:lang w:val="en-GB"/>
        </w:rPr>
        <w:t xml:space="preserve"> </w:t>
      </w:r>
      <w:r w:rsidRPr="00C31E8B">
        <w:rPr>
          <w:color w:val="000000" w:themeColor="text1"/>
          <w:lang w:val="en-GB"/>
        </w:rPr>
        <w:t xml:space="preserve">Further details are provided in </w:t>
      </w:r>
      <w:r w:rsidR="005827F4" w:rsidRPr="00C31E8B">
        <w:rPr>
          <w:color w:val="000000" w:themeColor="text1"/>
          <w:lang w:val="en-GB"/>
        </w:rPr>
        <w:t>Supplementary Table 1</w:t>
      </w:r>
      <w:r w:rsidRPr="00C31E8B">
        <w:rPr>
          <w:color w:val="000000" w:themeColor="text1"/>
          <w:lang w:val="en-GB"/>
        </w:rPr>
        <w:t>.</w:t>
      </w:r>
    </w:p>
    <w:p w14:paraId="6E599D4F" w14:textId="0E59F390" w:rsidR="006D380D" w:rsidRPr="00C31E8B" w:rsidRDefault="00000000">
      <w:pPr>
        <w:pStyle w:val="Heading3"/>
        <w:rPr>
          <w:color w:val="000000" w:themeColor="text1"/>
          <w:lang w:val="en-GB"/>
        </w:rPr>
      </w:pPr>
      <w:bookmarkStart w:id="25" w:name="qqfns7gnnvwp" w:colFirst="0" w:colLast="0"/>
      <w:bookmarkStart w:id="26" w:name="_i11taa4hyss3" w:colFirst="0" w:colLast="0"/>
      <w:bookmarkStart w:id="27" w:name="_Hlk240393050"/>
      <w:bookmarkEnd w:id="25"/>
      <w:bookmarkEnd w:id="26"/>
      <w:r w:rsidRPr="00C31E8B">
        <w:rPr>
          <w:color w:val="000000" w:themeColor="text1"/>
          <w:lang w:val="en-GB"/>
        </w:rPr>
        <w:t xml:space="preserve">3.2.2. Datasets for </w:t>
      </w:r>
      <w:r w:rsidR="00B41A96" w:rsidRPr="00C31E8B">
        <w:rPr>
          <w:color w:val="000000" w:themeColor="text1"/>
          <w:lang w:val="en-GB"/>
        </w:rPr>
        <w:t>disease</w:t>
      </w:r>
      <w:r w:rsidRPr="00C31E8B">
        <w:rPr>
          <w:color w:val="000000" w:themeColor="text1"/>
          <w:lang w:val="en-GB"/>
        </w:rPr>
        <w:t xml:space="preserve"> outcomes</w:t>
      </w:r>
    </w:p>
    <w:p w14:paraId="7EF4DD20" w14:textId="7135914D" w:rsidR="006D380D" w:rsidRPr="00C31E8B" w:rsidRDefault="00101CAA">
      <w:pPr>
        <w:pBdr>
          <w:top w:val="nil"/>
          <w:left w:val="nil"/>
          <w:bottom w:val="nil"/>
          <w:right w:val="nil"/>
          <w:between w:val="nil"/>
        </w:pBdr>
        <w:rPr>
          <w:color w:val="000000" w:themeColor="text1"/>
          <w:lang w:val="en-GB"/>
        </w:rPr>
      </w:pPr>
      <w:bookmarkStart w:id="28" w:name="_Hlk238637669"/>
      <w:r w:rsidRPr="008C12C7">
        <w:rPr>
          <w:color w:val="000000"/>
          <w:lang w:val="en-GB"/>
        </w:rPr>
        <w:t xml:space="preserve">The primary disease outcome was CAD, for which we combined </w:t>
      </w:r>
      <w:r w:rsidR="00224128" w:rsidRPr="008C12C7">
        <w:rPr>
          <w:color w:val="000000"/>
          <w:lang w:val="en-GB"/>
        </w:rPr>
        <w:t>four European-ancestry datasets: a CAD GWAS meta-analysis</w:t>
      </w:r>
      <w:r w:rsidRPr="008C12C7">
        <w:rPr>
          <w:color w:val="000000"/>
          <w:lang w:val="en-GB"/>
        </w:rPr>
        <w:t xml:space="preserve"> including 181,522 cases and 984,168 controls</w:t>
      </w:r>
      <w:r w:rsidR="00071846" w:rsidRPr="008C12C7">
        <w:rPr>
          <w:color w:val="000000"/>
          <w:lang w:val="en-GB"/>
        </w:rPr>
        <w:fldChar w:fldCharType="begin"/>
      </w:r>
      <w:r w:rsidR="00071846" w:rsidRPr="008C12C7">
        <w:rPr>
          <w:color w:val="000000"/>
          <w:lang w:val="en-GB"/>
        </w:rPr>
        <w:instrText xml:space="preserve"> ADDIN ZOTERO_ITEM CSL_CITATION {"citationID":"Rhoz98Y7","properties":{"unsorted":false,"formattedCitation":"\\super 19\\nosupersub{}","plainCitation":"19","noteIndex":0},"citationItems":[{"id":311,"uris":["http://zotero.org/users/12564564/items/4YE7KRKQ"],"itemData":{"id":311,"type":"article-journal","abstract":"The discovery of genetic loci associated with complex diseases has outpaced the elucidation of mechanisms of disease pathogenesis. Here we conducted a genome-wide association study (GWAS) for coronary artery disease (CAD) comprising 181,522 cases among 1,165,690 participants of predominantly European ancestry. We detected 241 associations, including 30 new loci. Cross-ancestry meta-analysis with a Japanese GWAS yielded 38 additional new loci. We prioritized likely causal variants using functionally informed fine-mapping, yielding 42 associations with less than five variants in the 95% credible set. Similarity-based clustering suggested roles for early developmental processes, cell cycle signaling and vascular cell migration and proliferation in the pathogenesis of CAD. We prioritized 220 candidate causal genes, combining eight complementary approaches, including 123 supported by three or more approaches. Using CRISPR–Cas9, we experimentally validated the effect of an enhancer in MYO9B, which appears to mediate CAD risk by regulating vascular cell motility. Our analysis identifies and systematically characterizes \\textgreater250 risk loci for CAD to inform experimental interrogation of putative causal mechanisms for CAD.","container-title":"Nature Genetics","DOI":"10.1038/s41588-022-01233-6","ISSN":"1546-1718","issue":"12","language":"en","license":"2022 The Author(s)","page":"1803–1815","title":"Discovery and systematic characterization of risk variants and genes for coronary artery disease in over a million participants","volume":"54","author":[{"family":"Aragam","given":"Krishna G."},{"family":"Jiang","given":"Tao"},{"family":"Goel","given":"Anuj"},{"family":"Kanoni","given":"Stavroula"},{"family":"Wolford","given":"Brooke N."},{"family":"Atri","given":"Deepak S."},{"family":"Weeks","given":"Elle M."},{"family":"Wang","given":"Minxian"},{"family":"Hindy","given":"George"},{"family":"Zhou","given":"Wei"},{"family":"Grace","given":"Christopher"},{"family":"Roselli","given":"Carolina"},{"family":"Marston","given":"Nicholas A."},{"family":"Kamanu","given":"Frederick K."},{"family":"Surakka","given":"Ida"},{"family":"Venegas","given":"Loreto Muñoz"},{"family":"Sherliker","given":"Paul"},{"family":"Koyama","given":"Satoshi"},{"family":"Ishigaki","given":"Kazuyoshi"},{"family":"Åsvold","given":"Bjørn O."},{"family":"Brown","given":"Michael R."},{"family":"Brumpton","given":"Ben"},{"family":"Vries","given":"Paul S.","non-dropping-particle":"de"},{"family":"Giannakopoulou","given":"Olga"},{"family":"Giardoglou","given":"Panagiota"},{"family":"Gudbjartsson","given":"Daniel F."},{"family":"Güldener","given":"Ulrich"},{"family":"Haider","given":"Syed M. Ijlal"},{"family":"Helgadottir","given":"Anna"},{"family":"Ibrahim","given":"Maysson"},{"family":"Kastrati","given":"Adnan"},{"family":"Kessler","given":"Thorsten"},{"family":"Kyriakou","given":"Theodosios"},{"family":"Konopka","given":"Tomasz"},{"family":"Li","given":"Ling"},{"family":"Ma","given":"Lijiang"},{"family":"Meitinger","given":"Thomas"},{"family":"Mucha","given":"Sören"},{"family":"Munz","given":"Matthias"},{"family":"Murgia","given":"Federico"},{"family":"Nielsen","given":"Jonas B."},{"family":"Nöthen","given":"Markus M."},{"family":"Pang","given":"Shichao"},{"family":"Reinberger","given":"Tobias"},{"family":"Schnitzler","given":"Gavin"},{"family":"Smedley","given":"Damian"},{"family":"Thorleifsson","given":"Gudmar"},{"family":"Scheidt","given":"Moritz","non-dropping-particle":"von"},{"family":"Ulirsch","given":"Jacob C."},{"family":"Danesh","given":"John"},{"family":"Arnar","given":"David O."},{"family":"Burtt","given":"Noël P."},{"family":"Costanzo","given":"Maria C."},{"family":"Flannick","given":"Jason"},{"family":"Ito","given":"Kaoru"},{"family":"Jang","given":"Dong-Keun"},{"family":"Kamatani","given":"Yoichiro"},{"family":"Khera","given":"Amit V."},{"family":"Komuro","given":"Issei"},{"family":"Kullo","given":"Iftikhar J."},{"family":"Lotta","given":"Luca A."},{"family":"Nelson","given":"Christopher P."},{"family":"Roberts","given":"Robert"},{"family":"Thorgeirsson","given":"Gudmundur"},{"family":"Thorsteinsdottir","given":"Unnur"},{"family":"Webb","given":"Thomas R."},{"family":"Baras","given":"Aris"},{"family":"Björkegren","given":"Johan L. M."},{"family":"Boerwinkle","given":"Eric"},{"family":"Dedoussis","given":"George"},{"family":"Holm","given":"Hilma"},{"family":"Hveem","given":"Kristian"},{"family":"Melander","given":"Olle"},{"family":"Morrison","given":"Alanna C."},{"family":"Orho-Melander","given":"Marju"},{"family":"Rallidis","given":"Loukianos S."},{"family":"Ruusalepp","given":"Arno"},{"family":"Sabatine","given":"Marc S."},{"family":"Stefansson","given":"Kari"},{"family":"Zalloua","given":"Pierre"},{"family":"Ellinor","given":"Patrick T."},{"family":"Farrall","given":"Martin"},{"family":"Danesh","given":"John"},{"family":"Ruff","given":"Christian T."},{"family":"Finucane","given":"Hilary K."},{"family":"Hopewell","given":"Jemma C."},{"family":"Clarke","given":"Robert"},{"family":"Gupta","given":"Rajat M."},{"family":"Erdmann","given":"Jeanette"},{"family":"Samani","given":"Nilesh J."},{"family":"Schunkert","given":"Heribert"},{"family":"Watkins","given":"Hugh"},{"family":"Willer","given":"Cristen J."},{"family":"Deloukas","given":"Panos"},{"family":"Kathiresan","given":"Sekar"},{"family":"Butterworth","given":"Adam S."}],"issued":{"date-parts":[["2022",12]]}}}],"schema":"https://github.com/citation-style-language/schema/raw/master/csl-citation.json"} </w:instrText>
      </w:r>
      <w:r w:rsidR="00071846" w:rsidRPr="008C12C7">
        <w:rPr>
          <w:color w:val="000000"/>
          <w:lang w:val="en-GB"/>
        </w:rPr>
        <w:fldChar w:fldCharType="separate"/>
      </w:r>
      <w:r w:rsidR="00C740B9" w:rsidRPr="00C740B9">
        <w:rPr>
          <w:color w:val="000000"/>
          <w:szCs w:val="24"/>
          <w:vertAlign w:val="superscript"/>
          <w:lang w:val="en-GB"/>
        </w:rPr>
        <w:t>19</w:t>
      </w:r>
      <w:r w:rsidR="00071846" w:rsidRPr="008C12C7">
        <w:rPr>
          <w:color w:val="000000"/>
          <w:lang w:val="en-GB"/>
        </w:rPr>
        <w:fldChar w:fldCharType="end"/>
      </w:r>
      <w:r w:rsidR="00224128" w:rsidRPr="008C12C7">
        <w:rPr>
          <w:color w:val="000000"/>
          <w:lang w:val="en-GB"/>
        </w:rPr>
        <w:t xml:space="preserve">, coronary atherosclerosis in the Million Veteran Program (MVP), </w:t>
      </w:r>
      <w:r w:rsidR="00224128" w:rsidRPr="008C12C7">
        <w:rPr>
          <w:lang w:val="en-GB"/>
        </w:rPr>
        <w:t>including 124,302 cases and 300,039 controls</w:t>
      </w:r>
      <w:r w:rsidR="00071846" w:rsidRPr="008C12C7">
        <w:rPr>
          <w:color w:val="000000"/>
          <w:lang w:val="en-GB"/>
        </w:rPr>
        <w:fldChar w:fldCharType="begin"/>
      </w:r>
      <w:r w:rsidR="00071846" w:rsidRPr="008C12C7">
        <w:rPr>
          <w:color w:val="000000"/>
          <w:lang w:val="en-GB"/>
        </w:rPr>
        <w:instrText xml:space="preserve"> ADDIN ZOTERO_ITEM CSL_CITATION {"citationID":"bgmXB8ZR","properties":{"unsorted":false,"formattedCitation":"\\super 20\\nosupersub{}","plainCitation":"20","noteIndex":0},"citationItems":[{"id":19,"uris":["http://zotero.org/users/12564564/items/UHYIUATB"],"itemData":{"id":19,"type":"article-journal","abstract":"One of the justifiable criticisms of human genetic studies is the underrepresentation of participants from diverse populations. Lack of inclusion must be addressed at-scale to identify causal disease factors and understand the genetic causes of health disparities. We present genome-wide associations for 2068 traits from 635,969 participants in the Department of Veterans Affairs Million Veteran Program, a longitudinal study of diverse United States Veterans. Systematic analysis revealed 13,672 genomic risk loci; 1608 were only significant after including non-European populations. Fine-mapping identified causal variants at 6318 signals across 613 traits. One-third (n = 2069) were identified in participants from non-European populations. This reveals a broadly similar genetic architecture across populations, highlights genetic insights gained from underrepresented groups, and presents an extensive atlas of genetic associations.","container-title":"Science","DOI":"10.1126/science.adj1182","issue":"6706","page":"eadj1182","title":"Diversity and scale: Genetic architecture of 2068 traits in the VA Million Veteran Program","title-short":"Diversity and scale","volume":"385","author":[{"family":"Verma","given":"Anurag"},{"family":"Huffman","given":"Jennifer E."},{"family":"Rodriguez","given":"Alex"},{"family":"Conery","given":"Mitchell"},{"family":"Liu","given":"Molei"},{"family":"Ho","given":"Yuk-Lam"},{"family":"Kim","given":"Youngdae"},{"family":"Heise","given":"David A."},{"family":"Guare","given":"Lindsay"},{"family":"Panickan","given":"Vidul Ayakulangara"},{"family":"Garcon","given":"Helene"},{"family":"Linares","given":"Franciel"},{"family":"Costa","given":"Lauren"},{"family":"Goethert","given":"Ian"},{"family":"Tipton","given":"Ryan"},{"family":"Honerlaw","given":"Jacqueline"},{"family":"Davies","given":"Laura"},{"family":"Whitbourne","given":"Stacey"},{"family":"Cohen","given":"Jeremy"},{"family":"Posner","given":"Daniel C."},{"family":"Sangar","given":"Rahul"},{"family":"Murray","given":"Michael"},{"family":"Wang","given":"Xuan"},{"family":"Dochtermann","given":"Daniel R."},{"family":"Devineni","given":"Poornima"},{"family":"Shi","given":"Yunling"},{"family":"Nandi","given":"Tarak Nath"},{"family":"Assimes","given":"Themistocles L."},{"family":"Brunette","given":"Charles A."},{"family":"Carroll","given":"Robert J."},{"family":"Clifford","given":"Royce"},{"family":"Duvall","given":"Scott"},{"family":"Gelernter","given":"Joel"},{"family":"Hung","given":"Adriana"},{"family":"Iyengar","given":"Sudha K."},{"family":"Joseph","given":"Jacob"},{"family":"Kember","given":"Rachel"},{"family":"Kranzler","given":"Henry"},{"family":"Kripke","given":"Colleen M."},{"family":"Levey","given":"Daniel"},{"family":"Luoh","given":"Shiuh-Wen"},{"family":"Merritt","given":"Victoria C."},{"family":"Overstreet","given":"Cassie"},{"family":"Deak","given":"Joseph D."},{"family":"Grant","given":"Struan F. A."},{"family":"Polimanti","given":"Renato"},{"family":"Roussos","given":"Panos"},{"family":"Shakt","given":"Gabrielle"},{"family":"Sun","given":"Yan V."},{"family":"Tsao","given":"Noah"},{"family":"Venkatesh","given":"Sanan"},{"family":"Voloudakis","given":"Georgios"},{"family":"Justice","given":"Amy"},{"family":"Begoli","given":"Edmon"},{"family":"Ramoni","given":"Rachel"},{"family":"Tourassi","given":"Georgia"},{"family":"Pyarajan","given":"Saiju"},{"family":"Tsao","given":"Philip"},{"family":"O'Donnell","given":"Christopher J."},{"family":"Muralidhar","given":"Sumitra"},{"family":"Moser","given":"Jennifer"},{"family":"Casas","given":"Juan P."},{"family":"Bick","given":"Alexander G."},{"family":"Zhou","given":"Wei"},{"family":"Cai","given":"Tianxi"},{"family":"Voight","given":"Benjamin F."},{"family":"Cho","given":"Kelly"},{"family":"Gaziano","given":"J. Michael"},{"family":"Madduri","given":"Ravi K."},{"family":"Damrauer","given":"Scott"},{"family":"Liao","given":"Katherine P."}],"issued":{"date-parts":[["2024",7]]}}}],"schema":"https://github.com/citation-style-language/schema/raw/master/csl-citation.json"} </w:instrText>
      </w:r>
      <w:r w:rsidR="00071846" w:rsidRPr="008C12C7">
        <w:rPr>
          <w:color w:val="000000"/>
          <w:lang w:val="en-GB"/>
        </w:rPr>
        <w:fldChar w:fldCharType="separate"/>
      </w:r>
      <w:r w:rsidR="00C740B9" w:rsidRPr="00C740B9">
        <w:rPr>
          <w:color w:val="000000"/>
          <w:szCs w:val="24"/>
          <w:vertAlign w:val="superscript"/>
          <w:lang w:val="en-GB"/>
        </w:rPr>
        <w:t>20</w:t>
      </w:r>
      <w:r w:rsidR="00071846" w:rsidRPr="008C12C7">
        <w:rPr>
          <w:color w:val="000000"/>
          <w:lang w:val="en-GB"/>
        </w:rPr>
        <w:fldChar w:fldCharType="end"/>
      </w:r>
      <w:r w:rsidR="00224128" w:rsidRPr="008C12C7">
        <w:rPr>
          <w:color w:val="000000"/>
          <w:lang w:val="en-GB"/>
        </w:rPr>
        <w:t xml:space="preserve">, coronary atherosclerosis in All of Us, including </w:t>
      </w:r>
      <w:bookmarkStart w:id="29" w:name="_Hlk240392479"/>
      <w:r w:rsidR="00224128" w:rsidRPr="008C12C7">
        <w:rPr>
          <w:color w:val="000000"/>
          <w:lang w:val="en-GB"/>
        </w:rPr>
        <w:t>19</w:t>
      </w:r>
      <w:r w:rsidR="00795BBA" w:rsidRPr="008C12C7">
        <w:rPr>
          <w:color w:val="000000"/>
          <w:lang w:val="en-GB"/>
        </w:rPr>
        <w:t>,</w:t>
      </w:r>
      <w:r w:rsidR="00224128" w:rsidRPr="008C12C7">
        <w:rPr>
          <w:color w:val="000000"/>
          <w:lang w:val="en-GB"/>
        </w:rPr>
        <w:t xml:space="preserve">856 </w:t>
      </w:r>
      <w:bookmarkEnd w:id="29"/>
      <w:r w:rsidR="00224128" w:rsidRPr="008C12C7">
        <w:rPr>
          <w:color w:val="000000"/>
          <w:lang w:val="en-GB"/>
        </w:rPr>
        <w:t xml:space="preserve">cases and </w:t>
      </w:r>
      <w:bookmarkStart w:id="30" w:name="_Hlk240392512"/>
      <w:r w:rsidR="00224128" w:rsidRPr="008C12C7">
        <w:rPr>
          <w:color w:val="000000"/>
          <w:lang w:val="en-GB"/>
        </w:rPr>
        <w:t>150,</w:t>
      </w:r>
      <w:r w:rsidR="00450DC5" w:rsidRPr="008C12C7">
        <w:rPr>
          <w:color w:val="000000"/>
          <w:lang w:val="en-GB"/>
        </w:rPr>
        <w:t xml:space="preserve">307 </w:t>
      </w:r>
      <w:bookmarkEnd w:id="30"/>
      <w:r w:rsidR="00450DC5" w:rsidRPr="008C12C7">
        <w:rPr>
          <w:color w:val="000000"/>
          <w:lang w:val="en-GB"/>
        </w:rPr>
        <w:t>controls</w:t>
      </w:r>
      <w:r w:rsidR="00450DC5" w:rsidRPr="008C12C7">
        <w:rPr>
          <w:color w:val="000000"/>
          <w:lang w:val="en-GB"/>
        </w:rPr>
        <w:fldChar w:fldCharType="begin"/>
      </w:r>
      <w:r w:rsidR="00450DC5" w:rsidRPr="008C12C7">
        <w:rPr>
          <w:color w:val="000000"/>
          <w:lang w:val="en-GB"/>
        </w:rPr>
        <w:instrText xml:space="preserve"> ADDIN ZOTERO_ITEM CSL_CITATION {"citationID":"K5q69Ynj","properties":{"unsorted":false,"formattedCitation":"\\super 21\\nosupersub{}","plainCitation":"21","noteIndex":0},"citationItems":[{"id":2982,"uris":["http://zotero.org/users/12564564/items/NRWP3284"],"itemData":{"id":2982,"type":"article","abstract":"Large-scale genome-wide association studies (GWAS) and rare variant association studies (RVAS) from population biobanks provide valuable resources for gene discovery in complex human traits. We present an analysis of the All of Us Research Program v8 release, which includes whole genome sequencing data and harmonized phenotypic information of 392,030 participants after quality control, enabling a unified investigation of rare and common variants across a spectrum of human traits and diseases. We build an extensive phenome- and genome-wide (“All by All”) computational framework to perform GWAS and RVAS on 3,602 phenotypes and identify 49,863 approximately independent, high-quality single-variant and gene-level associations. Meta-analyses of All of Us and UK Biobank, with sample sizes as large as 786,871 participants, further enhance statistical power and find 193 pLoF gene-phenotype associations that are not significant in either cohort alone, including 22 associations not highlighted by previous studies. We also present a public interactive browser that integrates association results for common and rare variants to facilitate interpretation and rapid querying of summary statistics, along with supporting documentation, and a Featured Workspace in the All of Us Researcher Workbench. Our framework will apply to iterative data releases as All of Us grows, empowering researchers worldwide to uncover insights into the functional effects of genetic components on complex traits and diseases.\nLarge-scale genome-wide association studies (GWAS) and rare variant association studies (RVAS) from population biobanks provide valuable resources for gene discovery in complex human traits. We present an analysis of the All of Us Research Program v8 release, which includes whole genome sequencing data and harmonized phenotypic information of 392,030 participants after quality control, enabling a unified investigation of rare and common variants across a spectrum of human traits and diseases. We build an extensive phenome- and genome-wide (“All by All”) computational framework to perform GWAS and RVAS on 3,602 phenotypes and identify 49,863 approximately independent, high-quality single-variant and gene-level associations. Meta-analyses of All of Us and UK Biobank, with sample sizes as large as 786,871 participants, further enhance statistical power and find 193 pLoF gene-phenotype associations that are not significant in either cohort alone, including 22 associations not highlighted by previous studies. We also present a public interactive browser that integrates association results for common and rare variants to facilitate interpretation and rapid querying of summary statistics, along with supporting documentation, and a Featured Workspace in the All of Us Researcher Workbench. Our framework will apply to iterative data releases as All of Us grows, empowering researchers worldwide to uncover insights into the functional effects of genetic components on complex traits and diseases.","DOI":"10.64898/2026.05.08.26350964","language":"en","license":"© 2026, Posted by openRxiv. This pre-print is available under a Creative Commons License (Attribution 4.0 International), CC BY 4.0, as described at http://creativecommons.org/licenses/by/4.0/","note":"ISSN: 3067-2007\npage: 2026.05.08.26350964","publisher":"medRxiv","source":"medRxiv","title":"Systematic common and rare variant association testing in 392,030 whole genomes in All of Us","URL":"https://www.medrxiv.org/content/10.64898/2026.05.08.26350964v1","author":[{"family":"Lu","given":"Wenhan"},{"family":"Carroll","given":"Robert J."},{"family":"Solomonson","given":"Matthew"},{"family":"Guez","given":"Jeremy"},{"family":"He","given":"Megan K."},{"family":"Marten","given":"Daniel J."},{"family":"Martinez-Carrasco","given":"Alejandro"},{"family":"Wang","given":"Ying"},{"family":"Dowd","given":"Connor S."},{"family":"Kanai","given":"Masahiro"},{"family":"Gorissen","given":"Bram L."},{"family":"Kouame","given":"Aymone Jeanne S."},{"family":"Brogan","given":"James"},{"family":"Waxse","given":"Bennett J."},{"family":"Samarakoon","given":"Ryan"},{"family":"Cook","given":"Justin A."},{"family":"Qian","given":"Jun"},{"family":"Zhou","given":"Yu"},{"family":"Choi","given":"Karmel W."},{"family":"Basford","given":"Melissa"},{"family":"Lyons","given":"Michael"},{"family":"Linder","given":"Jodell E."},{"family":"Stewart","given":"Samantha"},{"family":"Gupta","given":"Namrata"},{"family":"Schultz","given":"Patrick"},{"family":"Goldstein","given":"Daniel"},{"family":"Llanwarne","given":"Christopher"},{"family":"Goldstein","given":"Jacqueline I."},{"family":"Higham","given":"Edmund G. C."},{"family":"King","given":"Daniel C."},{"family":"Palmer","given":"Duncan S."},{"family":"Elenbaas","given":"Jared S."},{"family":"Rohlicek","given":"Gregory K."},{"family":"He","given":"Qin"},{"family":"Goodrich","given":"Julia K."},{"family":"Investigators","given":"The All of Us Research Program Genomics"},{"family":"Smoller","given":"Jordan W."},{"family":"Lichtenstein","given":"Lee"},{"family":"Gabriel","given":"Stacey B."},{"family":"Martin","given":"Alicia R."},{"family":"Karnes","given":"Jason H."},{"family":"Hebbring","given":"Scott J."},{"family":"Daly","given":"Mark J."},{"family":"Dutka","given":"Tara"},{"family":"Musick","given":"Anjene"},{"family":"Denny","given":"Joshua C."},{"family":"Zhou","given":"Wei"},{"family":"Roden","given":"Dan M."},{"family":"Neale","given":"Benjamin M."},{"family":"Karczewski","given":"Konrad J."}],"accessed":{"date-parts":[["2026",9,15]]},"issued":{"date-parts":[["2026",5,12]]}}}],"schema":"https://github.com/citation-style-language/schema/raw/master/csl-citation.json"} </w:instrText>
      </w:r>
      <w:r w:rsidR="00450DC5" w:rsidRPr="008C12C7">
        <w:rPr>
          <w:color w:val="000000"/>
          <w:lang w:val="en-GB"/>
        </w:rPr>
        <w:fldChar w:fldCharType="separate"/>
      </w:r>
      <w:r w:rsidR="00C740B9" w:rsidRPr="00C740B9">
        <w:rPr>
          <w:color w:val="000000"/>
          <w:szCs w:val="24"/>
          <w:vertAlign w:val="superscript"/>
          <w:lang w:val="en-GB"/>
        </w:rPr>
        <w:t>21</w:t>
      </w:r>
      <w:r w:rsidR="00450DC5" w:rsidRPr="008C12C7">
        <w:rPr>
          <w:color w:val="000000"/>
          <w:lang w:val="en-GB"/>
        </w:rPr>
        <w:fldChar w:fldCharType="end"/>
      </w:r>
      <w:r w:rsidR="00450DC5" w:rsidRPr="008C12C7">
        <w:rPr>
          <w:color w:val="000000"/>
          <w:lang w:val="en-GB"/>
        </w:rPr>
        <w:t xml:space="preserve">, and coronary atherosclerosis in </w:t>
      </w:r>
      <w:proofErr w:type="spellStart"/>
      <w:r w:rsidR="00450DC5" w:rsidRPr="008C12C7">
        <w:rPr>
          <w:color w:val="000000"/>
          <w:lang w:val="en-GB"/>
        </w:rPr>
        <w:t>FinnGen</w:t>
      </w:r>
      <w:proofErr w:type="spellEnd"/>
      <w:r w:rsidR="00450DC5" w:rsidRPr="008C12C7">
        <w:rPr>
          <w:color w:val="000000"/>
          <w:lang w:val="en-GB"/>
        </w:rPr>
        <w:t xml:space="preserve">, including </w:t>
      </w:r>
      <w:bookmarkStart w:id="31" w:name="_Hlk240392525"/>
      <w:r w:rsidR="00450DC5" w:rsidRPr="008C12C7">
        <w:rPr>
          <w:color w:val="000000"/>
          <w:lang w:val="en-GB"/>
        </w:rPr>
        <w:t xml:space="preserve">63,307 </w:t>
      </w:r>
      <w:bookmarkEnd w:id="31"/>
      <w:r w:rsidR="00450DC5" w:rsidRPr="008C12C7">
        <w:rPr>
          <w:color w:val="000000"/>
          <w:lang w:val="en-GB"/>
        </w:rPr>
        <w:t xml:space="preserve">cases and </w:t>
      </w:r>
      <w:bookmarkStart w:id="32" w:name="_Hlk240392527"/>
      <w:r w:rsidR="00450DC5" w:rsidRPr="008C12C7">
        <w:rPr>
          <w:color w:val="000000"/>
          <w:lang w:val="en-GB"/>
        </w:rPr>
        <w:t>416</w:t>
      </w:r>
      <w:bookmarkEnd w:id="32"/>
      <w:r w:rsidR="00450DC5" w:rsidRPr="008C12C7">
        <w:rPr>
          <w:color w:val="000000"/>
          <w:lang w:val="en-GB"/>
        </w:rPr>
        <w:t>,171 controls</w:t>
      </w:r>
      <w:r w:rsidR="00450DC5" w:rsidRPr="008C12C7">
        <w:rPr>
          <w:color w:val="000000"/>
          <w:lang w:val="en-GB"/>
        </w:rPr>
        <w:fldChar w:fldCharType="begin"/>
      </w:r>
      <w:r w:rsidR="00450DC5" w:rsidRPr="008C12C7">
        <w:rPr>
          <w:color w:val="000000"/>
          <w:lang w:val="en-GB"/>
        </w:rPr>
        <w:instrText xml:space="preserve"> ADDIN ZOTERO_ITEM CSL_CITATION {"citationID":"EJkaccrO","properties":{"unsorted":false,"formattedCitation":"\\super 22\\nosupersub{}","plainCitation":"22","noteIndex":0},"citationItems":[{"id":2984,"uris":["http://zotero.org/users/12564564/items/WUPH3RHI"],"itemData":{"id":2984,"type":"article-journal","abstract":"Population isolates such as those in Finland benefit genetic research because deleterious alleles are often concentrated on a small number of low-frequency variants (0.1% ≤ minor allele frequency &lt; 5%). These variants survived the founding bottleneck rather than being distributed over a large number of ultrarare variants. Although this effect is well established in Mendelian genetics, its value in common disease genetics is less explored,. FinnGen aims to study the genome and national health register data of 500,000 Finnish individuals. Given the relatively high median age of participants (63 years) and the substantial fraction of hospital-based recruitment, FinnGen is enriched for disease end points. Here we analyse data from 224,737 participants from FinnGen and study 15 diseases that have previously been investigated in large genome-wide association studies (GWASs). We also include meta-analyses of biobank data from Estonia and the United Kingdom. We identified 30 new associations, primarily low-frequency variants, enriched in the Finnish population. A GWAS of 1,932 diseases also identified 2,733 genome-wide significant associations (893 phenome-wide significant (PWS), P &lt; 2.6 × 10–11) at 2,496 (771 PWS) independent loci with 807 (247 PWS) end points. Among these, fine-mapping implicated 148 (73 PWS) coding variants associated with 83 (42 PWS) end points. Moreover, 91 (47 PWS) had an allele frequency of &lt;5% in non-Finnish European individuals, of which 62 (32 PWS) were enriched by more than twofold in Finland. These findings demonstrate the power of bottlenecked populations to find entry points into the biology of common diseases through low-frequency, high impact variants., Genome-wide association studies of individuals from an isolated population (data from the Finnish biobank study FinnGen) and consequent meta-analyses facilitate the identification of previously unknown coding variant associations for both rare and common diseases.","container-title":"Nature","DOI":"10.1038/s41586-022-05473-8","ISSN":"0028-0836","issue":"7944","journalAbbreviation":"Nature","page":"508-518","PMID":"36653562","PMCID":"PMC9849126","source":"PubMed Central","title":"FinnGen provides genetic insights from a well-phenotyped isolated population","volume":"613","author":[{"family":"Kurki","given":"Mitja I."},{"family":"Karjalainen","given":"Juha"},{"family":"Palta","given":"Priit"},{"family":"Sipilä","given":"Timo P."},{"family":"Kristiansson","given":"Kati"},{"family":"Donner","given":"Kati M."},{"family":"Reeve","given":"Mary P."},{"family":"Laivuori","given":"Hannele"},{"family":"Aavikko","given":"Mervi"},{"family":"Kaunisto","given":"Mari A."},{"family":"Loukola","given":"Anu"},{"family":"Lahtela","given":"Elisa"},{"family":"Mattsson","given":"Hannele"},{"family":"Laiho","given":"Päivi"},{"family":"Della Briotta Parolo","given":"Pietro"},{"family":"Lehisto","given":"Arto A."},{"family":"Kanai","given":"Masahiro"},{"family":"Mars","given":"Nina"},{"family":"Rämö","given":"Joel"},{"family":"Kiiskinen","given":"Tuomo"},{"family":"Heyne","given":"Henrike O."},{"family":"Veerapen","given":"Kumar"},{"family":"Rüeger","given":"Sina"},{"family":"Lemmelä","given":"Susanna"},{"family":"Zhou","given":"Wei"},{"family":"Ruotsalainen","given":"Sanni"},{"family":"Pärn","given":"Kalle"},{"family":"Hiekkalinna","given":"Tero"},{"family":"Koskelainen","given":"Sami"},{"family":"Paajanen","given":"Teemu"},{"family":"Llorens","given":"Vincent"},{"family":"Gracia-Tabuenca","given":"Javier"},{"family":"Siirtola","given":"Harri"},{"family":"Reis","given":"Kadri"},{"family":"Elnahas","given":"Abdelrahman G."},{"family":"Sun","given":"Benjamin"},{"family":"Foley","given":"Christopher N."},{"family":"Aalto-Setälä","given":"Katriina"},{"family":"Alasoo","given":"Kaur"},{"family":"Arvas","given":"Mikko"},{"family":"Auro","given":"Kirsi"},{"family":"Biswas","given":"Shameek"},{"family":"Bizaki-Vallaskangas","given":"Argyro"},{"family":"Carpen","given":"Olli"},{"family":"Chen","given":"Chia-Yen"},{"family":"Dada","given":"Oluwaseun A."},{"family":"Ding","given":"Zhihao"},{"family":"Ehm","given":"Margaret G."},{"family":"Eklund","given":"Kari"},{"family":"Färkkilä","given":"Martti"},{"family":"Finucane","given":"Hilary"},{"family":"Ganna","given":"Andrea"},{"family":"Ghazal","given":"Awaisa"},{"family":"Graham","given":"Robert R."},{"family":"Green","given":"Eric M."},{"family":"Hakanen","given":"Antti"},{"family":"Hautalahti","given":"Marco"},{"family":"Hedman","given":"Åsa K."},{"family":"Hiltunen","given":"Mikko"},{"family":"Hinttala","given":"Reetta"},{"family":"Hovatta","given":"Iiris"},{"family":"Hu","given":"Xinli"},{"family":"Huertas-Vazquez","given":"Adriana"},{"family":"Huilaja","given":"Laura"},{"family":"Hunkapiller","given":"Julie"},{"family":"Jacob","given":"Howard"},{"family":"Jensen","given":"Jan-Nygaard"},{"family":"Joensuu","given":"Heikki"},{"family":"John","given":"Sally"},{"family":"Julkunen","given":"Valtteri"},{"family":"Jung","given":"Marc"},{"family":"Junttila","given":"Juhani"},{"family":"Kaarniranta","given":"Kai"},{"family":"Kähönen","given":"Mika"},{"family":"Kajanne","given":"Risto"},{"family":"Kallio","given":"Lila"},{"family":"Kälviäinen","given":"Reetta"},{"family":"Kaprio","given":"Jaakko"},{"family":"Kerimov","given":"Nurlan"},{"family":"Kettunen","given":"Johannes"},{"family":"Kilpeläinen","given":"Elina"},{"family":"Kilpi","given":"Terhi"},{"family":"Klinger","given":"Katherine"},{"family":"Kosma","given":"Veli-Matti"},{"family":"Kuopio","given":"Teijo"},{"family":"Kurra","given":"Venla"},{"family":"Laisk","given":"Triin"},{"family":"Laukkanen","given":"Jari"},{"family":"Lawless","given":"Nathan"},{"family":"Liu","given":"Aoxing"},{"family":"Longerich","given":"Simonne"},{"family":"Mägi","given":"Reedik"},{"family":"Mäkelä","given":"Johanna"},{"family":"Mäkitie","given":"Antti"},{"family":"Malarstig","given":"Anders"},{"family":"Mannermaa","given":"Arto"},{"family":"Maranville","given":"Joseph"},{"family":"Matakidou","given":"Athena"},{"family":"Meretoja","given":"Tuomo"},{"family":"Mozaffari","given":"Sahar V."},{"family":"Niemi","given":"Mari E. K."},{"family":"Niemi","given":"Marianna"},{"family":"Niiranen","given":"Teemu"},{"family":"O´Donnell","given":"Christopher J."},{"family":"Obeidat","given":"Ma´en"},{"family":"Okafo","given":"George"},{"family":"Ollila","given":"Hanna M."},{"family":"Palomäki","given":"Antti"},{"family":"Palotie","given":"Tuula"},{"family":"Partanen","given":"Jukka"},{"family":"Paul","given":"Dirk S."},{"family":"Pelkonen","given":"Margit"},{"family":"Pendergrass","given":"Rion K."},{"family":"Petrovski","given":"Slavé"},{"family":"Pitkäranta","given":"Anne"},{"family":"Platt","given":"Adam"},{"family":"Pulford","given":"David"},{"family":"Punkka","given":"Eero"},{"family":"Pussinen","given":"Pirkko"},{"family":"Raghavan","given":"Neha"},{"family":"Rahimov","given":"Fedik"},{"family":"Rajpal","given":"Deepak"},{"family":"Renaud","given":"Nicole A."},{"family":"Riley-Gillis","given":"Bridget"},{"family":"Rodosthenous","given":"Rodosthenis"},{"family":"Saarentaus","given":"Elmo"},{"family":"Salminen","given":"Aino"},{"family":"Salminen","given":"Eveliina"},{"family":"Salomaa","given":"Veikko"},{"family":"Schleutker","given":"Johanna"},{"family":"Serpi","given":"Raisa"},{"family":"Shen","given":"Huei-yi"},{"family":"Siegel","given":"Richard"},{"family":"Silander","given":"Kaisa"},{"family":"Siltanen","given":"Sanna"},{"family":"Soini","given":"Sirpa"},{"family":"Soininen","given":"Hilkka"},{"family":"Sul","given":"Jae Hoon"},{"family":"Tachmazidou","given":"Ioanna"},{"family":"Tasanen","given":"Kaisa"},{"family":"Tienari","given":"Pentti"},{"family":"Toppila-Salmi","given":"Sanna"},{"family":"Tukiainen","given":"Taru"},{"family":"Tuomi","given":"Tiinamaija"},{"family":"Turunen","given":"Joni A."},{"family":"Ulirsch","given":"Jacob C."},{"family":"Vaura","given":"Felix"},{"family":"Virolainen","given":"Petri"},{"family":"Waring","given":"Jeffrey"},{"family":"Waterworth","given":"Dawn"},{"family":"Yang","given":"Robert"},{"family":"Nelis","given":"Mari"},{"family":"Reigo","given":"Anu"},{"family":"Metspalu","given":"Andres"},{"family":"Milani","given":"Lili"},{"family":"Esko","given":"Tõnu"},{"family":"Fox","given":"Caroline"},{"family":"Havulinna","given":"Aki S."},{"family":"Perola","given":"Markus"},{"family":"Ripatti","given":"Samuli"},{"family":"Jalanko","given":"Anu"},{"family":"Laitinen","given":"Tarja"},{"family":"Mäkelä","given":"Tomi P."},{"family":"Plenge","given":"Robert"},{"family":"McCarthy","given":"Mark"},{"family":"Runz","given":"Heiko"},{"family":"Daly","given":"Mark J."},{"family":"Palotie","given":"Aarno"}],"issued":{"date-parts":[["2023"]]}}}],"schema":"https://github.com/citation-style-language/schema/raw/master/csl-citation.json"} </w:instrText>
      </w:r>
      <w:r w:rsidR="00450DC5" w:rsidRPr="008C12C7">
        <w:rPr>
          <w:color w:val="000000"/>
          <w:lang w:val="en-GB"/>
        </w:rPr>
        <w:fldChar w:fldCharType="separate"/>
      </w:r>
      <w:r w:rsidR="00C740B9" w:rsidRPr="00C740B9">
        <w:rPr>
          <w:color w:val="000000"/>
          <w:szCs w:val="24"/>
          <w:vertAlign w:val="superscript"/>
          <w:lang w:val="en-GB"/>
        </w:rPr>
        <w:t>22</w:t>
      </w:r>
      <w:r w:rsidR="00450DC5" w:rsidRPr="008C12C7">
        <w:rPr>
          <w:color w:val="000000"/>
          <w:lang w:val="en-GB"/>
        </w:rPr>
        <w:fldChar w:fldCharType="end"/>
      </w:r>
      <w:r w:rsidR="00450DC5" w:rsidRPr="008C12C7">
        <w:rPr>
          <w:color w:val="000000"/>
          <w:lang w:val="en-GB"/>
        </w:rPr>
        <w:t>.</w:t>
      </w:r>
      <w:r w:rsidRPr="008C12C7">
        <w:rPr>
          <w:color w:val="000000"/>
          <w:lang w:val="en-GB"/>
        </w:rPr>
        <w:t xml:space="preserve"> </w:t>
      </w:r>
      <w:r w:rsidR="00E52AF1" w:rsidRPr="008C12C7">
        <w:rPr>
          <w:lang w:val="en-GB"/>
        </w:rPr>
        <w:t xml:space="preserve">SNP–CAD association </w:t>
      </w:r>
      <w:r w:rsidR="00450DC5" w:rsidRPr="008C12C7">
        <w:rPr>
          <w:lang w:val="en-GB"/>
        </w:rPr>
        <w:t>estimates were combined</w:t>
      </w:r>
      <w:r w:rsidR="00E52AF1" w:rsidRPr="008C12C7">
        <w:rPr>
          <w:lang w:val="en-GB"/>
        </w:rPr>
        <w:t xml:space="preserve"> by fixed-effect inverse-variance weighted meta-analysis, and the resulting meta-analysed summary statistics served as the primary CAD outcome for MR.</w:t>
      </w:r>
      <w:r w:rsidR="00E52AF1" w:rsidRPr="008C12C7">
        <w:rPr>
          <w:color w:val="000000"/>
          <w:lang w:val="en-GB"/>
        </w:rPr>
        <w:t xml:space="preserve"> </w:t>
      </w:r>
      <w:r w:rsidR="001B11BA" w:rsidRPr="008C12C7">
        <w:rPr>
          <w:color w:val="000000"/>
          <w:lang w:val="en-GB"/>
        </w:rPr>
        <w:t xml:space="preserve">As a measure of subclinical atherosclerosis, we obtained summary statistics for imaging-defined atherosclerosis from the Swedish </w:t>
      </w:r>
      <w:proofErr w:type="spellStart"/>
      <w:r w:rsidR="001B11BA" w:rsidRPr="008C12C7">
        <w:rPr>
          <w:color w:val="000000"/>
          <w:lang w:val="en-GB"/>
        </w:rPr>
        <w:t>CArdioPulmonary</w:t>
      </w:r>
      <w:proofErr w:type="spellEnd"/>
      <w:r w:rsidR="001B11BA" w:rsidRPr="008C12C7">
        <w:rPr>
          <w:color w:val="000000"/>
          <w:lang w:val="en-GB"/>
        </w:rPr>
        <w:t xml:space="preserve"> </w:t>
      </w:r>
      <w:proofErr w:type="spellStart"/>
      <w:r w:rsidR="001B11BA" w:rsidRPr="008C12C7">
        <w:rPr>
          <w:color w:val="000000"/>
          <w:lang w:val="en-GB"/>
        </w:rPr>
        <w:t>bioImage</w:t>
      </w:r>
      <w:proofErr w:type="spellEnd"/>
      <w:r w:rsidR="001B11BA" w:rsidRPr="008C12C7">
        <w:rPr>
          <w:color w:val="000000"/>
          <w:lang w:val="en-GB"/>
        </w:rPr>
        <w:t xml:space="preserve"> Study (SCAPIS), comprising coronary artery calcification (n=26,000), coronary plaque burden quantified as the segment involvement score on CT angiography (n=24,811),</w:t>
      </w:r>
      <w:r w:rsidR="00582B39">
        <w:rPr>
          <w:color w:val="000000"/>
          <w:lang w:val="en-GB"/>
        </w:rPr>
        <w:t xml:space="preserve"> </w:t>
      </w:r>
      <w:r w:rsidR="001B11BA" w:rsidRPr="008C12C7">
        <w:rPr>
          <w:color w:val="000000"/>
          <w:lang w:val="en-GB"/>
        </w:rPr>
        <w:t>and</w:t>
      </w:r>
      <w:r w:rsidR="00582B39">
        <w:rPr>
          <w:color w:val="000000"/>
          <w:lang w:val="en-GB"/>
        </w:rPr>
        <w:t xml:space="preserve"> </w:t>
      </w:r>
      <w:r w:rsidR="001B11BA" w:rsidRPr="008C12C7">
        <w:rPr>
          <w:color w:val="000000"/>
          <w:lang w:val="en-GB"/>
        </w:rPr>
        <w:t>ultrasound-assessed carotid plaque (n=26,807)</w:t>
      </w:r>
      <w:r w:rsidR="00E33FD4" w:rsidRPr="008C12C7">
        <w:rPr>
          <w:lang w:val="en-GB"/>
        </w:rPr>
        <w:t>, which have no sample overlap with the datasets used for instrument construction or with the CAD datasets</w:t>
      </w:r>
      <w:r w:rsidR="001B11BA" w:rsidRPr="008C12C7">
        <w:rPr>
          <w:color w:val="000000"/>
          <w:lang w:val="en-GB"/>
        </w:rPr>
        <w:fldChar w:fldCharType="begin"/>
      </w:r>
      <w:r w:rsidR="001B11BA" w:rsidRPr="008C12C7">
        <w:rPr>
          <w:color w:val="000000"/>
          <w:lang w:val="en-GB"/>
        </w:rPr>
        <w:instrText xml:space="preserve"> ADDIN ZOTERO_ITEM CSL_CITATION {"citationID":"sLFgWyOn","properties":{"unsorted":false,"formattedCitation":"\\super 23\\nosupersub{}","plainCitation":"23","noteIndex":0},"citationItems":[{"id":2988,"uris":["http://zotero.org/users/12564564/items/BYKZM9WF"],"itemData":{"id":2988,"type":"article-journal","abstract":"Imaging-defined atherosclerosis represents an intermediate phenotype of atherosclerotic cardiovascular disease (ASCVD). Genome-wide association studies (GWAS) on directly measured coronary plaques using coronary computed tomography angiography (CCTA) are scarce. In the so far largest population-based cohort with CCTA data, we performed a GWAS on coronary plaque burden as determined by the segment involvement score (SIS) in 24,811 European individuals. We identified 20 significant independent genetic markers for SIS, three of which were found in loci not implicated in ASCVD before. Further GWAS on coronary artery calcification showed similar results to that of SIS, whereas a GWAS on ultrasound-assessed carotid plaques identified both shared and non-shared loci with SIS. In two-sample Mendelian randomization studies using SIS-associated markers in UK Biobank and CARDIoGRAMplusC4D, one extra coronary segment with atherosclerosis corresponded to 1.8-fold increased odds of myocardial infarction. This GWAS data can aid future studies of causal pathways in ASCVD.","container-title":"Nature Communications","DOI":"10.1038/s41467-025-57457-7","ISSN":"2041-1723","issue":"1","journalAbbreviation":"Nat Commun","language":"en","license":"2025 The Author(s)","page":"2266","publisher":"Nature Publishing Group","source":"www.nature.com","title":"A genome-wide association study of imaging-defined atherosclerosis","volume":"16","author":[{"family":"Gummesson","given":"Anders"},{"family":"Lundmark","given":"Per"},{"family":"Chen","given":"Qiao Sen"},{"family":"Björnson","given":"Elias"},{"family":"Dekkers","given":"Koen F."},{"family":"Hammar","given":"Ulf"},{"family":"Adiels","given":"Martin"},{"family":"Wang","given":"Yunzhang"},{"family":"Andersson","given":"Therese"},{"family":"Bergström","given":"Göran"},{"family":"Carlhäll","given":"Carl-Johan"},{"family":"Erlinge","given":"David"},{"family":"Jernberg","given":"Tomas"},{"family":"Landfors","given":"Fredrik"},{"family":"Lind","given":"Lars"},{"family":"Mannila","given":"Maria"},{"family":"Melander","given":"Olle"},{"family":"Pirazzi","given":"Carlo"},{"family":"Sundström","given":"Johan"},{"family":"Östgren","given":"Carl Johan"},{"family":"Gunnarsson","given":"Cecilia"},{"family":"Orho-Melander","given":"Marju"},{"family":"Söderberg","given":"Stefan"},{"family":"Fall","given":"Tove"},{"family":"Gigante","given":"Bruna"}],"issued":{"date-parts":[["2025",3,31]]}}}],"schema":"https://github.com/citation-style-language/schema/raw/master/csl-citation.json"} </w:instrText>
      </w:r>
      <w:r w:rsidR="001B11BA" w:rsidRPr="008C12C7">
        <w:rPr>
          <w:color w:val="000000"/>
          <w:lang w:val="en-GB"/>
        </w:rPr>
        <w:fldChar w:fldCharType="separate"/>
      </w:r>
      <w:r w:rsidR="00C740B9" w:rsidRPr="00C740B9">
        <w:rPr>
          <w:color w:val="000000"/>
          <w:szCs w:val="24"/>
          <w:vertAlign w:val="superscript"/>
          <w:lang w:val="en-GB"/>
        </w:rPr>
        <w:t>23</w:t>
      </w:r>
      <w:r w:rsidR="001B11BA" w:rsidRPr="008C12C7">
        <w:rPr>
          <w:color w:val="000000"/>
          <w:lang w:val="en-GB"/>
        </w:rPr>
        <w:fldChar w:fldCharType="end"/>
      </w:r>
      <w:r w:rsidR="001B11BA" w:rsidRPr="008C12C7">
        <w:rPr>
          <w:color w:val="000000"/>
          <w:lang w:val="en-GB"/>
        </w:rPr>
        <w:t xml:space="preserve">. </w:t>
      </w:r>
      <w:r w:rsidRPr="008C12C7">
        <w:rPr>
          <w:color w:val="000000"/>
          <w:lang w:val="en-GB"/>
        </w:rPr>
        <w:t xml:space="preserve">Further details are </w:t>
      </w:r>
      <w:r w:rsidRPr="00C31E8B">
        <w:rPr>
          <w:color w:val="000000" w:themeColor="text1"/>
          <w:lang w:val="en-GB"/>
        </w:rPr>
        <w:t xml:space="preserve">provided in Supplementary Table </w:t>
      </w:r>
      <w:r w:rsidR="00071846" w:rsidRPr="00C31E8B">
        <w:rPr>
          <w:color w:val="000000" w:themeColor="text1"/>
          <w:lang w:val="en-GB"/>
        </w:rPr>
        <w:t>2</w:t>
      </w:r>
      <w:r w:rsidRPr="00C31E8B">
        <w:rPr>
          <w:color w:val="000000" w:themeColor="text1"/>
          <w:lang w:val="en-GB"/>
        </w:rPr>
        <w:t xml:space="preserve">. We additionally </w:t>
      </w:r>
      <w:r w:rsidRPr="008C12C7">
        <w:rPr>
          <w:color w:val="000000"/>
          <w:lang w:val="en-GB"/>
        </w:rPr>
        <w:t xml:space="preserve">obtained </w:t>
      </w:r>
      <w:r w:rsidRPr="008C12C7">
        <w:rPr>
          <w:color w:val="000000"/>
          <w:lang w:val="en-GB"/>
        </w:rPr>
        <w:lastRenderedPageBreak/>
        <w:t>European</w:t>
      </w:r>
      <w:r w:rsidRPr="00C31E8B">
        <w:rPr>
          <w:color w:val="000000" w:themeColor="text1"/>
          <w:lang w:val="en-GB"/>
        </w:rPr>
        <w:t>-ancestry summary statistics for diseases</w:t>
      </w:r>
      <w:r w:rsidR="00B92CD1" w:rsidRPr="00C31E8B">
        <w:rPr>
          <w:color w:val="000000" w:themeColor="text1"/>
          <w:lang w:val="en-GB"/>
        </w:rPr>
        <w:t xml:space="preserve"> for</w:t>
      </w:r>
      <w:r w:rsidRPr="00C31E8B">
        <w:rPr>
          <w:color w:val="000000" w:themeColor="text1"/>
          <w:lang w:val="en-GB"/>
        </w:rPr>
        <w:t xml:space="preserve"> which selective NLRP3 inhibitors have been or are being evaluated in clinical trial</w:t>
      </w:r>
      <w:r w:rsidR="004B2CEC" w:rsidRPr="00C31E8B">
        <w:rPr>
          <w:color w:val="000000" w:themeColor="text1"/>
          <w:lang w:val="en-GB"/>
        </w:rPr>
        <w:t>s</w:t>
      </w:r>
      <w:r w:rsidRPr="00C31E8B">
        <w:rPr>
          <w:color w:val="000000" w:themeColor="text1"/>
          <w:lang w:val="en-GB"/>
        </w:rPr>
        <w:t xml:space="preserve">, with data sources provided in </w:t>
      </w:r>
      <w:r w:rsidR="00332B99" w:rsidRPr="00C31E8B">
        <w:rPr>
          <w:color w:val="000000" w:themeColor="text1"/>
          <w:lang w:val="en-GB"/>
        </w:rPr>
        <w:t>Supplementary Table 3.</w:t>
      </w:r>
    </w:p>
    <w:p w14:paraId="12D41761" w14:textId="7C5A9CDA" w:rsidR="006D380D" w:rsidRPr="00C31E8B" w:rsidRDefault="00000000">
      <w:pPr>
        <w:pStyle w:val="Heading3"/>
        <w:rPr>
          <w:color w:val="000000" w:themeColor="text1"/>
          <w:lang w:val="en-GB"/>
        </w:rPr>
      </w:pPr>
      <w:bookmarkStart w:id="33" w:name="8x29i635wjzs" w:colFirst="0" w:colLast="0"/>
      <w:bookmarkStart w:id="34" w:name="_cllibisbfjoh" w:colFirst="0" w:colLast="0"/>
      <w:bookmarkEnd w:id="27"/>
      <w:bookmarkEnd w:id="28"/>
      <w:bookmarkEnd w:id="33"/>
      <w:bookmarkEnd w:id="34"/>
      <w:r w:rsidRPr="00C31E8B">
        <w:rPr>
          <w:color w:val="000000" w:themeColor="text1"/>
          <w:lang w:val="en-GB"/>
        </w:rPr>
        <w:t xml:space="preserve">3.2.3. </w:t>
      </w:r>
      <w:r w:rsidR="00364BA6" w:rsidRPr="00C31E8B">
        <w:rPr>
          <w:color w:val="000000" w:themeColor="text1"/>
          <w:lang w:val="en-GB"/>
        </w:rPr>
        <w:t>Datasets for cardiometabolic and lifestyle traits</w:t>
      </w:r>
    </w:p>
    <w:p w14:paraId="6D91965D" w14:textId="38379674" w:rsidR="006D380D" w:rsidRPr="00C31E8B" w:rsidRDefault="00364BA6" w:rsidP="00364BA6">
      <w:pPr>
        <w:pBdr>
          <w:top w:val="nil"/>
          <w:left w:val="nil"/>
          <w:bottom w:val="nil"/>
          <w:right w:val="nil"/>
          <w:between w:val="nil"/>
        </w:pBdr>
        <w:rPr>
          <w:color w:val="000000" w:themeColor="text1"/>
          <w:lang w:val="en-GB"/>
        </w:rPr>
      </w:pPr>
      <w:r w:rsidRPr="00C31E8B">
        <w:rPr>
          <w:color w:val="000000" w:themeColor="text1"/>
          <w:lang w:val="en-GB"/>
        </w:rPr>
        <w:t>We used publicly available European-ancestry GWAS summary statistics for cardiometabolic and lifestyle traits relevant to CAD risk, including lipid traits, blood pressure, body mass index, type 2 diabetes, smoking, and alcohol consumption. These traits were screened for association with the NLRP3 activity score, and those showing evidence of association were carried forward to mediation analysis. Further details are provided in Supplementary Table 4.</w:t>
      </w:r>
    </w:p>
    <w:p w14:paraId="05425B7C" w14:textId="71786288" w:rsidR="006D380D" w:rsidRPr="00C31E8B" w:rsidRDefault="00000000">
      <w:pPr>
        <w:pStyle w:val="Heading2"/>
        <w:rPr>
          <w:color w:val="000000" w:themeColor="text1"/>
          <w:lang w:val="en-GB"/>
        </w:rPr>
      </w:pPr>
      <w:bookmarkStart w:id="35" w:name="9mbal3y8ysr0" w:colFirst="0" w:colLast="0"/>
      <w:bookmarkStart w:id="36" w:name="_fqpa5hy655d5" w:colFirst="0" w:colLast="0"/>
      <w:bookmarkEnd w:id="35"/>
      <w:bookmarkEnd w:id="36"/>
      <w:r w:rsidRPr="00C31E8B">
        <w:rPr>
          <w:color w:val="000000" w:themeColor="text1"/>
          <w:lang w:val="en-GB"/>
        </w:rPr>
        <w:t xml:space="preserve">3.3. Genetic </w:t>
      </w:r>
      <w:r w:rsidR="00007387">
        <w:rPr>
          <w:color w:val="000000" w:themeColor="text1"/>
          <w:lang w:val="en-GB"/>
        </w:rPr>
        <w:t>i</w:t>
      </w:r>
      <w:r w:rsidRPr="00C31E8B">
        <w:rPr>
          <w:color w:val="000000" w:themeColor="text1"/>
          <w:lang w:val="en-GB"/>
        </w:rPr>
        <w:t xml:space="preserve">nstrument </w:t>
      </w:r>
      <w:r w:rsidR="00007387">
        <w:rPr>
          <w:color w:val="000000" w:themeColor="text1"/>
          <w:lang w:val="en-GB"/>
        </w:rPr>
        <w:t>c</w:t>
      </w:r>
      <w:r w:rsidRPr="00C31E8B">
        <w:rPr>
          <w:color w:val="000000" w:themeColor="text1"/>
          <w:lang w:val="en-GB"/>
        </w:rPr>
        <w:t>onstruction</w:t>
      </w:r>
    </w:p>
    <w:p w14:paraId="1ED8C16B" w14:textId="1F9BE715" w:rsidR="00720FAA" w:rsidRPr="00913855" w:rsidRDefault="00720FAA" w:rsidP="005D38B2">
      <w:bookmarkStart w:id="37" w:name="d4fedbpxui8a" w:colFirst="0" w:colLast="0"/>
      <w:bookmarkStart w:id="38" w:name="_ezskeeflddvl" w:colFirst="0" w:colLast="0"/>
      <w:bookmarkEnd w:id="37"/>
      <w:bookmarkEnd w:id="38"/>
      <w:r w:rsidRPr="00913855">
        <w:t xml:space="preserve">To construct a genetic proxy for NLRP3 activity, we used whole-blood </w:t>
      </w:r>
      <w:r w:rsidRPr="00913855">
        <w:rPr>
          <w:rStyle w:val="Emphasis"/>
        </w:rPr>
        <w:t>NLRP3</w:t>
      </w:r>
      <w:r w:rsidRPr="00913855">
        <w:t xml:space="preserve"> expression together with three inflammatory traits that are elevated downstream of NLRP3 inflammasome activation: circulating CRP and </w:t>
      </w:r>
      <w:proofErr w:type="spellStart"/>
      <w:r w:rsidRPr="00913855">
        <w:t>GlycA</w:t>
      </w:r>
      <w:proofErr w:type="spellEnd"/>
      <w:r w:rsidRPr="00913855">
        <w:t xml:space="preserve"> levels, and blood neutrophil count. For each trait, variants within ±150 kb of </w:t>
      </w:r>
      <w:r w:rsidRPr="00913855">
        <w:rPr>
          <w:rStyle w:val="Emphasis"/>
        </w:rPr>
        <w:t>NLRP3</w:t>
      </w:r>
      <w:r w:rsidRPr="00913855">
        <w:t xml:space="preserve"> were LD-clumped at </w:t>
      </w:r>
      <w:r w:rsidRPr="0068474E">
        <w:rPr>
          <w:i/>
          <w:iCs/>
        </w:rPr>
        <w:t>r</w:t>
      </w:r>
      <w:r w:rsidRPr="00913855">
        <w:t>²</w:t>
      </w:r>
      <w:r w:rsidR="0068474E">
        <w:t xml:space="preserve"> </w:t>
      </w:r>
      <w:r w:rsidRPr="00913855">
        <w:t>&lt;</w:t>
      </w:r>
      <w:r w:rsidR="0068474E">
        <w:t xml:space="preserve"> </w:t>
      </w:r>
      <w:r w:rsidRPr="00913855">
        <w:t xml:space="preserve">0.1 </w:t>
      </w:r>
      <w:r w:rsidR="00DF78D9" w:rsidRPr="00913855">
        <w:t xml:space="preserve">using </w:t>
      </w:r>
      <w:r w:rsidR="00582B39" w:rsidRPr="00913855">
        <w:t>11,863 European-ancestry whole-genome sequences from INTERVAL as the linkage disequilibrium (LD) reference panel</w:t>
      </w:r>
      <w:r w:rsidRPr="00913855">
        <w:t>. We combined the clumped variants across traits and retained variants associated at genome-wide significance (</w:t>
      </w:r>
      <w:r w:rsidRPr="00913855">
        <w:rPr>
          <w:i/>
          <w:iCs/>
        </w:rPr>
        <w:t>P</w:t>
      </w:r>
      <w:r w:rsidRPr="00913855">
        <w:t xml:space="preserve">&lt;5×10⁻⁸) with at least two traits, yielding eight variants for instrument construction (Supplementary Figure 1). Trait-specific genetic effect estimates were </w:t>
      </w:r>
      <w:proofErr w:type="spellStart"/>
      <w:r w:rsidRPr="00913855">
        <w:t>centred</w:t>
      </w:r>
      <w:proofErr w:type="spellEnd"/>
      <w:r w:rsidRPr="00913855">
        <w:t xml:space="preserve"> and scaled, and principal component analysis (PCA) was applied to the resulting variant-by-trait matrix. Loadings from the first principal component were used as fixed weights to combine variant effects across traits into a single latent factor. This latent factor was defined as the NLRP3 activity score and served as the exposure in subsequent genetic analyses. The score was scaled to CRP, such that a one-unit decrease corresponds approximately to a one standard deviation decrease in CRP. Standard errors were estimated using the delta method</w:t>
      </w:r>
      <w:r w:rsidR="00F02C07">
        <w:fldChar w:fldCharType="begin"/>
      </w:r>
      <w:r w:rsidR="001865ED">
        <w:instrText xml:space="preserve"> ADDIN ZOTERO_ITEM CSL_CITATION {"citationID":"tKUBWj1w","properties":{"unsorted":false,"formattedCitation":"\\super 24\\nosupersub{}","plainCitation":"24","noteIndex":0},"citationItems":[{"id":116,"uris":["http://zotero.org/users/12564564/items/UEUCM98P"],"itemData":{"id":116,"type":"article-journal","abstract":"Mediation analysis is commonly used to identify mechanisms and intermediate factors between causes and outcomes. Studies drawing on polygenic scores (PGSs) can readily employ traditional regression-based procedures to assess whether trait M mediates the relationship between the genetic component of outcome Y and outcome Y itself. However, this approach suffers from attenuation bias, as PGSs capture only a (small) part of the genetic variance of a given trait. To overcome this limitation, we developed MA-GREML: a method for Mediation Analysis using Genome-based Restricted Maximum Likelihood (GREML) estimation. Using MA-GREML to assess mediation between genetic factors and traits comes with two main advantages. First, we circumvent the limited predictive accuracy of PGSs that regression-based mediation approaches suffer from. Second, compared to methods employing summary statistics from genome-wide association studies, the individual-level data approach of GREML allows to directly control for confounders of the association between M and Y. In addition to typical GREML parameters (e.g., the genetic correlation), MA-GREML estimates (i) the effect of M on Y, (ii) the direct effect (i.e., the genetic variance of Y that is not mediated by M), and (iii) the indirect effect (i.e., the genetic variance of Y that is mediated by M). MA-GREML also provides standard errors of these estimates and assesses the significance of the indirect effect. We use analytical derivations and simulations to show the validity of our approach under two main assumptions, viz., that M precedes Y and that environmental confounders of the association between M and Y are controlled for. We conclude that MA-GREML is an appropriate tool to assess the mediating role of trait M in the relationship between the genetic component of Y and outcome Y. Using data from the US Health and Retirement Study, we provide evidence that genetic effects on Body Mass Index (BMI), cognitive functioning and self-reported health in later life run partially through educational attainment. For mental health, we do not find significant evidence for an indirect effect through educational attainment. Further analyses show that the additive genetic factors of these four outcomes do partially (cognition and mental health) and fully (BMI and self-reported health) run through an earlier realization of these traits.","container-title":"PLOS Genetics","DOI":"10.1371/journal.pgen.1010638","ISSN":"1553-7404","issue":"2","language":"en","page":"e1010638","title":"The identification of mediating effects using genome-based restricted maximum likelihood estimation","volume":"19","author":[{"family":"Rietveld","given":"Cornelius A."},{"family":"Vlaming","given":"Roland","non-dropping-particle":"de"},{"family":"Slob","given":"Eric A. W."}],"issued":{"date-parts":[["2023",2]]}}}],"schema":"https://github.com/citation-style-language/schema/raw/master/csl-citation.json"} </w:instrText>
      </w:r>
      <w:r w:rsidR="00F02C07">
        <w:fldChar w:fldCharType="separate"/>
      </w:r>
      <w:r w:rsidR="00C740B9" w:rsidRPr="00C740B9">
        <w:rPr>
          <w:vertAlign w:val="superscript"/>
        </w:rPr>
        <w:t>24</w:t>
      </w:r>
      <w:r w:rsidR="00F02C07">
        <w:fldChar w:fldCharType="end"/>
      </w:r>
      <w:r w:rsidRPr="00913855">
        <w:t xml:space="preserve">. </w:t>
      </w:r>
      <w:bookmarkStart w:id="39" w:name="_Hlk239353785"/>
      <w:r w:rsidR="00B4331D">
        <w:t xml:space="preserve">Instrument strength was </w:t>
      </w:r>
      <w:proofErr w:type="spellStart"/>
      <w:r w:rsidR="00B4331D">
        <w:t>summarised</w:t>
      </w:r>
      <w:proofErr w:type="spellEnd"/>
      <w:r w:rsidR="00B4331D">
        <w:t xml:space="preserve"> by the F-statistic for the eight variants jointly, accounting for their residual LD. </w:t>
      </w:r>
      <w:r w:rsidRPr="00913855">
        <w:t xml:space="preserve">As a methodological positive control, we applied the same procedure at the </w:t>
      </w:r>
      <w:r w:rsidRPr="00913855">
        <w:rPr>
          <w:rStyle w:val="Emphasis"/>
        </w:rPr>
        <w:t>IL1RN</w:t>
      </w:r>
      <w:r w:rsidRPr="00913855">
        <w:t xml:space="preserve"> locus to construct a genetically proxied interleukin-1 receptor antagonist (IL1Ra) activity </w:t>
      </w:r>
      <w:bookmarkEnd w:id="39"/>
      <w:r w:rsidR="007D6F1E" w:rsidRPr="00913855">
        <w:t>score and</w:t>
      </w:r>
      <w:r w:rsidR="0058780C" w:rsidRPr="0058780C">
        <w:t xml:space="preserve"> tested it against plasma IL1Ra concentration and against gout and rheumatoid arthritis, two diseases treated with recombinant IL1Ra (anakinra).</w:t>
      </w:r>
    </w:p>
    <w:p w14:paraId="1D038687" w14:textId="358DE00A" w:rsidR="006D380D" w:rsidRPr="008C12C7" w:rsidRDefault="00000000">
      <w:pPr>
        <w:pStyle w:val="Heading2"/>
        <w:rPr>
          <w:lang w:val="en-GB"/>
        </w:rPr>
      </w:pPr>
      <w:r w:rsidRPr="008C12C7">
        <w:rPr>
          <w:lang w:val="en-GB"/>
        </w:rPr>
        <w:t>3.4. Colocalisation analyses</w:t>
      </w:r>
    </w:p>
    <w:p w14:paraId="2B4CA776" w14:textId="4FE9075C" w:rsidR="006D380D" w:rsidRPr="008C12C7" w:rsidRDefault="00000000">
      <w:pPr>
        <w:pBdr>
          <w:top w:val="nil"/>
          <w:left w:val="nil"/>
          <w:bottom w:val="nil"/>
          <w:right w:val="nil"/>
          <w:between w:val="nil"/>
        </w:pBdr>
        <w:rPr>
          <w:color w:val="000000"/>
          <w:lang w:val="en-GB"/>
        </w:rPr>
      </w:pPr>
      <w:r w:rsidRPr="008C12C7">
        <w:rPr>
          <w:color w:val="000000"/>
          <w:lang w:val="en-GB"/>
        </w:rPr>
        <w:t xml:space="preserve">To evaluate whether inflammatory biomarker associations at the </w:t>
      </w:r>
      <w:r w:rsidRPr="008C12C7">
        <w:rPr>
          <w:i/>
          <w:iCs/>
          <w:color w:val="000000"/>
          <w:lang w:val="en-GB"/>
        </w:rPr>
        <w:t>NLRP3</w:t>
      </w:r>
      <w:r w:rsidRPr="008C12C7">
        <w:rPr>
          <w:color w:val="000000"/>
          <w:lang w:val="en-GB"/>
        </w:rPr>
        <w:t xml:space="preserve"> locus </w:t>
      </w:r>
      <w:r w:rsidRPr="008C12C7">
        <w:rPr>
          <w:lang w:val="en-GB"/>
        </w:rPr>
        <w:t>share a</w:t>
      </w:r>
      <w:r w:rsidRPr="008C12C7">
        <w:rPr>
          <w:color w:val="000000"/>
          <w:lang w:val="en-GB"/>
        </w:rPr>
        <w:t xml:space="preserve"> causal variant, we performed multi-trait colocalisation using HyPrColoc</w:t>
      </w:r>
      <w:r w:rsidR="003D0400" w:rsidRPr="008C12C7">
        <w:rPr>
          <w:color w:val="000000"/>
          <w:lang w:val="en-GB"/>
        </w:rPr>
        <w:fldChar w:fldCharType="begin"/>
      </w:r>
      <w:r w:rsidR="00F02C07">
        <w:rPr>
          <w:color w:val="000000"/>
          <w:lang w:val="en-GB"/>
        </w:rPr>
        <w:instrText xml:space="preserve"> ADDIN ZOTERO_ITEM CSL_CITATION {"citationID":"wbxWwKDC","properties":{"unsorted":false,"formattedCitation":"\\super 25\\nosupersub{}","plainCitation":"25","noteIndex":0},"citationItems":[{"id":522,"uris":["http://zotero.org/users/12564564/items/9IR3CCVU"],"itemData":{"id":522,"type":"article-journal","abstract":"Genome-wide association studies (GWAS) have identified thousands of genomic regions affecting complex diseases. The next challenge is to elucidate the causal genes and mechanisms involved. One approach is to use statistical colocalization to assess shared genetic aetiology across multiple related traits (e.g. molecular traits, metabolic pathways and complex diseases) to identify causal pathways, prioritize causal variants and evaluate pleiotropy. We propose HyPrColoc (Hypothesis Prioritisation for multi-trait Colocalization), an efficient deterministic Bayesian algorithm using GWAS summary statistics that can detect colocalization across vast numbers of traits simultaneously (e.g. 100 traits can be jointly analysed in around 1 s). We perform a genome-wide multi-trait colocalization analysis of coronary heart disease (CHD) and fourteen related traits, identifying 43 regions in which CHD colocalized with ≥1 trait, including 5 previously unknown CHD loci. Across the 43 loci, we further integrate gene and protein expression quantitative trait loci to identify candidate causal genes.","container-title":"Nature Communications","DOI":"10.1038/s41467-020-20885-8","ISSN":"2041-1723","issue":"1","journalAbbreviation":"Nat Commun","language":"en","license":"2021 The Author(s)","note":"number: 1\npublisher: Nature Publishing Group","page":"764","source":"www.nature.com","title":"A fast and efficient colocalization algorithm for identifying shared genetic risk factors across multiple traits","volume":"12","author":[{"family":"Foley","given":"Christopher N."},{"family":"Staley","given":"James R."},{"family":"Breen","given":"Philip G."},{"family":"Sun","given":"Benjamin B."},{"family":"Kirk","given":"Paul D. W."},{"family":"Burgess","given":"Stephen"},{"family":"Howson","given":"Joanna M. M."}],"issued":{"date-parts":[["2021",2,3]]}}}],"schema":"https://github.com/citation-style-language/schema/raw/master/csl-citation.json"} </w:instrText>
      </w:r>
      <w:r w:rsidR="003D0400" w:rsidRPr="008C12C7">
        <w:rPr>
          <w:color w:val="000000"/>
          <w:lang w:val="en-GB"/>
        </w:rPr>
        <w:fldChar w:fldCharType="separate"/>
      </w:r>
      <w:r w:rsidR="00C740B9" w:rsidRPr="00C740B9">
        <w:rPr>
          <w:color w:val="000000"/>
          <w:szCs w:val="24"/>
          <w:vertAlign w:val="superscript"/>
          <w:lang w:val="en-GB"/>
        </w:rPr>
        <w:t>25</w:t>
      </w:r>
      <w:r w:rsidR="003D0400" w:rsidRPr="008C12C7">
        <w:rPr>
          <w:color w:val="000000"/>
          <w:lang w:val="en-GB"/>
        </w:rPr>
        <w:fldChar w:fldCharType="end"/>
      </w:r>
      <w:r w:rsidRPr="008C12C7">
        <w:rPr>
          <w:color w:val="000000"/>
          <w:lang w:val="en-GB"/>
        </w:rPr>
        <w:t xml:space="preserve"> across whole-blood </w:t>
      </w:r>
      <w:r w:rsidRPr="008C12C7">
        <w:rPr>
          <w:i/>
          <w:iCs/>
          <w:color w:val="000000"/>
          <w:lang w:val="en-GB"/>
        </w:rPr>
        <w:t>NLRP3</w:t>
      </w:r>
      <w:r w:rsidRPr="008C12C7">
        <w:rPr>
          <w:color w:val="000000"/>
          <w:lang w:val="en-GB"/>
        </w:rPr>
        <w:t xml:space="preserve"> expression, circulating CRP levels, </w:t>
      </w:r>
      <w:proofErr w:type="spellStart"/>
      <w:r w:rsidRPr="008C12C7">
        <w:rPr>
          <w:color w:val="000000"/>
          <w:lang w:val="en-GB"/>
        </w:rPr>
        <w:t>GlycA</w:t>
      </w:r>
      <w:proofErr w:type="spellEnd"/>
      <w:r w:rsidRPr="008C12C7">
        <w:rPr>
          <w:color w:val="000000"/>
          <w:lang w:val="en-GB"/>
        </w:rPr>
        <w:t xml:space="preserve"> concentrations, and blood neutrophil count</w:t>
      </w:r>
      <w:r w:rsidR="00462D38" w:rsidRPr="00462D38">
        <w:t xml:space="preserve"> </w:t>
      </w:r>
      <w:r w:rsidR="00462D38" w:rsidRPr="00462D38">
        <w:rPr>
          <w:color w:val="000000"/>
          <w:lang w:val="en-GB"/>
        </w:rPr>
        <w:t xml:space="preserve">, using variants within </w:t>
      </w:r>
      <w:r w:rsidR="00497DC1" w:rsidRPr="00497DC1">
        <w:rPr>
          <w:color w:val="000000"/>
          <w:lang w:val="en-GB"/>
        </w:rPr>
        <w:t>±</w:t>
      </w:r>
      <w:r w:rsidR="00462D38" w:rsidRPr="00462D38">
        <w:rPr>
          <w:color w:val="000000"/>
          <w:lang w:val="en-GB"/>
        </w:rPr>
        <w:t xml:space="preserve">200 kb of </w:t>
      </w:r>
      <w:r w:rsidR="00462D38" w:rsidRPr="008B6E7B">
        <w:rPr>
          <w:i/>
          <w:iCs/>
          <w:color w:val="000000"/>
          <w:lang w:val="en-GB"/>
        </w:rPr>
        <w:t>NLRP3</w:t>
      </w:r>
      <w:r w:rsidR="00462D38" w:rsidRPr="00462D38">
        <w:rPr>
          <w:color w:val="000000"/>
          <w:lang w:val="en-GB"/>
        </w:rPr>
        <w:t>.</w:t>
      </w:r>
      <w:r w:rsidRPr="008C12C7">
        <w:rPr>
          <w:color w:val="000000"/>
          <w:lang w:val="en-GB"/>
        </w:rPr>
        <w:t xml:space="preserve"> Because the </w:t>
      </w:r>
      <w:r w:rsidRPr="008C12C7">
        <w:rPr>
          <w:i/>
          <w:iCs/>
          <w:color w:val="000000"/>
          <w:lang w:val="en-GB"/>
        </w:rPr>
        <w:t>NLRP3</w:t>
      </w:r>
      <w:r w:rsidRPr="008C12C7">
        <w:rPr>
          <w:color w:val="000000"/>
          <w:lang w:val="en-GB"/>
        </w:rPr>
        <w:t xml:space="preserve"> expression association contained two distinct signals, we used GCTA-COJO</w:t>
      </w:r>
      <w:r w:rsidR="003D0400" w:rsidRPr="008C12C7">
        <w:rPr>
          <w:color w:val="000000"/>
          <w:lang w:val="en-GB"/>
        </w:rPr>
        <w:fldChar w:fldCharType="begin"/>
      </w:r>
      <w:r w:rsidR="001865ED">
        <w:rPr>
          <w:color w:val="000000"/>
          <w:lang w:val="en-GB"/>
        </w:rPr>
        <w:instrText xml:space="preserve"> ADDIN ZOTERO_ITEM CSL_CITATION {"citationID":"snQ1YPP6","properties":{"unsorted":false,"formattedCitation":"\\super 26\\nosupersub{}","plainCitation":"26","noteIndex":0},"citationItems":[{"id":433,"uris":["http://zotero.org/users/12564564/items/7ANUVVY4"],"itemData":{"id":433,"type":"article-journal","abstract":"We present an approximate conditional and joint association analysis that can use summary-level statistics from a meta-analysis of genome-wide association studies (GWAS) and estimated linkage disequilibrium (LD) from a reference sample with individual-level genotype data. Using this method, we analyzed meta-analysis summary data from the GIANT Consortium for height and body mass index (BMI), with the LD structure estimated from genotype data in two independent cohorts. We identified 36 loci with multiple associated variants for height (38 leading and 49 additional SNPs, 87 in total) via a genome-wide SNP selection procedure. The 49 new SNPs explain approximately 1.3% of variance, nearly doubling the heritability explained at the 36 loci. We did not find any locus showing multiple associated SNPs for BMI. The method we present is computationally fast and is also applicable to case-control data, which we demonstrate in an example from meta-analysis of type 2 diabetes by the DIAGRAM Consortium.","container-title":"Nature genetics","DOI":"10.1038/ng.2213","ISSN":"1061-4036","issue":"4","journalAbbreviation":"Nat Genet","page":"369-375","PMID":"22426310","PMCID":"PMC3593158","source":"PubMed Central","title":"Conditional and joint multiple-SNP analysis of GWAS summary statistics identifies additional variants influencing complex traits","volume":"44","author":[{"family":"Yang","given":"Jian"},{"family":"Ferreira","given":"Teresa"},{"family":"Morris","given":"Andrew P"},{"family":"Medland","given":"Sarah E"},{"family":"Madden","given":"Pamela A F"},{"family":"Heath","given":"Andrew C"},{"family":"Martin","given":"Nicholas G"},{"family":"Montgomery","given":"Grant W"},{"family":"Weedon","given":"Michael N"},{"family":"Loos","given":"Ruth J"},{"family":"Frayling","given":"Timothy M"},{"family":"McCarthy","given":"Mark I"},{"family":"Hirschhorn","given":"Joel N"},{"family":"Goddard","given":"Michael E"},{"family":"Visscher","given":"Peter M"}],"issued":{"date-parts":[["2012",3,18]]}}}],"schema":"https://github.com/citation-style-language/schema/raw/master/csl-citation.json"} </w:instrText>
      </w:r>
      <w:r w:rsidR="003D0400" w:rsidRPr="008C12C7">
        <w:rPr>
          <w:color w:val="000000"/>
          <w:lang w:val="en-GB"/>
        </w:rPr>
        <w:fldChar w:fldCharType="separate"/>
      </w:r>
      <w:r w:rsidR="00C740B9" w:rsidRPr="00C740B9">
        <w:rPr>
          <w:color w:val="000000"/>
          <w:szCs w:val="24"/>
          <w:vertAlign w:val="superscript"/>
          <w:lang w:val="en-GB"/>
        </w:rPr>
        <w:t>26</w:t>
      </w:r>
      <w:r w:rsidR="003D0400" w:rsidRPr="008C12C7">
        <w:rPr>
          <w:color w:val="000000"/>
          <w:lang w:val="en-GB"/>
        </w:rPr>
        <w:fldChar w:fldCharType="end"/>
      </w:r>
      <w:r w:rsidRPr="008C12C7">
        <w:rPr>
          <w:color w:val="000000"/>
          <w:lang w:val="en-GB"/>
        </w:rPr>
        <w:t xml:space="preserve"> with </w:t>
      </w:r>
      <w:r w:rsidR="00405F4A" w:rsidRPr="00405F4A">
        <w:rPr>
          <w:color w:val="000000"/>
          <w:lang w:val="en-GB"/>
        </w:rPr>
        <w:t>the INTERVAL European-ancestry whole-genome sequencing panel as the LD reference.</w:t>
      </w:r>
      <w:r w:rsidRPr="008C12C7">
        <w:rPr>
          <w:color w:val="000000"/>
          <w:lang w:val="en-GB"/>
        </w:rPr>
        <w:t xml:space="preserve"> We conditioned the </w:t>
      </w:r>
      <w:r w:rsidRPr="008C12C7">
        <w:rPr>
          <w:i/>
          <w:iCs/>
          <w:color w:val="000000"/>
          <w:lang w:val="en-GB"/>
        </w:rPr>
        <w:t>NLRP3</w:t>
      </w:r>
      <w:r w:rsidRPr="008C12C7">
        <w:rPr>
          <w:color w:val="000000"/>
          <w:lang w:val="en-GB"/>
        </w:rPr>
        <w:t xml:space="preserve"> expression summary statistics on the lead variant of the narrow upstream peak (</w:t>
      </w:r>
      <w:r w:rsidRPr="008C12C7">
        <w:rPr>
          <w:lang w:val="en-GB"/>
        </w:rPr>
        <w:t>rs6689545)</w:t>
      </w:r>
      <w:r w:rsidRPr="008C12C7">
        <w:rPr>
          <w:color w:val="000000"/>
          <w:lang w:val="en-GB"/>
        </w:rPr>
        <w:t xml:space="preserve"> to isolate the association cluster within the </w:t>
      </w:r>
      <w:r w:rsidRPr="008C12C7">
        <w:rPr>
          <w:i/>
          <w:iCs/>
          <w:color w:val="000000"/>
          <w:lang w:val="en-GB"/>
        </w:rPr>
        <w:t>NLRP3</w:t>
      </w:r>
      <w:r w:rsidRPr="008C12C7">
        <w:rPr>
          <w:color w:val="000000"/>
          <w:lang w:val="en-GB"/>
        </w:rPr>
        <w:t xml:space="preserve"> gene. The conditioned </w:t>
      </w:r>
      <w:r w:rsidRPr="008C12C7">
        <w:rPr>
          <w:i/>
          <w:iCs/>
          <w:color w:val="000000"/>
          <w:lang w:val="en-GB"/>
        </w:rPr>
        <w:t>NLRP3</w:t>
      </w:r>
      <w:r w:rsidRPr="008C12C7">
        <w:rPr>
          <w:color w:val="000000"/>
          <w:lang w:val="en-GB"/>
        </w:rPr>
        <w:t xml:space="preserve"> expression summary statistics, together with the unconditioned summary statistics for CRP, </w:t>
      </w:r>
      <w:proofErr w:type="spellStart"/>
      <w:r w:rsidRPr="008C12C7">
        <w:rPr>
          <w:color w:val="000000"/>
          <w:lang w:val="en-GB"/>
        </w:rPr>
        <w:t>GlycA</w:t>
      </w:r>
      <w:proofErr w:type="spellEnd"/>
      <w:r w:rsidRPr="008C12C7">
        <w:rPr>
          <w:color w:val="000000"/>
          <w:lang w:val="en-GB"/>
        </w:rPr>
        <w:t xml:space="preserve">, and neutrophil count, were then used as input for multi-trait colocalisation. </w:t>
      </w:r>
      <w:proofErr w:type="spellStart"/>
      <w:r w:rsidRPr="008C12C7">
        <w:rPr>
          <w:color w:val="000000"/>
          <w:lang w:val="en-GB"/>
        </w:rPr>
        <w:t>HyPrColoc</w:t>
      </w:r>
      <w:proofErr w:type="spellEnd"/>
      <w:r w:rsidRPr="008C12C7">
        <w:rPr>
          <w:color w:val="000000"/>
          <w:lang w:val="en-GB"/>
        </w:rPr>
        <w:t xml:space="preserve"> was then run using default variant-specific priors (</w:t>
      </w:r>
      <w:bookmarkStart w:id="40" w:name="_Hlk240918442"/>
      <w:r w:rsidRPr="004B562B">
        <w:rPr>
          <w:color w:val="000000"/>
          <w:lang w:val="en-GB"/>
        </w:rPr>
        <w:t>prior.1</w:t>
      </w:r>
      <w:r w:rsidR="009251C7">
        <w:rPr>
          <w:color w:val="000000"/>
          <w:lang w:val="en-GB"/>
        </w:rPr>
        <w:t xml:space="preserve"> =</w:t>
      </w:r>
      <w:r w:rsidRPr="004B562B">
        <w:rPr>
          <w:color w:val="000000"/>
          <w:lang w:val="en-GB"/>
        </w:rPr>
        <w:t xml:space="preserve"> </w:t>
      </w:r>
      <w:r w:rsidR="004B562B" w:rsidRPr="004B562B">
        <w:rPr>
          <w:color w:val="000000"/>
          <w:lang w:val="en-GB"/>
        </w:rPr>
        <w:t>1×10</w:t>
      </w:r>
      <w:r w:rsidR="004B562B">
        <w:rPr>
          <w:color w:val="000000"/>
          <w:vertAlign w:val="superscript"/>
          <w:lang w:val="en-GB"/>
        </w:rPr>
        <w:t>-4</w:t>
      </w:r>
      <w:r w:rsidRPr="004B562B">
        <w:rPr>
          <w:color w:val="000000"/>
          <w:lang w:val="en-GB"/>
        </w:rPr>
        <w:t xml:space="preserve">, </w:t>
      </w:r>
      <w:proofErr w:type="spellStart"/>
      <w:r w:rsidRPr="004B562B">
        <w:rPr>
          <w:color w:val="000000"/>
          <w:lang w:val="en-GB"/>
        </w:rPr>
        <w:t>pri</w:t>
      </w:r>
      <w:bookmarkEnd w:id="40"/>
      <w:r w:rsidRPr="004B562B">
        <w:rPr>
          <w:color w:val="000000"/>
          <w:lang w:val="en-GB"/>
        </w:rPr>
        <w:t>or</w:t>
      </w:r>
      <w:r w:rsidRPr="008C12C7">
        <w:rPr>
          <w:color w:val="000000"/>
          <w:lang w:val="en-GB"/>
        </w:rPr>
        <w:t>.c</w:t>
      </w:r>
      <w:proofErr w:type="spellEnd"/>
      <w:r w:rsidR="009251C7">
        <w:rPr>
          <w:color w:val="000000"/>
          <w:lang w:val="en-GB"/>
        </w:rPr>
        <w:t xml:space="preserve"> = 0.02</w:t>
      </w:r>
      <w:r w:rsidRPr="008C12C7">
        <w:rPr>
          <w:color w:val="000000"/>
          <w:lang w:val="en-GB"/>
        </w:rPr>
        <w:t xml:space="preserve">. Evidence for colocalisation was summarised using the posterior probability that the traits share a causal variant, with posterior probability </w:t>
      </w:r>
      <w:r w:rsidR="009251C7">
        <w:rPr>
          <w:color w:val="000000"/>
          <w:lang w:val="en-GB"/>
        </w:rPr>
        <w:t>&gt; 0.8</w:t>
      </w:r>
      <w:r w:rsidRPr="008C12C7">
        <w:rPr>
          <w:color w:val="000000"/>
          <w:lang w:val="en-GB"/>
        </w:rPr>
        <w:t xml:space="preserve"> interpreted as strong evidence of colocalisation.</w:t>
      </w:r>
      <w:r w:rsidR="00890A62">
        <w:rPr>
          <w:color w:val="000000"/>
          <w:lang w:val="en-GB"/>
        </w:rPr>
        <w:t xml:space="preserve"> </w:t>
      </w:r>
      <w:r w:rsidR="00890A62" w:rsidRPr="00890A62">
        <w:rPr>
          <w:color w:val="000000"/>
          <w:lang w:val="en-GB"/>
        </w:rPr>
        <w:t xml:space="preserve">To test for colocalising signals elsewhere in the region, we repeated </w:t>
      </w:r>
      <w:proofErr w:type="spellStart"/>
      <w:r w:rsidR="00890A62" w:rsidRPr="00890A62">
        <w:rPr>
          <w:color w:val="000000"/>
          <w:lang w:val="en-GB"/>
        </w:rPr>
        <w:t>HyPrColoc</w:t>
      </w:r>
      <w:proofErr w:type="spellEnd"/>
      <w:r w:rsidR="00890A62" w:rsidRPr="00890A62">
        <w:rPr>
          <w:color w:val="000000"/>
          <w:lang w:val="en-GB"/>
        </w:rPr>
        <w:t xml:space="preserve">, with the same inputs and priors, in the flanking regions from 200 kb to 1 Mb upstream and downstream of </w:t>
      </w:r>
      <w:r w:rsidR="00890A62" w:rsidRPr="00890A62">
        <w:rPr>
          <w:i/>
          <w:iCs/>
          <w:color w:val="000000"/>
          <w:lang w:val="en-GB"/>
        </w:rPr>
        <w:t>NLRP3</w:t>
      </w:r>
      <w:r w:rsidR="00890A62">
        <w:rPr>
          <w:color w:val="000000"/>
          <w:lang w:val="en-GB"/>
        </w:rPr>
        <w:t>.</w:t>
      </w:r>
    </w:p>
    <w:p w14:paraId="36C1191C" w14:textId="77777777" w:rsidR="006D380D" w:rsidRPr="008C12C7" w:rsidRDefault="00000000">
      <w:pPr>
        <w:pStyle w:val="Heading2"/>
        <w:rPr>
          <w:lang w:val="en-GB"/>
        </w:rPr>
      </w:pPr>
      <w:bookmarkStart w:id="41" w:name="x0udehoe7gxp" w:colFirst="0" w:colLast="0"/>
      <w:bookmarkStart w:id="42" w:name="_6ihiotixz0mq" w:colFirst="0" w:colLast="0"/>
      <w:bookmarkEnd w:id="41"/>
      <w:bookmarkEnd w:id="42"/>
      <w:r w:rsidRPr="008C12C7">
        <w:rPr>
          <w:lang w:val="en-GB"/>
        </w:rPr>
        <w:t>3.5. Mendelian randomization analyses</w:t>
      </w:r>
    </w:p>
    <w:p w14:paraId="2818EFCE" w14:textId="04448B91" w:rsidR="006D380D" w:rsidRPr="008C12C7" w:rsidRDefault="00AB4D13" w:rsidP="00AB4D13">
      <w:pPr>
        <w:pBdr>
          <w:top w:val="nil"/>
          <w:left w:val="nil"/>
          <w:bottom w:val="nil"/>
          <w:right w:val="nil"/>
          <w:between w:val="nil"/>
        </w:pBdr>
        <w:rPr>
          <w:color w:val="000000"/>
          <w:lang w:val="en-GB"/>
        </w:rPr>
      </w:pPr>
      <w:bookmarkStart w:id="43" w:name="glk4rvsk5fcb" w:colFirst="0" w:colLast="0"/>
      <w:bookmarkStart w:id="44" w:name="_j83c8jyw5vqm" w:colFirst="0" w:colLast="0"/>
      <w:bookmarkEnd w:id="43"/>
      <w:bookmarkEnd w:id="44"/>
      <w:r w:rsidRPr="008C12C7">
        <w:rPr>
          <w:color w:val="000000"/>
          <w:lang w:val="en-GB"/>
        </w:rPr>
        <w:t xml:space="preserve">We used two-sample MR to estimate associations of the NLRP3 activity score with circulating biomarkers, cardiometabolic traits, and disease outcomes. </w:t>
      </w:r>
      <w:r w:rsidR="00C4007C" w:rsidRPr="00C4007C">
        <w:rPr>
          <w:color w:val="000000"/>
          <w:lang w:val="en-GB"/>
        </w:rPr>
        <w:t>All estimates were oriented to represent lower genetically proxied NLRP3 activity, mirroring pharmacological inhibition.</w:t>
      </w:r>
      <w:r w:rsidR="00C4007C">
        <w:rPr>
          <w:color w:val="000000"/>
          <w:lang w:val="en-GB"/>
        </w:rPr>
        <w:t xml:space="preserve"> </w:t>
      </w:r>
      <w:r w:rsidRPr="008C12C7">
        <w:rPr>
          <w:color w:val="000000"/>
          <w:lang w:val="en-GB"/>
        </w:rPr>
        <w:t>The primary estimator was</w:t>
      </w:r>
      <w:r w:rsidR="000F39C4">
        <w:rPr>
          <w:color w:val="000000"/>
          <w:lang w:val="en-GB"/>
        </w:rPr>
        <w:t xml:space="preserve"> </w:t>
      </w:r>
      <w:r w:rsidR="000F39C4">
        <w:rPr>
          <w:color w:val="000000"/>
          <w:lang w:val="en-GB"/>
        </w:rPr>
        <w:lastRenderedPageBreak/>
        <w:t>random-effects</w:t>
      </w:r>
      <w:r w:rsidRPr="008C12C7">
        <w:rPr>
          <w:color w:val="000000"/>
          <w:lang w:val="en-GB"/>
        </w:rPr>
        <w:t xml:space="preserve"> inverse-variance weighted (IVW) MR. Weighted median MR</w:t>
      </w:r>
      <w:r w:rsidR="008E4D1C">
        <w:rPr>
          <w:color w:val="000000"/>
          <w:lang w:val="en-GB"/>
        </w:rPr>
        <w:t xml:space="preserve"> </w:t>
      </w:r>
      <w:r w:rsidR="00584299">
        <w:rPr>
          <w:color w:val="000000"/>
          <w:lang w:val="en-GB"/>
        </w:rPr>
        <w:t>w</w:t>
      </w:r>
      <w:r w:rsidR="008E4D1C">
        <w:rPr>
          <w:color w:val="000000"/>
          <w:lang w:val="en-GB"/>
        </w:rPr>
        <w:t>as used as a</w:t>
      </w:r>
      <w:r w:rsidRPr="008C12C7">
        <w:rPr>
          <w:color w:val="000000"/>
          <w:lang w:val="en-GB"/>
        </w:rPr>
        <w:t xml:space="preserve"> robustness analy</w:t>
      </w:r>
      <w:r w:rsidR="008E4D1C">
        <w:rPr>
          <w:color w:val="000000"/>
          <w:lang w:val="en-GB"/>
        </w:rPr>
        <w:t>si</w:t>
      </w:r>
      <w:r w:rsidRPr="008C12C7">
        <w:rPr>
          <w:color w:val="000000"/>
          <w:lang w:val="en-GB"/>
        </w:rPr>
        <w:t>s</w:t>
      </w:r>
      <w:r w:rsidR="008E4D1C">
        <w:rPr>
          <w:color w:val="000000"/>
          <w:lang w:val="en-GB"/>
        </w:rPr>
        <w:t xml:space="preserve"> and </w:t>
      </w:r>
      <w:r w:rsidR="00CB1FB9">
        <w:rPr>
          <w:color w:val="000000"/>
          <w:lang w:val="en-GB"/>
        </w:rPr>
        <w:t>t</w:t>
      </w:r>
      <w:r w:rsidR="00CB1FB9" w:rsidRPr="00CB1FB9">
        <w:rPr>
          <w:color w:val="000000"/>
          <w:lang w:val="en-GB"/>
        </w:rPr>
        <w:t xml:space="preserve">he MR-Egger intercept was used to test whether variant effects on the outcome were proportional to their effects on the exposure. MR-Egger was not used as a causal estimator, as its </w:t>
      </w:r>
      <w:proofErr w:type="spellStart"/>
      <w:r w:rsidR="00CB1FB9" w:rsidRPr="00CB1FB9">
        <w:rPr>
          <w:color w:val="000000"/>
          <w:lang w:val="en-GB"/>
        </w:rPr>
        <w:t>InSIDE</w:t>
      </w:r>
      <w:proofErr w:type="spellEnd"/>
      <w:r w:rsidR="00CB1FB9" w:rsidRPr="00CB1FB9">
        <w:rPr>
          <w:color w:val="000000"/>
          <w:lang w:val="en-GB"/>
        </w:rPr>
        <w:t xml:space="preserve"> assumption is not well suited to variants within a single gene region</w:t>
      </w:r>
      <w:r w:rsidR="003902DB">
        <w:rPr>
          <w:color w:val="000000"/>
          <w:lang w:val="en-GB"/>
        </w:rPr>
        <w:fldChar w:fldCharType="begin"/>
      </w:r>
      <w:r w:rsidR="003902DB">
        <w:rPr>
          <w:color w:val="000000"/>
          <w:lang w:val="en-GB"/>
        </w:rPr>
        <w:instrText xml:space="preserve"> ADDIN ZOTERO_ITEM CSL_CITATION {"citationID":"ZYFdPeuG","properties":{"unsorted":false,"formattedCitation":"\\super 27\\nosupersub{}","plainCitation":"27","noteIndex":0},"citationItems":[{"id":451,"uris":["http://zotero.org/users/12564564/items/G9J85D7P"],"itemData":{"id":451,"type":"article-journal","abstract":"This paper provides guidelines for performing Mendelian randomization investigations. It is aimed at practitioners seeking to undertake analyses and write up their findings, and at journal editors and reviewers seeking to assess Mendelian randomization manuscripts. The guidelines are divided into ten sections: motivation and scope, data sources, choice of genetic variants, variant harmonization, primary analysis, supplementary and sensitivity analyses (one section on robust statistical methods and one on other approaches), extensions and additional analyses, data presentation, and interpretation. These guidelines will be updated based on feedback from the community and advances in the field. Updates will be made periodically as needed, and at least every 24 months.","container-title":"Wellcome Open Research","DOI":"10.12688/wellcomeopenres.15555.3","ISSN":"2398-502X","journalAbbreviation":"Wellcome Open Res","note":"PMID: 32760811\nPMCID: PMC7384151","page":"186","source":"PubMed Central","title":"Guidelines for performing Mendelian randomization investigations: update for summer 2023","title-short":"Guidelines for performing Mendelian randomization investigations","volume":"4","author":[{"family":"Burgess","given":"Stephen"},{"family":"Davey Smith","given":"George"},{"family":"Davies","given":"Neil M."},{"family":"Dudbridge","given":"Frank"},{"family":"Gill","given":"Dipender"},{"family":"Glymour","given":"M. Maria"},{"family":"Hartwig","given":"Fernando P."},{"family":"Kutalik","given":"Zoltán"},{"family":"Holmes","given":"Michael V."},{"family":"Minelli","given":"Cosetta"},{"family":"Morrison","given":"Jean V."},{"family":"Pan","given":"Wei"},{"family":"Relton","given":"Caroline L."},{"family":"Theodoratou","given":"Evropi"}],"issued":{"date-parts":[["2023",8,4]]}}}],"schema":"https://github.com/citation-style-language/schema/raw/master/csl-citation.json"} </w:instrText>
      </w:r>
      <w:r w:rsidR="003902DB">
        <w:rPr>
          <w:color w:val="000000"/>
          <w:lang w:val="en-GB"/>
        </w:rPr>
        <w:fldChar w:fldCharType="separate"/>
      </w:r>
      <w:r w:rsidR="003902DB" w:rsidRPr="003902DB">
        <w:rPr>
          <w:color w:val="000000"/>
          <w:szCs w:val="24"/>
          <w:vertAlign w:val="superscript"/>
          <w:lang w:val="en-GB"/>
        </w:rPr>
        <w:t>27</w:t>
      </w:r>
      <w:r w:rsidR="003902DB">
        <w:rPr>
          <w:color w:val="000000"/>
          <w:lang w:val="en-GB"/>
        </w:rPr>
        <w:fldChar w:fldCharType="end"/>
      </w:r>
      <w:r w:rsidRPr="008C12C7">
        <w:rPr>
          <w:color w:val="000000"/>
          <w:lang w:val="en-GB"/>
        </w:rPr>
        <w:t xml:space="preserve">. </w:t>
      </w:r>
      <w:r w:rsidR="00C4007C" w:rsidRPr="00C4007C">
        <w:rPr>
          <w:color w:val="000000"/>
          <w:lang w:val="en-GB"/>
        </w:rPr>
        <w:t>IVW and MR-Egger accounted for residual LD using the INTERVAL reference panel. Heterogeneity was assessed with Cochran's Q. For CAD, we additionally performed leave-one-out analyses, estimated a Wald ratio for the shared colocalising variant (rs12239046) alone, and repeated instrument selection and score construction at relaxed LD clumping thresholds (</w:t>
      </w:r>
      <w:r w:rsidR="00C4007C" w:rsidRPr="00667742">
        <w:rPr>
          <w:i/>
          <w:iCs/>
          <w:color w:val="000000"/>
          <w:lang w:val="en-GB"/>
        </w:rPr>
        <w:t>r</w:t>
      </w:r>
      <w:r w:rsidR="00C4007C" w:rsidRPr="00C4007C">
        <w:rPr>
          <w:color w:val="000000"/>
          <w:lang w:val="en-GB"/>
        </w:rPr>
        <w:t>² 0.2–0.6). Estimates are reported as betas (continuous outcomes) or odds ratios (binary outcomes) with 95% confidence intervals. Analyses used</w:t>
      </w:r>
      <w:r w:rsidRPr="008C12C7">
        <w:rPr>
          <w:color w:val="000000"/>
          <w:lang w:val="en-GB"/>
        </w:rPr>
        <w:t xml:space="preserve"> the MendelianRandomization</w:t>
      </w:r>
      <w:r w:rsidR="008F2882" w:rsidRPr="008C12C7">
        <w:rPr>
          <w:color w:val="000000"/>
          <w:lang w:val="en-GB"/>
        </w:rPr>
        <w:fldChar w:fldCharType="begin"/>
      </w:r>
      <w:r w:rsidR="003902DB">
        <w:rPr>
          <w:color w:val="000000"/>
          <w:lang w:val="en-GB"/>
        </w:rPr>
        <w:instrText xml:space="preserve"> ADDIN ZOTERO_ITEM CSL_CITATION {"citationID":"Mr258UxU","properties":{"unsorted":false,"formattedCitation":"\\super 28\\nosupersub{}","plainCitation":"28","noteIndex":0},"citationItems":[{"id":394,"uris":["http://zotero.org/users/12564564/items/M63VR8PN"],"itemData":{"id":394,"type":"book","title":"MendelianRandomization: Mendelian Randomization Package","URL":"https://CRAN.R-project.org/package=MendelianRandomization","author":[{"family":"Burgess","given":"Stephen"},{"family":"Yavorska","given":"Olena"}],"issued":{"date-parts":[["2024"]]}}}],"schema":"https://github.com/citation-style-language/schema/raw/master/csl-citation.json"} </w:instrText>
      </w:r>
      <w:r w:rsidR="008F2882" w:rsidRPr="008C12C7">
        <w:rPr>
          <w:color w:val="000000"/>
          <w:lang w:val="en-GB"/>
        </w:rPr>
        <w:fldChar w:fldCharType="separate"/>
      </w:r>
      <w:r w:rsidR="003902DB" w:rsidRPr="003902DB">
        <w:rPr>
          <w:color w:val="000000"/>
          <w:szCs w:val="24"/>
          <w:vertAlign w:val="superscript"/>
          <w:lang w:val="en-GB"/>
        </w:rPr>
        <w:t>28</w:t>
      </w:r>
      <w:r w:rsidR="008F2882" w:rsidRPr="008C12C7">
        <w:rPr>
          <w:color w:val="000000"/>
          <w:lang w:val="en-GB"/>
        </w:rPr>
        <w:fldChar w:fldCharType="end"/>
      </w:r>
      <w:r w:rsidR="008F2882" w:rsidRPr="008C12C7">
        <w:rPr>
          <w:color w:val="000000"/>
          <w:lang w:val="en-GB"/>
        </w:rPr>
        <w:t xml:space="preserve"> </w:t>
      </w:r>
      <w:r w:rsidRPr="008C12C7">
        <w:rPr>
          <w:color w:val="000000"/>
          <w:lang w:val="en-GB"/>
        </w:rPr>
        <w:t xml:space="preserve"> (version 0.10.0) and</w:t>
      </w:r>
      <w:r w:rsidR="000719F9">
        <w:rPr>
          <w:color w:val="000000"/>
          <w:lang w:val="en-GB"/>
        </w:rPr>
        <w:t xml:space="preserve"> MVMR</w:t>
      </w:r>
      <w:r w:rsidR="000719F9">
        <w:rPr>
          <w:color w:val="000000"/>
          <w:lang w:val="en-GB"/>
        </w:rPr>
        <w:fldChar w:fldCharType="begin"/>
      </w:r>
      <w:r w:rsidR="003902DB">
        <w:rPr>
          <w:color w:val="000000"/>
          <w:lang w:val="en-GB"/>
        </w:rPr>
        <w:instrText xml:space="preserve"> ADDIN ZOTERO_ITEM CSL_CITATION {"citationID":"h9oVWhfI","properties":{"unsorted":false,"formattedCitation":"\\super 29\\nosupersub{}","plainCitation":"29","noteIndex":0},"citationItems":[{"id":343,"uris":["http://zotero.org/users/12564564/items/4M7AZBVA"],"itemData":{"id":343,"type":"article-journal","abstract":"BACKGROUND: Mendelian randomization (MR) is a powerful tool in epidemiology that can be used to estimate the causal effect of an exposure on an outcome in the presence of unobserved confounding, by utilizing genetic variants that are instrumental variables (IVs) for the exposure. This has been extended to multivariable MR (MVMR) to estimate the effect of two or more exposures on an outcome.\nMETHODS AND RESULTS: We use simulations and theory to clarify the interpretation of estimated effects in a MVMR analysis under a range of underlying scenarios, where a secondary exposure acts variously as a confounder, a mediator, a pleiotropic pathway and a collider. We then describe how instrument strength and validity can be assessed for an MVMR analysis in the single-sample setting, and develop tests to assess these assumptions in the popular two-sample summary data setting. We illustrate our methods using data from UK Biobank to estimate the effect of education and cognitive ability on body mass index.\nCONCLUSION: MVMR analysis consistently estimates the direct causal effect of an exposure, or exposures, of interest and provides a powerful tool for determining causal effects in a wide range of scenarios with either individual- or summary-level data.","container-title":"International Journal of Epidemiology","DOI":"10.1093/ije/dyy262","ISSN":"1464-3685","issue":"3","journalAbbreviation":"Int J Epidemiol","language":"eng","note":"PMID: 30535378\nPMCID: PMC6734942","page":"713-727","source":"PubMed","title":"An examination of multivariable Mendelian randomization in the single-sample and two-sample summary data settings","volume":"48","author":[{"family":"Sanderson","given":"Eleanor"},{"family":"Davey Smith","given":"George"},{"family":"Windmeijer","given":"Frank"},{"family":"Bowden","given":"Jack"}],"issued":{"date-parts":[["2019",6,1]]}}}],"schema":"https://github.com/citation-style-language/schema/raw/master/csl-citation.json"} </w:instrText>
      </w:r>
      <w:r w:rsidR="000719F9">
        <w:rPr>
          <w:color w:val="000000"/>
          <w:lang w:val="en-GB"/>
        </w:rPr>
        <w:fldChar w:fldCharType="separate"/>
      </w:r>
      <w:r w:rsidR="003902DB" w:rsidRPr="003902DB">
        <w:rPr>
          <w:color w:val="000000"/>
          <w:szCs w:val="24"/>
          <w:vertAlign w:val="superscript"/>
          <w:lang w:val="en-GB"/>
        </w:rPr>
        <w:t>29</w:t>
      </w:r>
      <w:r w:rsidR="000719F9">
        <w:rPr>
          <w:color w:val="000000"/>
          <w:lang w:val="en-GB"/>
        </w:rPr>
        <w:fldChar w:fldCharType="end"/>
      </w:r>
      <w:r w:rsidRPr="008C12C7">
        <w:rPr>
          <w:color w:val="000000"/>
          <w:lang w:val="en-GB"/>
        </w:rPr>
        <w:t xml:space="preserve"> (version </w:t>
      </w:r>
      <w:r w:rsidR="000719F9" w:rsidRPr="000719F9">
        <w:rPr>
          <w:rStyle w:val="Strong"/>
          <w:b w:val="0"/>
          <w:bCs w:val="0"/>
        </w:rPr>
        <w:t>0.4.2</w:t>
      </w:r>
      <w:r w:rsidRPr="008C12C7">
        <w:rPr>
          <w:color w:val="000000"/>
          <w:lang w:val="en-GB"/>
        </w:rPr>
        <w:t>)</w:t>
      </w:r>
      <w:r w:rsidR="001C133E" w:rsidRPr="008C12C7">
        <w:rPr>
          <w:color w:val="000000"/>
          <w:lang w:val="en-GB"/>
        </w:rPr>
        <w:t xml:space="preserve"> </w:t>
      </w:r>
      <w:r w:rsidRPr="008C12C7">
        <w:rPr>
          <w:color w:val="000000"/>
          <w:lang w:val="en-GB"/>
        </w:rPr>
        <w:t>R package</w:t>
      </w:r>
      <w:r w:rsidR="00584299">
        <w:rPr>
          <w:color w:val="000000"/>
          <w:lang w:val="en-GB"/>
        </w:rPr>
        <w:t>s</w:t>
      </w:r>
      <w:r w:rsidRPr="008C12C7">
        <w:rPr>
          <w:color w:val="000000"/>
          <w:lang w:val="en-GB"/>
        </w:rPr>
        <w:t>.</w:t>
      </w:r>
    </w:p>
    <w:p w14:paraId="5FB46E27" w14:textId="77777777" w:rsidR="006D380D" w:rsidRPr="008C12C7" w:rsidRDefault="00000000">
      <w:pPr>
        <w:pStyle w:val="Heading2"/>
        <w:rPr>
          <w:lang w:val="en-GB"/>
        </w:rPr>
      </w:pPr>
      <w:bookmarkStart w:id="45" w:name="_Hlk238655668"/>
      <w:r w:rsidRPr="008C12C7">
        <w:rPr>
          <w:lang w:val="en-GB"/>
        </w:rPr>
        <w:t>3.6. Evaluation of the NLRP3 activity score</w:t>
      </w:r>
    </w:p>
    <w:bookmarkEnd w:id="45"/>
    <w:p w14:paraId="2468F7C9" w14:textId="28646053" w:rsidR="006D380D" w:rsidRPr="008C12C7" w:rsidRDefault="00B1537E">
      <w:pPr>
        <w:pBdr>
          <w:top w:val="nil"/>
          <w:left w:val="nil"/>
          <w:bottom w:val="nil"/>
          <w:right w:val="nil"/>
          <w:between w:val="nil"/>
        </w:pBdr>
        <w:rPr>
          <w:color w:val="000000"/>
          <w:lang w:val="en-GB"/>
        </w:rPr>
      </w:pPr>
      <w:r w:rsidRPr="008C12C7">
        <w:rPr>
          <w:color w:val="000000"/>
          <w:lang w:val="en-GB"/>
        </w:rPr>
        <w:t xml:space="preserve">We first assessed internal consistency by estimating associations of a lower NLRP3 activity score with the downstream inflammatory biomarkers used for score construction: circulating CRP levels, </w:t>
      </w:r>
      <w:proofErr w:type="spellStart"/>
      <w:r w:rsidRPr="008C12C7">
        <w:rPr>
          <w:color w:val="000000"/>
          <w:lang w:val="en-GB"/>
        </w:rPr>
        <w:t>GlycA</w:t>
      </w:r>
      <w:proofErr w:type="spellEnd"/>
      <w:r w:rsidRPr="008C12C7">
        <w:rPr>
          <w:color w:val="000000"/>
          <w:lang w:val="en-GB"/>
        </w:rPr>
        <w:t xml:space="preserve"> concentrations, and blood neutrophil count. We then evaluated circulating IL-1β, IL-18, and IL-6 levels as external biological readouts. IL-1β and IL-18 were selected because they are canonical cytokine products of NLRP3 inflammasome activation, while IL-6 was included as a downstream cytokine linking interleukin-1 signalling to the acute-phase response</w:t>
      </w:r>
      <w:r w:rsidR="00DB2405" w:rsidRPr="008C12C7">
        <w:rPr>
          <w:color w:val="000000"/>
          <w:lang w:val="en-GB"/>
        </w:rPr>
        <w:fldChar w:fldCharType="begin"/>
      </w:r>
      <w:r w:rsidR="00DB2405" w:rsidRPr="008C12C7">
        <w:rPr>
          <w:color w:val="000000"/>
          <w:lang w:val="en-GB"/>
        </w:rPr>
        <w:instrText xml:space="preserve"> ADDIN ZOTERO_ITEM CSL_CITATION {"citationID":"bUnrPHUe","properties":{"unsorted":false,"formattedCitation":"\\super 6\\uc0\\u8211{}8\\nosupersub{}","plainCitation":"6–8","noteIndex":0},"citationItems":[{"id":421,"uris":["http://zotero.org/users/12564564/items/RQ39NDQP"],"itemData":{"id":421,"type":"article-journal","abstract":"NLRP3 (NOD-, LRR- and pyrin domain-containing protein 3) is an intracellular sensor that detects a broad range of microbial motifs, endogenous danger signals and environmental irritants, resulting in the formation and activation of the NLRP3 inflammasome. Assembly of the NLRP3 inflammasome leads to caspase 1-dependent release of the pro-inflammatory cytokines IL-1β and IL-18, as well as to gasdermin D-mediated pyroptotic cell death. Recent studies have revealed new regulators of the NLRP3 inflammasome, including new interacting or regulatory proteins, metabolic pathways and a regulatory mitochondrial hub. In this Review, we present the molecular, cell biological and biochemical bases of NLRP3 activation and regulation and describe how this mechanistic understanding is leading to potential therapeutics that target the NLRP3 inflammasome.","container-title":"Nature Reviews Immunology","DOI":"10.1038/s41577-019-0165-0","ISSN":"1474-1741","issue":"8","journalAbbreviation":"Nat Rev Immunol","language":"en","license":"2019 The Author(s), under exclusive licence to Springer Nature Limited","note":"publisher: Nature Publishing Group","page":"477-489","source":"www.nature.com","title":"The NLRP3 inflammasome: molecular activation and regulation to therapeutics","title-short":"The NLRP3 inflammasome","volume":"19","author":[{"family":"Swanson","given":"Karen V."},{"family":"Deng","given":"Meng"},{"family":"Ting","given":"Jenny P.-Y."}],"issued":{"date-parts":[["2019",8]]}}},{"id":102,"uris":["http://zotero.org/users/12564564/items/6UJHKGKJ"],"itemData":{"id":102,"type":"article-journal","abstract":"IL-1 and IL-18 are members of the IL-1 family of ligands, and their receptors are members of the IL-1 receptor family. Although several biological properties overlap for these cytokines, differences exist. IL-18 uniquely induces IFN-γ from T lymphocytes and natural killer cells but does not cause fever, whereas fever is a prominent characteristic of IL-1 in humans and animals. In the present study, human epithelial cells were stably transfected with the IL-18 receptor β chain and responded to IL-18 with increased production of IL-1α, IL-6, and IL-8. Five minutes after exposure to either cytokine, phosphorylation of mitogen activated protein kinase (MAPK) p38 was present; specific inhibition of p38 MAPK reduced IL-18 activity to background levels. Whereas IL-1β induced the expression of the NF-κB-reporter gene and was suppressed by competitive inhibition of NF-κB binding, IL-18 responses were weak or absent. In contrast to IL-1β, IL-18 also did not activate degradation of the NF-κB inhibitor. After 4 h, both cytokines induced comparable levels of mRNA for the chemokine IL-8 but, in the same cells, steady-state levels of cyclooxygenase (COX)-2 mRNA were high after IL-1β but low or absent after IL-18. After 30 h, IL-18-induced COX-2 appeared in part to be IL-1 dependent. Similarly, low levels of prostaglandin E2 were measured in IL-18-stimulated A549 cells and freshly obtained primary human monocytes and mouse macrophages. We conclude that in epithelial cells, IL-18 signal transduction is primarily via the MAPK p38 pathway rather than NF-κB, which may explain the absence of COX-2 and the failure of IL-18 to cause fever.","container-title":"Proceedings of the National Academy of Sciences of the United States of America","DOI":"10.1073/pnas.0402800101","ISSN":"0027-8424","issue":"23","page":"8815–8820","PMID":"15161979","PMCID":"PMC423278","title":"Differences in signaling pathways by IL-1β and IL-18","volume":"101","author":[{"family":"Lee","given":"Jae-Kwon"},{"family":"Kim","given":"Soo-Hyun"},{"family":"Lewis","given":"Eli C."},{"family":"Azam","given":"Tania"},{"family":"Reznikov","given":"Leonid L."},{"family":"Dinarello","given":"Charles A."}],"issued":{"date-parts":[["2004",6]]}}},{"id":101,"uris":["http://zotero.org/users/12564564/items/83P9FQ6G"],"itemData":{"id":101,"type":"article-journal","abstract":"BACKGROUND: RA and CVD both have inflammation as part of the underlying biology. Our objective was to explore the relationships of GlycA, a measure of glycosylated acute phase proteins, with inflammation and cardiometabolic risk in RA, and explore whether these relationships were similar to those for persons without RA. METHODS: Plasma GlycA was determined for 50 individuals with mild-moderate RA disease activity and 39 controls matched for age, gender, and body mass index (BMI). Regression analyses were performed to assess relationships between GlycA and important markers of traditional inflammation and cardio-metabolic health: inflammatory cytokines, disease activity, measures of adiposity and insulin resistance. RESULTS: On average, RA activity was low (DAS-28 = 3.0 ± 1.4). Traditional inflammatory markers, ESR, hsCRP, IL-1β, IL-6, IL-18 and TNF-α were greater in RA versus controls (P \\textless 0.05 for all). GlycA concentrations were significantly elevated in RA versus controls (P = 0.036). In RA, greater GlycA associated with disease activity (DAS-28; RDAS-28 = 0.5) and inflammation (RESR = 0.7, RhsCRP = 0.7, RIL-6 = 0.3: P \\textless 0.05 for all); in BMI-matched controls, these inflammatory associations were absent or weaker (hsCRP), but GlycA was related to IL-18 (RhsCRP = 0.3, RIL-18 = 0.4: P \\textless 0.05). In RA, greater GlycA associated with more total abdominal adiposity and less muscle density (Rabdominal-adiposity = 0.3, Rmuscle-density = -0.3, P \\textless 0.05 for both). In BMI-matched controls, GlycA associated with more cardio-metabolic markers: BMI, waist circumference, adiposity measures and insulin resistance (R = 0.3-0.6, P \\textless 0.05 for all). CONCLUSIONS: GlycA provides an integrated measure of inflammation with contributions from traditional inflammatory markers and cardio-metabolic sources, dominated by inflammatory markers in persons with RA and cardio-metabolic factors in those without.","container-title":"Arthritis Research &amp; Therapy","DOI":"10.1186/s13075-016-0982-5","ISSN":"1478-6362","language":"eng","page":"86","PMID":"27067270","PMCID":"PMC4828830","title":"A novel inflammatory biomarker, GlycA, associates with disease activity in rheumatoid arthritis and cardio-metabolic risk in BMI-matched controls","volume":"18","author":[{"family":"Bartlett","given":"David B."},{"family":"Connelly","given":"Margery A."},{"family":"AbouAssi","given":"Hiba"},{"family":"Bateman","given":"Lori A."},{"family":"Tune","given":"K. Noelle"},{"family":"Huebner","given":"Janet L."},{"family":"Kraus","given":"Virginia B."},{"family":"Winegar","given":"Deborah A."},{"family":"Otvos","given":"James D."},{"family":"Kraus","given":"William E."},{"family":"Huffman","given":"Kim M."}],"issued":{"date-parts":[["2016",4]]}}}],"schema":"https://github.com/citation-style-language/schema/raw/master/csl-citation.json"} </w:instrText>
      </w:r>
      <w:r w:rsidR="00DB2405" w:rsidRPr="008C12C7">
        <w:rPr>
          <w:color w:val="000000"/>
          <w:lang w:val="en-GB"/>
        </w:rPr>
        <w:fldChar w:fldCharType="separate"/>
      </w:r>
      <w:r w:rsidR="009E0B36" w:rsidRPr="009E0B36">
        <w:rPr>
          <w:color w:val="000000"/>
          <w:szCs w:val="24"/>
          <w:vertAlign w:val="superscript"/>
          <w:lang w:val="en-GB"/>
        </w:rPr>
        <w:t>6–8</w:t>
      </w:r>
      <w:r w:rsidR="00DB2405" w:rsidRPr="008C12C7">
        <w:rPr>
          <w:color w:val="000000"/>
          <w:lang w:val="en-GB"/>
        </w:rPr>
        <w:fldChar w:fldCharType="end"/>
      </w:r>
      <w:r w:rsidRPr="008C12C7">
        <w:rPr>
          <w:color w:val="000000"/>
          <w:lang w:val="en-GB"/>
        </w:rPr>
        <w:t>.</w:t>
      </w:r>
    </w:p>
    <w:p w14:paraId="69F6AE16" w14:textId="77777777" w:rsidR="006D380D" w:rsidRPr="008C12C7" w:rsidRDefault="00000000">
      <w:pPr>
        <w:pStyle w:val="Heading2"/>
        <w:rPr>
          <w:lang w:val="en-GB"/>
        </w:rPr>
      </w:pPr>
      <w:bookmarkStart w:id="46" w:name="yhsdclmhi9fi" w:colFirst="0" w:colLast="0"/>
      <w:bookmarkStart w:id="47" w:name="_5do7wgatqxop" w:colFirst="0" w:colLast="0"/>
      <w:bookmarkEnd w:id="46"/>
      <w:bookmarkEnd w:id="47"/>
      <w:r w:rsidRPr="008C12C7">
        <w:rPr>
          <w:lang w:val="en-GB"/>
        </w:rPr>
        <w:t>3.7. Mediation analysis</w:t>
      </w:r>
    </w:p>
    <w:p w14:paraId="11C0885B" w14:textId="671B56A2" w:rsidR="00FD1B20" w:rsidRPr="008C12C7" w:rsidRDefault="00FD1B20" w:rsidP="00FD1B20">
      <w:pPr>
        <w:pBdr>
          <w:top w:val="nil"/>
          <w:left w:val="nil"/>
          <w:bottom w:val="nil"/>
          <w:right w:val="nil"/>
          <w:between w:val="nil"/>
        </w:pBdr>
        <w:rPr>
          <w:color w:val="000000"/>
          <w:lang w:val="en-GB"/>
        </w:rPr>
      </w:pPr>
      <w:r w:rsidRPr="008C12C7">
        <w:rPr>
          <w:color w:val="000000"/>
          <w:lang w:val="en-GB"/>
        </w:rPr>
        <w:t xml:space="preserve">To investigate whether the association between a lower genetically proxied NLRP3 activity score and higher CAD risk could be explained by established cardiovascular risk factors, we performed mediation analyses for systolic blood pressure (SBP), </w:t>
      </w:r>
      <w:r w:rsidR="002E5ECD">
        <w:t>apolipoprotein</w:t>
      </w:r>
      <w:r w:rsidR="002E5ECD">
        <w:t xml:space="preserve"> </w:t>
      </w:r>
      <w:r w:rsidR="00E94730">
        <w:t xml:space="preserve">B </w:t>
      </w:r>
      <w:r w:rsidR="002E5ECD">
        <w:t>(</w:t>
      </w:r>
      <w:r w:rsidRPr="008C12C7">
        <w:rPr>
          <w:color w:val="000000"/>
          <w:lang w:val="en-GB"/>
        </w:rPr>
        <w:t>ApoB</w:t>
      </w:r>
      <w:r w:rsidR="002E5ECD">
        <w:rPr>
          <w:color w:val="000000"/>
          <w:lang w:val="en-GB"/>
        </w:rPr>
        <w:t>)</w:t>
      </w:r>
      <w:r w:rsidRPr="008C12C7">
        <w:rPr>
          <w:color w:val="000000"/>
          <w:lang w:val="en-GB"/>
        </w:rPr>
        <w:t>, and type 2 diabetes (T2D). These traits were selected because they were associated with the NLRP3 activity score in the cardiometabolic and lifestyle trait screen and are established risk factors for CAD</w:t>
      </w:r>
      <w:r w:rsidR="00BE2158" w:rsidRPr="008C12C7">
        <w:rPr>
          <w:color w:val="000000"/>
          <w:lang w:val="en-GB"/>
        </w:rPr>
        <w:fldChar w:fldCharType="begin"/>
      </w:r>
      <w:r w:rsidR="003902DB">
        <w:rPr>
          <w:color w:val="000000"/>
          <w:lang w:val="en-GB"/>
        </w:rPr>
        <w:instrText xml:space="preserve"> ADDIN ZOTERO_ITEM CSL_CITATION {"citationID":"u0rM1QiK","properties":{"unsorted":false,"formattedCitation":"\\super 30\\nosupersub{}","plainCitation":"30","noteIndex":0},"citationItems":[{"id":67,"uris":["http://zotero.org/users/12564564/items/UX4TPJZV"],"itemData":{"id":67,"type":"article-journal","abstract":"Emerging evidence has spurred a considerable evolution of concepts relating to atherosclerosis, and has called into question many previous notions. Here I review this evidence, and discuss its implications for understanding of atherosclerosis. The risk of developing atherosclerosis is no longer concentrated in Western countries, and it is instead involved in the majority of deaths worldwide. Atherosclerosis now affects younger people, and more women and individuals from a diverse range of ethnic backgrounds, than was formerly the case. The risk factor profile has shifted as levels of low-density lipoprotein (LDL) cholesterol, blood pressure and smoking have decreased. Recent research has challenged the protective effects of high-density lipoprotein, and now focuses on triglyceride-rich lipoproteins in addition to low-density lipoprotein as causal in atherosclerosis. Non-traditional drivers of atherosclerosis—such as disturbed sleep, physical inactivity, the microbiome, air pollution and environmental stress—have also gained attention. Inflammatory pathways and leukocytes link traditional and emerging risk factors alike to the altered behaviour of arterial wall cells. Probing the pathogenesis of atherosclerosis has highlighted the role of the bone marrow: somatic mutations in stem cells can cause clonal haematopoiesis, which represents a previously unrecognized but common and potent age-related contributor to the risk of developing cardiovascular disease. Characterizations of the mechanisms that underpin thrombotic complications of atherosclerosis have evolved beyond the ‘vulnerable plaque’ concept. These advances in our understanding of the biology of atherosclerosis have opened avenues to therapeutic interventions that promise to improve the prevention and treatment of now-ubiquitous atherosclerotic diseases.","container-title":"Nature","DOI":"10.1038/s41586-021-03392-8","ISSN":"1476-4687","issue":"7855","language":"en","license":"2021 The Author(s), under exclusive licence to Springer Nature Limited","page":"524–533","title":"The changing landscape of atherosclerosis","volume":"592","author":[{"family":"Libby","given":"Peter"}],"issued":{"date-parts":[["2021",4]]}}}],"schema":"https://github.com/citation-style-language/schema/raw/master/csl-citation.json"} </w:instrText>
      </w:r>
      <w:r w:rsidR="00BE2158" w:rsidRPr="008C12C7">
        <w:rPr>
          <w:color w:val="000000"/>
          <w:lang w:val="en-GB"/>
        </w:rPr>
        <w:fldChar w:fldCharType="separate"/>
      </w:r>
      <w:r w:rsidR="003902DB" w:rsidRPr="003902DB">
        <w:rPr>
          <w:color w:val="000000"/>
          <w:szCs w:val="24"/>
          <w:vertAlign w:val="superscript"/>
          <w:lang w:val="en-GB"/>
        </w:rPr>
        <w:t>30</w:t>
      </w:r>
      <w:r w:rsidR="00BE2158" w:rsidRPr="008C12C7">
        <w:rPr>
          <w:color w:val="000000"/>
          <w:lang w:val="en-GB"/>
        </w:rPr>
        <w:fldChar w:fldCharType="end"/>
      </w:r>
      <w:r w:rsidRPr="008C12C7">
        <w:rPr>
          <w:color w:val="000000"/>
          <w:lang w:val="en-GB"/>
        </w:rPr>
        <w:t xml:space="preserve">. ApoB was selected as the lipid mediator because it reflects the concentration of atherogenic </w:t>
      </w:r>
      <w:r w:rsidR="003D369C">
        <w:rPr>
          <w:color w:val="000000"/>
          <w:lang w:val="en-GB"/>
        </w:rPr>
        <w:t>A</w:t>
      </w:r>
      <w:r w:rsidRPr="008C12C7">
        <w:rPr>
          <w:color w:val="000000"/>
          <w:lang w:val="en-GB"/>
        </w:rPr>
        <w:t>poB-containing lipoprotein particles and provides a parsimonious measure of lipid-related cardiovascular risk, avoiding joint modelling of highly correlated lipid fractions</w:t>
      </w:r>
      <w:r w:rsidR="00BE2158" w:rsidRPr="008C12C7">
        <w:rPr>
          <w:color w:val="000000"/>
          <w:lang w:val="en-GB"/>
        </w:rPr>
        <w:fldChar w:fldCharType="begin"/>
      </w:r>
      <w:r w:rsidR="003902DB">
        <w:rPr>
          <w:color w:val="000000"/>
          <w:lang w:val="en-GB"/>
        </w:rPr>
        <w:instrText xml:space="preserve"> ADDIN ZOTERO_ITEM CSL_CITATION {"citationID":"m8K9Pjf6","properties":{"unsorted":false,"formattedCitation":"\\super 31\\nosupersub{}","plainCitation":"31","noteIndex":0},"citationItems":[{"id":348,"uris":["http://zotero.org/users/12564564/items/2V7I44AD"],"itemData":{"id":348,"type":"article-journal","abstract":"IMPORTANCE: Lipid management typically focuses on levels of low-density lipoprotein cholesterol (LDL-C) and, to a lesser extent, triglycerides (TG). However, animal models and genetic studies suggest that the atherogenic particle subpopulations (LDL and very-low-density lipoprotein [VLDL]) are both important and that the number of particles is more predictive of cardiac events than their lipid content.\nOBJECTIVE: To determine whether common measures of cholesterol concentration, TG concentration, or their ratio are associated with cardiovascular risk beyond the number of apolipoprotein B (apoB)-containing lipoproteins.\nDESIGN, SETTING, AND PARTICIPANTS: This prospective cohort analysis included individuals from the population-based UK Biobank and from 2 large international clinical trials, FOURIER and IMPROVE-IT. The median (IQR) follow-up was 11.1 (10.4-11.8) years in UK Biobank and 2.5 (2.0-4.7) years in the clinical trials. Two populations were studied in this analysis: 389 529 individuals in the primary prevention group who were not taking lipid-lowering therapy and 40 430 patients with established atherosclerosis who were receiving statin treatment.\nEXPOSURES: ApoB, non-high-density lipoprotein cholesterol (HDL-C), LDL-C, and TG.\nMAIN OUTCOME AND MEASURES: The primary study outcome was incident myocardial infarction (MI).\nRESULTS: Of the 389 529 individuals in the primary prevention group, 224 097 (58%) were female, and the median (IQR) age was 56.0 (49.5-62.5) years. Of the 40 430 patients with established atherosclerosis, 9647 (24%) were female, and the median (IQR) age was 63 (56.2-69.0) years. In the primary prevention cohort, apoB, non-HDL-C, and TG each individually were associated with incident MI. However, when assessed together, only apoB was associated (adjusted hazard ratio [aHR] per 1 SD, 1.27; 95% CI, 1.15-1.40; P &lt; .001). Similarly, only apoB was associated with MI in the secondary prevention cohort. Adjusting for apoB, there was no association between the ratio of TG to LDL-C (a surrogate for the ratio of TG-rich lipoproteins to LDL) and risk of MI, implying that for a given concentration of apoB-containing lipoproteins, the relative proportions of particle subpopulations may no longer be a predictor of risk.\nCONCLUSIONS AND RELEVANCE: In this cohort study, risk of MI was best captured by the number of apoB-containing lipoproteins, independent from lipid content (cholesterol or TG) or type of lipoprotein (LDL or TG-rich). This suggests that apoB may be the primary driver of atherosclerosis and that lowering the concentration of all apoB-containing lipoproteins should be the focus of therapeutic strategies.","container-title":"JAMA cardiology","DOI":"10.1001/jamacardio.2021.5083","ISSN":"2380-6591","issue":"3","journalAbbreviation":"JAMA Cardiol","language":"eng","note":"PMID: 34773460\nPMCID: PMC8590731","page":"250-256","source":"PubMed","title":"Association of Apolipoprotein B-Containing Lipoproteins and Risk of Myocardial Infarction in Individuals With and Without Atherosclerosis: Distinguishing Between Particle Concentration, Type, and Content","title-short":"Association of Apolipoprotein B-Containing Lipoproteins and Risk of Myocardial Infarction in Individuals With and Without Atherosclerosis","volume":"7","author":[{"family":"Marston","given":"Nicholas A."},{"family":"Giugliano","given":"Robert P."},{"family":"Melloni","given":"Giorgio E. M."},{"family":"Park","given":"Jeong-Gun"},{"family":"Morrill","given":"Valerie"},{"family":"Blazing","given":"Michael A."},{"family":"Ference","given":"Brian"},{"family":"Stein","given":"Evan"},{"family":"Stroes","given":"Erik S."},{"family":"Braunwald","given":"Eugene"},{"family":"Ellinor","given":"Patrick T."},{"family":"Lubitz","given":"Steven A."},{"family":"Ruff","given":"Christian T."},{"family":"Sabatine","given":"Marc S."}],"issued":{"date-parts":[["2022",3,1]]}}}],"schema":"https://github.com/citation-style-language/schema/raw/master/csl-citation.json"} </w:instrText>
      </w:r>
      <w:r w:rsidR="00BE2158" w:rsidRPr="008C12C7">
        <w:rPr>
          <w:color w:val="000000"/>
          <w:lang w:val="en-GB"/>
        </w:rPr>
        <w:fldChar w:fldCharType="separate"/>
      </w:r>
      <w:r w:rsidR="003902DB" w:rsidRPr="003902DB">
        <w:rPr>
          <w:color w:val="000000"/>
          <w:szCs w:val="24"/>
          <w:vertAlign w:val="superscript"/>
          <w:lang w:val="en-GB"/>
        </w:rPr>
        <w:t>31</w:t>
      </w:r>
      <w:r w:rsidR="00BE2158" w:rsidRPr="008C12C7">
        <w:rPr>
          <w:color w:val="000000"/>
          <w:lang w:val="en-GB"/>
        </w:rPr>
        <w:fldChar w:fldCharType="end"/>
      </w:r>
      <w:r w:rsidRPr="008C12C7">
        <w:rPr>
          <w:color w:val="000000"/>
          <w:lang w:val="en-GB"/>
        </w:rPr>
        <w:t>. We used the product-of-coefficients method to estimate indirect effects</w:t>
      </w:r>
      <w:r w:rsidR="00BE2158" w:rsidRPr="008C12C7">
        <w:rPr>
          <w:color w:val="000000"/>
          <w:lang w:val="en-GB"/>
        </w:rPr>
        <w:fldChar w:fldCharType="begin"/>
      </w:r>
      <w:r w:rsidR="003902DB">
        <w:rPr>
          <w:color w:val="000000"/>
          <w:lang w:val="en-GB"/>
        </w:rPr>
        <w:instrText xml:space="preserve"> ADDIN ZOTERO_ITEM CSL_CITATION {"citationID":"EFCylwuu","properties":{"unsorted":false,"formattedCitation":"\\super 32\\nosupersub{}","plainCitation":"32","noteIndex":0},"citationItems":[{"id":31,"uris":["http://zotero.org/users/12564564/items/U9XUHCM8"],"itemData":{"id":31,"type":"article-journal","abstract":"Recent advances in the causal inference literature on mediation have extended traditional approaches to direct and indirect effects to settings that allow for interactions and non-linearities. In this paper, these approaches from causal inference are further extended to settings in which multiple mediators may be of interest. Two analytic approaches, one based on regression and one based on weighting are proposed to estimate the effect mediated through multiple mediators and the effects through other pathways. The approaches proposed here accommodate exposure-mediator interactions and, to a certain extent, mediator-mediator interactions as well. The methods handle binary or continuous mediators and binary, continuous or count outcomes. When the mediators affect one another, the strategy of trying to assess direct and indirect effects one mediator at a time will in general fail; the approach given in this paper can still be used. A characterization is moreover given as to when the sum of the mediated effects for multiple mediators considered separately will be equal to the mediated effect of all of the mediators considered jointly. The approach proposed in this paper is robust to unmeasured common causes of two or more mediators.","container-title":"Epidemiologic methods","DOI":"10.1515/em-2012-0010","ISSN":"2194-9263","issue":"1","page":"95–115","PMID":"25580377","PMCID":"PMC4287269","title":"Mediation Analysis with Multiple Mediators","volume":"2","author":[{"family":"VanderWeele","given":"T.J."},{"family":"Vansteelandt","given":"S."}],"issued":{"date-parts":[["2014",1]]}}}],"schema":"https://github.com/citation-style-language/schema/raw/master/csl-citation.json"} </w:instrText>
      </w:r>
      <w:r w:rsidR="00BE2158" w:rsidRPr="008C12C7">
        <w:rPr>
          <w:color w:val="000000"/>
          <w:lang w:val="en-GB"/>
        </w:rPr>
        <w:fldChar w:fldCharType="separate"/>
      </w:r>
      <w:r w:rsidR="003902DB" w:rsidRPr="003902DB">
        <w:rPr>
          <w:color w:val="000000"/>
          <w:szCs w:val="24"/>
          <w:vertAlign w:val="superscript"/>
          <w:lang w:val="en-GB"/>
        </w:rPr>
        <w:t>32</w:t>
      </w:r>
      <w:r w:rsidR="00BE2158" w:rsidRPr="008C12C7">
        <w:rPr>
          <w:color w:val="000000"/>
          <w:lang w:val="en-GB"/>
        </w:rPr>
        <w:fldChar w:fldCharType="end"/>
      </w:r>
      <w:r w:rsidRPr="008C12C7">
        <w:rPr>
          <w:color w:val="000000"/>
          <w:lang w:val="en-GB"/>
        </w:rPr>
        <w:t>. First, we estimated the effect of a lower genetically proxied NLRP3 activity score on each mediator using two-sample MR. Second, we estimated the mutually adjusted effects of SBP, ApoB, and T2D on CAD risk using multivariable Mendelian randomization (MVMR)</w:t>
      </w:r>
      <w:r w:rsidR="00BE2158" w:rsidRPr="008C12C7">
        <w:rPr>
          <w:color w:val="000000"/>
          <w:lang w:val="en-GB"/>
        </w:rPr>
        <w:fldChar w:fldCharType="begin"/>
      </w:r>
      <w:r w:rsidR="003902DB">
        <w:rPr>
          <w:color w:val="000000"/>
          <w:lang w:val="en-GB"/>
        </w:rPr>
        <w:instrText xml:space="preserve"> ADDIN ZOTERO_ITEM CSL_CITATION {"citationID":"gn234uPG","properties":{"unsorted":false,"formattedCitation":"\\super 29\\nosupersub{}","plainCitation":"29","noteIndex":0},"citationItems":[{"id":343,"uris":["http://zotero.org/users/12564564/items/4M7AZBVA"],"itemData":{"id":343,"type":"article-journal","abstract":"BACKGROUND: Mendelian randomization (MR) is a powerful tool in epidemiology that can be used to estimate the causal effect of an exposure on an outcome in the presence of unobserved confounding, by utilizing genetic variants that are instrumental variables (IVs) for the exposure. This has been extended to multivariable MR (MVMR) to estimate the effect of two or more exposures on an outcome.\nMETHODS AND RESULTS: We use simulations and theory to clarify the interpretation of estimated effects in a MVMR analysis under a range of underlying scenarios, where a secondary exposure acts variously as a confounder, a mediator, a pleiotropic pathway and a collider. We then describe how instrument strength and validity can be assessed for an MVMR analysis in the single-sample setting, and develop tests to assess these assumptions in the popular two-sample summary data setting. We illustrate our methods using data from UK Biobank to estimate the effect of education and cognitive ability on body mass index.\nCONCLUSION: MVMR analysis consistently estimates the direct causal effect of an exposure, or exposures, of interest and provides a powerful tool for determining causal effects in a wide range of scenarios with either individual- or summary-level data.","container-title":"International Journal of Epidemiology","DOI":"10.1093/ije/dyy262","ISSN":"1464-3685","issue":"3","journalAbbreviation":"Int J Epidemiol","language":"eng","note":"PMID: 30535378\nPMCID: PMC6734942","page":"713-727","source":"PubMed","title":"An examination of multivariable Mendelian randomization in the single-sample and two-sample summary data settings","volume":"48","author":[{"family":"Sanderson","given":"Eleanor"},{"family":"Davey Smith","given":"George"},{"family":"Windmeijer","given":"Frank"},{"family":"Bowden","given":"Jack"}],"issued":{"date-parts":[["2019",6,1]]}}}],"schema":"https://github.com/citation-style-language/schema/raw/master/csl-citation.json"} </w:instrText>
      </w:r>
      <w:r w:rsidR="00BE2158" w:rsidRPr="008C12C7">
        <w:rPr>
          <w:color w:val="000000"/>
          <w:lang w:val="en-GB"/>
        </w:rPr>
        <w:fldChar w:fldCharType="separate"/>
      </w:r>
      <w:r w:rsidR="003902DB" w:rsidRPr="003902DB">
        <w:rPr>
          <w:color w:val="000000"/>
          <w:szCs w:val="24"/>
          <w:vertAlign w:val="superscript"/>
          <w:lang w:val="en-GB"/>
        </w:rPr>
        <w:t>29</w:t>
      </w:r>
      <w:r w:rsidR="00BE2158" w:rsidRPr="008C12C7">
        <w:rPr>
          <w:color w:val="000000"/>
          <w:lang w:val="en-GB"/>
        </w:rPr>
        <w:fldChar w:fldCharType="end"/>
      </w:r>
      <w:r w:rsidRPr="008C12C7">
        <w:rPr>
          <w:color w:val="000000"/>
          <w:lang w:val="en-GB"/>
        </w:rPr>
        <w:t>. In this step, SBP, ApoB, and T2D were instrumented using genome-wide significant variants from their respective source GWAS</w:t>
      </w:r>
      <w:r w:rsidR="009466D5" w:rsidRPr="008C12C7">
        <w:rPr>
          <w:color w:val="000000"/>
          <w:lang w:val="en-GB"/>
        </w:rPr>
        <w:fldChar w:fldCharType="begin"/>
      </w:r>
      <w:r w:rsidR="003902DB">
        <w:rPr>
          <w:color w:val="000000"/>
          <w:lang w:val="en-GB"/>
        </w:rPr>
        <w:instrText xml:space="preserve"> ADDIN ZOTERO_ITEM CSL_CITATION {"citationID":"cdFBKPk3","properties":{"unsorted":false,"formattedCitation":"\\super 15,33,34\\nosupersub{}","plainCitation":"15,33,34","noteIndex":0},"citationItems":[{"id":21,"uris":["http://zotero.org/users/12564564/items/4BFPSAYJ"],"itemData":{"id":21,"type":"article-journal","abstract":"Genetic studies of human metabolism have been limited in scale and allelic breadth. Here we provide a data-driven map of the genetic regulation of circulating small molecules and lipoprotein characteristics (249 traits) measured using proton nuclear magnetic resonance spectroscopy across the allele frequency spectrum in \\textasciitilde450,000 individuals. Trans-ancestral meta-analyses identify 29,824 locus–metabolite associations mapping to 753 regions with effects largely consistent between men and women and large ancestral groups represented in UK Biobank. We observe and classify extreme genetic pleiotropy, identify regulators of lipid metabolism, and assign effector genes at \\textgreater100 loci through rare-to-common allelic series. We propose roles for genes less established in metabolic control (for example, SIDT2), genes characterized by phenotypic heterogeneity (for example, APOA1) and genes with specific disease relevance (for example, VEGFA). Our study demonstrates the value of broad, large-scale metabolomic phenotyping to identify and characterize regulators of human metabolism.","container-title":"Nature Genetics","DOI":"10.1038/s41588-025-02355-3","ISSN":"1546-1718","issue":"10","language":"en","license":"2025 The Author(s)","page":"2445–2455","title":"A genetic map of human metabolism across the allele frequency spectrum","volume":"57","author":[{"family":"Zoodsma","given":"Martijn"},{"family":"Beuchel","given":"Carl"},{"family":"Yasmeen","given":"Summaira"},{"family":"Kohleick","given":"Leonhard"},{"family":"Nepal","given":"Aakash"},{"family":"Koprulu","given":"Mine"},{"family":"Kronenberg","given":"Florian"},{"family":"Mayr","given":"Manuel"},{"family":"Williamson","given":"Alice"},{"family":"Pietzner","given":"Maik"},{"family":"Langenberg","given":"Claudia"}],"issued":{"date-parts":[["2025",10]]}}},{"id":344,"uris":["http://zotero.org/users/12564564/items/LFSP5G8S"],"itemData":{"id":344,"type":"article-journal","abstract":"Abstract\n            \n              Type 2 diabetes (T2D) is a heterogeneous disease that develops through diverse pathophysiological processes\n              1,2\n              and molecular mechanisms that are often specific to cell type\n              3,4\n              . Here, to characterize the genetic contribution to these processes across ancestry groups, we aggregate genome-wide association study data from 2,535,601 individuals (39.7% not of European ancestry), including 428,452 cases of T2D. We identify 1,289 independent association signals at genome-wide significance (\n              P\n               &lt; 5 × 10\n              −8\n              ) that map to 611 loci, of which 145 loci are, to our knowledge, previously unreported. We define eight non-overlapping clusters of T2D signals that are characterized by distinct profiles of cardiometabolic trait associations. These clusters are differentially enriched for cell-type-specific regions of open chromatin, including pancreatic islets, adipocytes, endothelial cells and enteroendocrine cells. We build cluster-specific partitioned polygenic scores\n              5\n              in a further 279,552 individuals of diverse ancestry, including 30,288 cases of T2D, and test their association with T2D-related vascular outcomes. Cluster-specific partitioned polygenic scores are associated with coronary artery disease, peripheral artery disease and end-stage diabetic nephropathy across ancestry groups, highlighting the importance of obesity-related processes in the development of vascular outcomes. Our findings show the value of integrating multi-ancestry genome-wide association study data with single-cell epigenomics to disentangle the aetiological heterogeneity that drives the development and progression of T2D. This might offer a route to optimize global access to genetically informed diabetes care.","container-title":"Nature","DOI":"10.1038/s41586-024-07019-6","ISSN":"0028-0836, 1476-4687","issue":"8003","journalAbbreviation":"Nature","language":"en","page":"347-357","source":"DOI.org (Crossref)","title":"Genetic drivers of heterogeneity in type 2 diabetes pathophysiology","volume":"627","author":[{"family":"Suzuki","given":"Ken"},{"family":"Hatzikotoulas","given":"Konstantinos"},{"family":"Southam","given":"Lorraine"},{"family":"Taylor","given":"Henry J."},{"family":"Yin","given":"Xianyong"},{"family":"Lorenz","given":"Kim M."},{"family":"Mandla","given":"Ravi"},{"family":"Huerta-Chagoya","given":"Alicia"},{"family":"Melloni","given":"Giorgio E. M."},{"family":"Kanoni","given":"Stavroula"},{"family":"Rayner","given":"Nigel W."},{"family":"Bocher","given":"Ozvan"},{"family":"Arruda","given":"Ana Luiza"},{"family":"Sonehara","given":"Kyuto"},{"family":"Namba","given":"Shinichi"},{"family":"Lee","given":"Simon S. K."},{"family":"Preuss","given":"Michael H."},{"family":"Petty","given":"Lauren E."},{"family":"Schroeder","given":"Philip"},{"family":"Vanderwerff","given":"Brett"},{"family":"Kals","given":"Mart"},{"family":"Bragg","given":"Fiona"},{"family":"Lin","given":"Kuang"},{"family":"Guo","given":"Xiuqing"},{"family":"Zhang","given":"Weihua"},{"family":"Yao","given":"Jie"},{"family":"Kim","given":"Young Jin"},{"family":"Graff","given":"Mariaelisa"},{"family":"Takeuchi","given":"Fumihiko"},{"family":"Nano","given":"Jana"},{"family":"Lamri","given":"Amel"},{"family":"Nakatochi","given":"Masahiro"},{"family":"Moon","given":"Sanghoon"},{"family":"Scott","given":"Robert A."},{"family":"Cook","given":"James P."},{"family":"Lee","given":"Jung-Jin"},{"family":"Pan","given":"Ian"},{"family":"Taliun","given":"Daniel"},{"family":"Parra","given":"Esteban J."},{"family":"Chai","given":"Jin-Fang"},{"family":"Bielak","given":"Lawrence F."},{"family":"Tabara","given":"Yasuharu"},{"family":"Hai","given":"Yang"},{"family":"Thorleifsson","given":"Gudmar"},{"family":"Grarup","given":"Niels"},{"family":"Sofer","given":"Tamar"},{"family":"Wuttke","given":"Matthias"},{"family":"Sarnowski","given":"Chloé"},{"family":"Gieger","given":"Christian"},{"family":"Nousome","given":"Darryl"},{"family":"Trompet","given":"Stella"},{"family":"Kwak","given":"Soo-Heon"},{"family":"Long","given":"Jirong"},{"family":"Sun","given":"Meng"},{"family":"Tong","given":"Lin"},{"family":"Chen","given":"Wei-Min"},{"family":"Nongmaithem","given":"Suraj S."},{"family":"Noordam","given":"Raymond"},{"family":"Lim","given":"Victor J. Y."},{"family":"Tam","given":"Claudia H. T."},{"family":"Joo","given":"Yoonjung Yoonie"},{"family":"Chen","given":"Chien-Hsiun"},{"family":"Raffield","given":"Laura M."},{"family":"Prins","given":"Bram Peter"},{"family":"Nicolas","given":"Aude"},{"family":"Yanek","given":"Lisa R."},{"family":"Chen","given":"Guanjie"},{"family":"Brody","given":"Jennifer A."},{"family":"Kabagambe","given":"Edmond"},{"family":"An","given":"Ping"},{"family":"Xiang","given":"Anny H."},{"family":"Choi","given":"Hyeok Sun"},{"family":"Cade","given":"Brian E."},{"family":"Tan","given":"Jingyi"},{"family":"Broadaway","given":"K. Alaine"},{"family":"Williamson","given":"Alice"},{"family":"Kamali","given":"Zoha"},{"family":"Cui","given":"Jinrui"},{"family":"Thangam","given":"Manonanthini"},{"family":"Adair","given":"Linda S."},{"family":"Adeyemo","given":"Adebowale"},{"family":"Aguilar-Salinas","given":"Carlos A."},{"family":"Ahluwalia","given":"Tarunveer S."},{"family":"Anand","given":"Sonia S."},{"family":"Bertoni","given":"Alain"},{"family":"Bork-Jensen","given":"Jette"},{"family":"Brandslund","given":"Ivan"},{"family":"Buchanan","given":"Thomas A."},{"family":"Burant","given":"Charles F."},{"family":"Butterworth","given":"Adam S."},{"family":"Canouil","given":"Mickaël"},{"family":"Chan","given":"Juliana C. N."},{"family":"Chang","given":"Li-Ching"},{"family":"Chee","given":"Miao-Li"},{"family":"Chen","given":"Ji"},{"family":"Chen","given":"Shyh-Huei"},{"family":"Chen","given":"Yuan-Tsong"},{"family":"Chen","given":"Zhengming"},{"family":"Chuang","given":"Lee-Ming"},{"family":"Cushman","given":"Mary"},{"family":"Danesh","given":"John"},{"family":"Das","given":"Swapan K."},{"family":"De Silva","given":"H. Janaka"},{"family":"Dedoussis","given":"George"},{"family":"Dimitrov","given":"Latchezar"},{"family":"Doumatey","given":"Ayo P."},{"family":"Du","given":"Shufa"},{"family":"Duan","given":"Qing"},{"family":"Eckardt","given":"Kai-Uwe"},{"family":"Emery","given":"Leslie S."},{"family":"Evans","given":"Daniel S."},{"family":"Evans","given":"Michele K."},{"family":"Fischer","given":"Krista"},{"family":"Floyd","given":"James S."},{"family":"Ford","given":"Ian"},{"family":"Franco","given":"Oscar H."},{"family":"Frayling","given":"Timothy M."},{"family":"Freedman","given":"Barry I."},{"family":"Genter","given":"Pauline"},{"family":"Gerstein","given":"Hertzel C."},{"family":"Giedraitis","given":"Vilmantas"},{"family":"González-Villalpando","given":"Clicerio"},{"family":"González-Villalpando","given":"Maria Elena"},{"family":"Gordon-Larsen","given":"Penny"},{"family":"Gross","given":"Myron"},{"family":"Guare","given":"Lindsay A."},{"family":"Hackinger","given":"Sophie"},{"family":"Hakaste","given":"Liisa"},{"family":"Han","given":"Sohee"},{"family":"Hattersley","given":"Andrew T."},{"family":"Herder","given":"Christian"},{"family":"Horikoshi","given":"Momoko"},{"family":"Howard","given":"Annie-Green"},{"family":"Hsueh","given":"Willa"},{"family":"Huang","given":"Mengna"},{"family":"Huang","given":"Wei"},{"family":"Hung","given":"Yi-Jen"},{"family":"Hwang","given":"Mi Yeong"},{"family":"Hwu","given":"Chii-Min"},{"family":"Ichihara","given":"Sahoko"},{"family":"Ikram","given":"Mohammad Arfan"},{"family":"Ingelsson","given":"Martin"},{"family":"Islam","given":"Md. Tariqul"},{"family":"Isono","given":"Masato"},{"family":"Jang","given":"Hye-Mi"},{"family":"Jasmine","given":"Farzana"},{"family":"Jiang","given":"Guozhi"},{"family":"Jonas","given":"Jost B."},{"family":"Jørgensen","given":"Torben"},{"family":"Kamanu","given":"Frederick K."},{"family":"Kandeel","given":"Fouad R."},{"family":"Kasturiratne","given":"Anuradhani"},{"family":"Katsuya","given":"Tomohiro"},{"family":"Kaur","given":"Varinderpal"},{"family":"Kawaguchi","given":"Takahisa"},{"family":"Keaton","given":"Jacob M."},{"family":"Kho","given":"Abel N."},{"family":"Khor","given":"Chiea-Chuen"},{"family":"Kibriya","given":"Muhammad G."},{"family":"Kim","given":"Duk-Hwan"},{"family":"Kronenberg","given":"Florian"},{"family":"Kuusisto","given":"Johanna"},{"family":"Läll","given":"Kristi"},{"family":"Lange","given":"Leslie A."},{"family":"Lee","given":"Kyung Min"},{"family":"Lee","given":"Myung-Shik"},{"family":"Lee","given":"Nanette R."},{"family":"Leong","given":"Aaron"},{"family":"Li","given":"Liming"},{"family":"Li","given":"Yun"},{"family":"Li-Gao","given":"Ruifang"},{"family":"Ligthart","given":"Symen"},{"family":"Lindgren","given":"Cecilia M."},{"family":"Linneberg","given":"Allan"},{"family":"Liu","given":"Ching-Ti"},{"family":"Liu","given":"Jianjun"},{"family":"Locke","given":"Adam E."},{"family":"Louie","given":"Tin"},{"family":"Luan","given":"Jian’an"},{"family":"Luk","given":"Andrea O."},{"family":"Luo","given":"Xi"},{"family":"Lv","given":"Jun"},{"family":"Lynch","given":"Julie A."},{"family":"Lyssenko","given":"Valeriya"},{"family":"Maeda","given":"Shiro"},{"family":"Mamakou","given":"Vasiliki"},{"family":"Mansuri","given":"Sohail Rafik"},{"family":"Matsuda","given":"Koichi"},{"family":"Meitinger","given":"Thomas"},{"family":"Melander","given":"Olle"},{"family":"Metspalu","given":"Andres"},{"family":"Mo","given":"Huan"},{"family":"Morris","given":"Andrew D."},{"family":"Moura","given":"Filipe A."},{"family":"Nadler","given":"Jerry L."},{"family":"Nalls","given":"Michael A."},{"family":"Nayak","given":"Uma"},{"family":"Ntalla","given":"Ioanna"},{"family":"Okada","given":"Yukinori"},{"family":"Orozco","given":"Lorena"},{"family":"Patel","given":"Sanjay R."},{"family":"Patil","given":"Snehal"},{"family":"Pei","given":"Pei"},{"family":"Pereira","given":"Mark A."},{"family":"Peters","given":"Annette"},{"family":"Pirie","given":"Fraser J."},{"family":"Polikowsky","given":"Hannah G."},{"family":"Porneala","given":"Bianca"},{"family":"Prasad","given":"Gauri"},{"family":"Rasmussen-Torvik","given":"Laura J."},{"family":"Reiner","given":"Alexander P."},{"family":"Roden","given":"Michael"},{"family":"Rohde","given":"Rebecca"},{"family":"Roll","given":"Katheryn"},{"family":"Sabanayagam","given":"Charumathi"},{"family":"Sandow","given":"Kevin"},{"family":"Sankareswaran","given":"Alagu"},{"family":"Sattar","given":"Naveed"},{"family":"Schönherr","given":"Sebastian"},{"family":"Shahriar","given":"Mohammad"},{"family":"Shen","given":"Botong"},{"family":"Shi","given":"Jinxiu"},{"family":"Shin","given":"Dong Mun"},{"family":"Shojima","given":"Nobuhiro"},{"family":"Smith","given":"Jennifer A."},{"family":"So","given":"Wing Yee"},{"family":"Stančáková","given":"Alena"},{"family":"Steinthorsdottir","given":"Valgerdur"},{"family":"Stilp","given":"Adrienne M."},{"family":"Strauch","given":"Konstantin"},{"family":"Taylor","given":"Kent D."},{"family":"Thorand","given":"Barbara"},{"family":"Thorsteinsdottir","given":"Unnur"},{"family":"Tomlinson","given":"Brian"},{"family":"Tran","given":"Tam C."},{"family":"Tsai","given":"Fuu-Jen"},{"family":"Tuomilehto","given":"Jaakko"},{"family":"Tusie-Luna","given":"Teresa"},{"family":"Udler","given":"Miriam S."},{"family":"Valladares-Salgado","given":"Adan"},{"family":"Van Dam","given":"Rob M."},{"family":"Van Klinken","given":"Jan B."},{"family":"Varma","given":"Rohit"},{"family":"Wacher-Rodarte","given":"Niels"},{"family":"Wheeler","given":"Eleanor"},{"family":"Wickremasinghe","given":"Ananda R."},{"family":"Van Dijk","given":"Ko Willems"},{"family":"Witte","given":"Daniel R."},{"family":"Yajnik","given":"Chittaranjan S."},{"family":"Yamamoto","given":"Ken"},{"family":"Yamamoto","given":"Kenichi"},{"family":"Yoon","given":"Kyungheon"},{"family":"Yu","given":"Canqing"},{"family":"Yuan","given":"Jian-Min"},{"family":"Yusuf","given":"Salim"},{"family":"Zawistowski","given":"Matthew"},{"family":"Zhang","given":"Liang"},{"family":"Zheng","given":"Wei"},{"literal":"VA Million Veteran Program"},{"literal":"AMED GRIFIN Diabetes Initiative Japan"},{"literal":"Biobank Japan Project"},{"literal":"Penn Medicine BioBank"},{"literal":"Regeneron Genetics Center"},{"literal":"Genes &amp; Health Research Team"},{"family":"Kanona","given":"Stavroula"},{"family":"Van Heel","given":"David A."},{"literal":"eMERGE Consortium"},{"literal":"International Consortium of Blood Pressure (ICBP)"},{"literal":"Meta-Analyses of Glucose and Insulin-Related Traits Consortium (MAGIC)"},{"family":"Raffel","given":"Leslie J."},{"family":"Igase","given":"Michiya"},{"family":"Ipp","given":"Eli"},{"family":"Redline","given":"Susan"},{"family":"Cho","given":"Yoon Shin"},{"family":"Lind","given":"Lars"},{"family":"Province","given":"Michael A."},{"family":"Fornage","given":"Myriam"},{"family":"Hanis","given":"Craig L."},{"family":"Ingelsson","given":"Erik"},{"family":"Zonderman","given":"Alan B."},{"family":"Psaty","given":"Bruce M."},{"family":"Wang","given":"Ya-Xing"},{"family":"Rotimi","given":"Charles N."},{"family":"Becker","given":"Diane M."},{"family":"Matsuda","given":"Fumihiko"},{"family":"Liu","given":"Yongmei"},{"family":"Yokota","given":"Mitsuhiro"},{"family":"Kardia","given":"Sharon L. R."},{"family":"Peyser","given":"Patricia A."},{"family":"Pankow","given":"James S."},{"family":"Engert","given":"James C."},{"family":"Bonnefond","given":"Amélie"},{"family":"Froguel","given":"Philippe"},{"family":"Wilson","given":"James G."},{"family":"Sheu","given":"Wayne H. H."},{"family":"Wu","given":"Jer-Yuarn"},{"family":"Hayes","given":"M. Geoffrey"},{"family":"Ma","given":"Ronald C. W."},{"family":"Wong","given":"Tien-Yin"},{"family":"Mook-Kanamori","given":"Dennis O."},{"family":"Tuomi","given":"Tiinamaija"},{"family":"Chandak","given":"Giriraj R."},{"family":"Collins","given":"Francis S."},{"family":"Bharadwaj","given":"Dwaipayan"},{"family":"Paré","given":"Guillaume"},{"family":"Sale","given":"Michèle M."},{"family":"Ahsan","given":"Habibul"},{"family":"Motala","given":"Ayesha A."},{"family":"Shu","given":"Xiao-Ou"},{"family":"Park","given":"Kyong-Soo"},{"family":"Jukema","given":"J. Wouter"},{"family":"Cruz","given":"Miguel"},{"family":"Chen","given":"Yii-Der Ida"},{"family":"Rich","given":"Stephen S."},{"family":"McKean-Cowdin","given":"Roberta"},{"family":"Grallert","given":"Harald"},{"family":"Cheng","given":"Ching-Yu"},{"family":"Ghanbari","given":"Mohsen"},{"family":"Tai","given":"E-Shyong"},{"family":"Dupuis","given":"Josee"},{"family":"Kato","given":"Norihiro"},{"family":"Laakso","given":"Markku"},{"family":"Köttgen","given":"Anna"},{"family":"Koh","given":"Woon-Puay"},{"family":"Bowden","given":"Donald W."},{"family":"Palmer","given":"Colin N. A."},{"family":"Kooner","given":"Jaspal S."},{"family":"Kooperberg","given":"Charles"},{"family":"Liu","given":"Simin"},{"family":"North","given":"Kari E."},{"family":"Saleheen","given":"Danish"},{"family":"Hansen","given":"Torben"},{"family":"Pedersen","given":"Oluf"},{"family":"Wareham","given":"Nicholas J."},{"family":"Lee","given":"Juyoung"},{"family":"Kim","given":"Bong-Jo"},{"family":"Millwood","given":"Iona Y."},{"family":"Walters","given":"Robin G."},{"family":"Stefansson","given":"Kari"},{"family":"Ahlqvist","given":"Emma"},{"family":"Goodarzi","given":"Mark O."},{"family":"Mohlke","given":"Karen L."},{"family":"Langenberg","given":"Claudia"},{"family":"Haiman","given":"Christopher A."},{"family":"Loos","given":"Ruth J. F."},{"family":"Florez","given":"Jose C."},{"family":"Rader","given":"Daniel J."},{"family":"Ritchie","given":"Marylyn D."},{"family":"Zöllner","given":"Sebastian"},{"family":"Mägi","given":"Reedik"},{"family":"Marston","given":"Nicholas A."},{"family":"Ruff","given":"Christian T."},{"family":"Van Heel","given":"David A."},{"family":"Finer","given":"Sarah"},{"family":"Denny","given":"Joshua C."},{"family":"Yamauchi","given":"Toshimasa"},{"family":"Kadowaki","given":"Takashi"},{"family":"Chambers","given":"John C."},{"family":"Ng","given":"Maggie C. Y."},{"family":"Sim","given":"Xueling"},{"family":"Below","given":"Jennifer E."},{"family":"Tsao","given":"Philip S."},{"family":"Chang","given":"Kyong-Mi"},{"family":"McCarthy","given":"Mark I."},{"family":"Meigs","given":"James B."},{"family":"Mahajan","given":"Anubha"},{"family":"Spracklen","given":"Cassandra N."},{"family":"Mercader","given":"Josep M."},{"family":"Boehnke","given":"Michael"},{"family":"Rotter","given":"Jerome I."},{"family":"Vujkovic","given":"Marijana"},{"family":"Voight","given":"Benjamin F."},{"family":"Morris","given":"Andrew P."},{"family":"Zeggini","given":"Eleftheria"}],"issued":{"date-parts":[["2024",3,14]]}}},{"id":347,"uris":["http://zotero.org/users/12564564/items/L5A49YAA"],"itemData":{"id":347,"type":"article-journal","abstract":"Hypertension affects more than one billion people worldwide. Here we identify 113 novel loci, reporting a total of 2,103 independent genetic signals (P &lt; 5 × 10-8) from the largest single-stage blood pressure (BP) genome-wide association study to date (n = 1,028,980 European individuals). These associations explain more than 60% of single nucleotide polymorphism-based BP heritability. Comparing top versus bottom deciles of polygenic risk scores (PRSs) reveals clinically meaningful differences in BP (16.9 mmHg systolic BP, 95% CI, 15.5-18.2 mmHg, P = 2.22 × 10-126) and more than a sevenfold higher odds of hypertension risk (odds ratio, 7.33; 95% CI, 5.54-9.70; P = 4.13 × 10-44) in an independent dataset. Adding PRS into hypertension-prediction models increased the area under the receiver operating characteristic curve (AUROC) from 0.791 (95% CI, 0.781-0.801) to 0.826 (95% CI, 0.817-0.836, ∆AUROC, 0.035, P = 1.98 × 10-34). We compare the 2,103 loci results in non-European ancestries and show significant PRS associations in a large African-American sample. Secondary analyses implicate 500 genes previously unreported for BP. Our study highlights the role of increasingly large genomic studies for precision health research.","container-title":"Nature Genetics","DOI":"10.1038/s41588-024-01714-w","ISSN":"1546-1718","issue":"5","journalAbbreviation":"Nat Genet","language":"eng","note":"PMID: 38689001\nPMCID: PMC11096100","page":"778-791","source":"PubMed","title":"Genome-wide analysis in over 1 million individuals of European ancestry yields improved polygenic risk scores for blood pressure traits","volume":"56","author":[{"family":"Keaton","given":"Jacob M."},{"family":"Kamali","given":"Zoha"},{"family":"Xie","given":"Tian"},{"family":"Vaez","given":"Ahmad"},{"family":"Williams","given":"Ariel"},{"family":"Goleva","given":"Slavina B."},{"family":"Ani","given":"Alireza"},{"family":"Evangelou","given":"Evangelos"},{"family":"Hellwege","given":"Jacklyn N."},{"family":"Yengo","given":"Loic"},{"family":"Young","given":"William J."},{"family":"Traylor","given":"Matthew"},{"family":"Giri","given":"Ayush"},{"family":"Zheng","given":"Zhili"},{"family":"Zeng","given":"Jian"},{"family":"Chasman","given":"Daniel I."},{"family":"Morris","given":"Andrew P."},{"family":"Caulfield","given":"Mark J."},{"family":"Hwang","given":"Shih-Jen"},{"family":"Kooner","given":"Jaspal S."},{"family":"Conen","given":"David"},{"family":"Attia","given":"John R."},{"family":"Morrison","given":"Alanna C."},{"family":"Loos","given":"Ruth J. F."},{"family":"Kristiansson","given":"Kati"},{"family":"Schmidt","given":"Reinhold"},{"family":"Hicks","given":"Andrew A."},{"family":"Pramstaller","given":"Peter P."},{"family":"Nelson","given":"Christopher P."},{"family":"Samani","given":"Nilesh J."},{"family":"Risch","given":"Lorenz"},{"family":"Gyllensten","given":"Ulf"},{"family":"Melander","given":"Olle"},{"family":"Riese","given":"Harriette"},{"family":"Wilson","given":"James F."},{"family":"Campbell","given":"Harry"},{"family":"Rich","given":"Stephen S."},{"family":"Psaty","given":"Bruce M."},{"family":"Lu","given":"Yingchang"},{"family":"Rotter","given":"Jerome I."},{"family":"Guo","given":"Xiuqing"},{"family":"Rice","given":"Kenneth M."},{"family":"Vollenweider","given":"Peter"},{"family":"Sundström","given":"Johan"},{"family":"Langenberg","given":"Claudia"},{"family":"Tobin","given":"Martin D."},{"family":"Giedraitis","given":"Vilmantas"},{"family":"Luan","given":"Jian'an"},{"family":"Tuomilehto","given":"Jaakko"},{"family":"Kutalik","given":"Zoltan"},{"family":"Ripatti","given":"Samuli"},{"family":"Salomaa","given":"Veikko"},{"family":"Girotto","given":"Giorgia"},{"family":"Trompet","given":"Stella"},{"family":"Jukema","given":"J. Wouter"},{"family":"Harst","given":"Pim","non-dropping-particle":"van der"},{"family":"Ridker","given":"Paul M."},{"family":"Giulianini","given":"Franco"},{"family":"Vitart","given":"Veronique"},{"family":"Goel","given":"Anuj"},{"family":"Watkins","given":"Hugh"},{"family":"Harris","given":"Sarah E."},{"family":"Deary","given":"Ian J."},{"family":"Most","given":"Peter J.","non-dropping-particle":"van der"},{"family":"Oldehinkel","given":"Albertine J."},{"family":"Keavney","given":"Bernard D."},{"family":"Hayward","given":"Caroline"},{"family":"Campbell","given":"Archie"},{"family":"Boehnke","given":"Michael"},{"family":"Scott","given":"Laura J."},{"family":"Boutin","given":"Thibaud"},{"family":"Mamasoula","given":"Chrysovalanto"},{"family":"Järvelin","given":"Marjo-Riitta"},{"family":"Peters","given":"Annette"},{"family":"Gieger","given":"Christian"},{"family":"Lakatta","given":"Edward G."},{"family":"Cucca","given":"Francesco"},{"family":"Hui","given":"Jennie"},{"family":"Knekt","given":"Paul"},{"family":"Enroth","given":"Stefan"},{"family":"De Borst","given":"Martin H."},{"family":"Polašek","given":"Ozren"},{"family":"Concas","given":"Maria Pina"},{"family":"Catamo","given":"Eulalia"},{"family":"Cocca","given":"Massimiliano"},{"family":"Li-Gao","given":"Ruifang"},{"family":"Hofer","given":"Edith"},{"family":"Schmidt","given":"Helena"},{"family":"Spedicati","given":"Beatrice"},{"family":"Waldenberger","given":"Melanie"},{"family":"Strachan","given":"David P."},{"family":"Laan","given":"Maris"},{"family":"Teumer","given":"Alexander"},{"family":"Dörr","given":"Marcus"},{"family":"Gudnason","given":"Vilmundur"},{"family":"Cook","given":"James P."},{"family":"Ruggiero","given":"Daniela"},{"family":"Kolcic","given":"Ivana"},{"family":"Boerwinkle","given":"Eric"},{"family":"Traglia","given":"Michela"},{"family":"Lehtimäki","given":"Terho"},{"family":"Raitakari","given":"Olli T."},{"family":"Johnson","given":"Andrew D."},{"family":"Newton-Cheh","given":"Christopher"},{"family":"Brown","given":"Morris J."},{"family":"Dominiczak","given":"Anna F."},{"family":"Sever","given":"Peter J."},{"family":"Poulter","given":"Neil"},{"family":"Chambers","given":"John C."},{"family":"Elosua","given":"Roberto"},{"family":"Siscovick","given":"David"},{"family":"Esko","given":"Tõnu"},{"family":"Metspalu","given":"Andres"},{"family":"Strawbridge","given":"Rona J."},{"family":"Laakso","given":"Markku"},{"family":"Hamsten","given":"Anders"},{"family":"Hottenga","given":"Jouke-Jan"},{"family":"Geus","given":"Eco","non-dropping-particle":"de"},{"family":"Morris","given":"Andrew D."},{"family":"Palmer","given":"Colin N. A."},{"family":"Nolte","given":"Ilja M."},{"family":"Milaneschi","given":"Yuri"},{"family":"Marten","given":"Jonathan"},{"family":"Wright","given":"Alan"},{"family":"Zeggini","given":"Eleftheria"},{"family":"Howson","given":"Joanna M. M."},{"family":"O'Donnell","given":"Christopher J."},{"family":"Spector","given":"Tim"},{"family":"Nalls","given":"Mike A."},{"family":"Simonsick","given":"Eleanor M."},{"family":"Liu","given":"Yongmei"},{"family":"Duijn","given":"Cornelia M.","non-dropping-particle":"van"},{"family":"Butterworth","given":"Adam S."},{"family":"Danesh","given":"John N."},{"family":"Menni","given":"Cristina"},{"family":"Wareham","given":"Nicholas J."},{"family":"Khaw","given":"Kay-Tee"},{"family":"Sun","given":"Yan V."},{"family":"Wilson","given":"Peter W. F."},{"family":"Cho","given":"Kelly"},{"family":"Visscher","given":"Peter M."},{"family":"Denny","given":"Joshua C."},{"literal":"Million Veteran Program"},{"literal":"Lifelines Cohort Study"},{"literal":"CHARGE consortium"},{"literal":"ICBP Consortium"},{"family":"Levy","given":"Daniel"},{"family":"Edwards","given":"Todd L."},{"family":"Munroe","given":"Patricia B."},{"family":"Snieder","given":"Harold"},{"family":"Warren","given":"Helen R."}],"issued":{"date-parts":[["2024",5]]}}}],"schema":"https://github.com/citation-style-language/schema/raw/master/csl-citation.json"} </w:instrText>
      </w:r>
      <w:r w:rsidR="009466D5" w:rsidRPr="008C12C7">
        <w:rPr>
          <w:color w:val="000000"/>
          <w:lang w:val="en-GB"/>
        </w:rPr>
        <w:fldChar w:fldCharType="separate"/>
      </w:r>
      <w:r w:rsidR="003902DB" w:rsidRPr="003902DB">
        <w:rPr>
          <w:color w:val="000000"/>
          <w:szCs w:val="24"/>
          <w:vertAlign w:val="superscript"/>
          <w:lang w:val="en-GB"/>
        </w:rPr>
        <w:t>15,33,34</w:t>
      </w:r>
      <w:r w:rsidR="009466D5" w:rsidRPr="008C12C7">
        <w:rPr>
          <w:color w:val="000000"/>
          <w:lang w:val="en-GB"/>
        </w:rPr>
        <w:fldChar w:fldCharType="end"/>
      </w:r>
      <w:r w:rsidRPr="008C12C7">
        <w:rPr>
          <w:color w:val="000000"/>
          <w:lang w:val="en-GB"/>
        </w:rPr>
        <w:t xml:space="preserve">, independently of the cis-acting NLRP3 variants used to instrument the activity score. </w:t>
      </w:r>
      <w:r w:rsidR="000F6A18" w:rsidRPr="000F6A18">
        <w:rPr>
          <w:color w:val="000000"/>
          <w:lang w:val="en-GB"/>
        </w:rPr>
        <w:t>Variants were clumped within each trait and then again across traits (</w:t>
      </w:r>
      <w:r w:rsidR="000F6A18" w:rsidRPr="008A34FA">
        <w:rPr>
          <w:i/>
          <w:iCs/>
          <w:color w:val="000000"/>
          <w:lang w:val="en-GB"/>
        </w:rPr>
        <w:t>r</w:t>
      </w:r>
      <w:r w:rsidR="000F6A18" w:rsidRPr="000F6A18">
        <w:rPr>
          <w:color w:val="000000"/>
          <w:lang w:val="en-GB"/>
        </w:rPr>
        <w:t>² &lt; 0.001, 10 Mb window, INTERVAL reference panel), so that the combined instrument set is approximately independent.</w:t>
      </w:r>
      <w:r w:rsidR="00E81302" w:rsidRPr="00E81302">
        <w:t xml:space="preserve"> </w:t>
      </w:r>
      <w:r w:rsidR="00E81302" w:rsidRPr="00E81302">
        <w:rPr>
          <w:color w:val="000000"/>
          <w:lang w:val="en-GB"/>
        </w:rPr>
        <w:t>Multiplicative random effects were applied to account for heterogeneity across the mediator instruments</w:t>
      </w:r>
      <w:r w:rsidR="00E81302">
        <w:rPr>
          <w:color w:val="000000"/>
          <w:lang w:val="en-GB"/>
        </w:rPr>
        <w:t>.</w:t>
      </w:r>
      <w:r w:rsidR="000F6A18">
        <w:rPr>
          <w:color w:val="000000"/>
          <w:lang w:val="en-GB"/>
        </w:rPr>
        <w:t xml:space="preserve"> </w:t>
      </w:r>
      <w:r w:rsidRPr="008C12C7">
        <w:rPr>
          <w:color w:val="000000"/>
          <w:lang w:val="en-GB"/>
        </w:rPr>
        <w:t xml:space="preserve">The mediator-to-CAD effects and total NLRP3-to-CAD effect used in the mediation analysis were derived from the meta-analysis of the </w:t>
      </w:r>
      <w:r w:rsidR="009466D5">
        <w:rPr>
          <w:color w:val="000000"/>
          <w:lang w:val="en-GB"/>
        </w:rPr>
        <w:t>four</w:t>
      </w:r>
      <w:r w:rsidRPr="008C12C7">
        <w:rPr>
          <w:color w:val="000000"/>
          <w:lang w:val="en-GB"/>
        </w:rPr>
        <w:t xml:space="preserve"> CAD datasets. The indirect effect through each mediator was calculated as the product of the NLRP3-to-mediator effect and the corresponding mediator-to-CAD effect. The joint indirect effect was calculated as the sum of these mediator-specific indirect effects. Because SBP, ApoB, and T2D are correlated, uncertainty in the joint indirect effect was estimated using the multivariate delta method</w:t>
      </w:r>
      <w:r w:rsidR="00F02C07">
        <w:rPr>
          <w:color w:val="000000"/>
          <w:lang w:val="en-GB"/>
        </w:rPr>
        <w:fldChar w:fldCharType="begin"/>
      </w:r>
      <w:r w:rsidR="001865ED">
        <w:rPr>
          <w:color w:val="000000"/>
          <w:lang w:val="en-GB"/>
        </w:rPr>
        <w:instrText xml:space="preserve"> ADDIN ZOTERO_ITEM CSL_CITATION {"citationID":"oL7aw00g","properties":{"unsorted":false,"formattedCitation":"\\super 24\\nosupersub{}","plainCitation":"24","noteIndex":0},"citationItems":[{"id":116,"uris":["http://zotero.org/users/12564564/items/UEUCM98P"],"itemData":{"id":116,"type":"article-journal","abstract":"Mediation analysis is commonly used to identify mechanisms and intermediate factors between causes and outcomes. Studies drawing on polygenic scores (PGSs) can readily employ traditional regression-based procedures to assess whether trait M mediates the relationship between the genetic component of outcome Y and outcome Y itself. However, this approach suffers from attenuation bias, as PGSs capture only a (small) part of the genetic variance of a given trait. To overcome this limitation, we developed MA-GREML: a method for Mediation Analysis using Genome-based Restricted Maximum Likelihood (GREML) estimation. Using MA-GREML to assess mediation between genetic factors and traits comes with two main advantages. First, we circumvent the limited predictive accuracy of PGSs that regression-based mediation approaches suffer from. Second, compared to methods employing summary statistics from genome-wide association studies, the individual-level data approach of GREML allows to directly control for confounders of the association between M and Y. In addition to typical GREML parameters (e.g., the genetic correlation), MA-GREML estimates (i) the effect of M on Y, (ii) the direct effect (i.e., the genetic variance of Y that is not mediated by M), and (iii) the indirect effect (i.e., the genetic variance of Y that is mediated by M). MA-GREML also provides standard errors of these estimates and assesses the significance of the indirect effect. We use analytical derivations and simulations to show the validity of our approach under two main assumptions, viz., that M precedes Y and that environmental confounders of the association between M and Y are controlled for. We conclude that MA-GREML is an appropriate tool to assess the mediating role of trait M in the relationship between the genetic component of Y and outcome Y. Using data from the US Health and Retirement Study, we provide evidence that genetic effects on Body Mass Index (BMI), cognitive functioning and self-reported health in later life run partially through educational attainment. For mental health, we do not find significant evidence for an indirect effect through educational attainment. Further analyses show that the additive genetic factors of these four outcomes do partially (cognition and mental health) and fully (BMI and self-reported health) run through an earlier realization of these traits.","container-title":"PLOS Genetics","DOI":"10.1371/journal.pgen.1010638","ISSN":"1553-7404","issue":"2","language":"en","page":"e1010638","title":"The identification of mediating effects using genome-based restricted maximum likelihood estimation","volume":"19","author":[{"family":"Rietveld","given":"Cornelius A."},{"family":"Vlaming","given":"Roland","non-dropping-particle":"de"},{"family":"Slob","given":"Eric A. W."}],"issued":{"date-parts":[["2023",2]]}}}],"schema":"https://github.com/citation-style-language/schema/raw/master/csl-citation.json"} </w:instrText>
      </w:r>
      <w:r w:rsidR="00F02C07">
        <w:rPr>
          <w:color w:val="000000"/>
          <w:lang w:val="en-GB"/>
        </w:rPr>
        <w:fldChar w:fldCharType="separate"/>
      </w:r>
      <w:r w:rsidR="009E0B36" w:rsidRPr="009E0B36">
        <w:rPr>
          <w:color w:val="000000"/>
          <w:szCs w:val="24"/>
          <w:vertAlign w:val="superscript"/>
          <w:lang w:val="en-GB"/>
        </w:rPr>
        <w:t>24</w:t>
      </w:r>
      <w:r w:rsidR="00F02C07">
        <w:rPr>
          <w:color w:val="000000"/>
          <w:lang w:val="en-GB"/>
        </w:rPr>
        <w:fldChar w:fldCharType="end"/>
      </w:r>
      <w:r w:rsidRPr="008C12C7">
        <w:rPr>
          <w:color w:val="000000"/>
          <w:lang w:val="en-GB"/>
        </w:rPr>
        <w:t xml:space="preserve">. </w:t>
      </w:r>
      <w:r w:rsidR="00746C91" w:rsidRPr="00746C91">
        <w:rPr>
          <w:color w:val="000000"/>
          <w:lang w:val="en-GB"/>
        </w:rPr>
        <w:t>Instrument strength in the multivariable model was assessed using the conditional F-statistic</w:t>
      </w:r>
      <w:r w:rsidR="00F02C07">
        <w:rPr>
          <w:color w:val="000000"/>
          <w:lang w:val="en-GB"/>
        </w:rPr>
        <w:fldChar w:fldCharType="begin"/>
      </w:r>
      <w:r w:rsidR="003902DB">
        <w:rPr>
          <w:color w:val="000000"/>
          <w:lang w:val="en-GB"/>
        </w:rPr>
        <w:instrText xml:space="preserve"> ADDIN ZOTERO_ITEM CSL_CITATION {"citationID":"06TOmWXw","properties":{"unsorted":false,"formattedCitation":"\\super 29\\nosupersub{}","plainCitation":"29","noteIndex":0},"citationItems":[{"id":343,"uris":["http://zotero.org/users/12564564/items/4M7AZBVA"],"itemData":{"id":343,"type":"article-journal","abstract":"BACKGROUND: Mendelian randomization (MR) is a powerful tool in epidemiology that can be used to estimate the causal effect of an exposure on an outcome in the presence of unobserved confounding, by utilizing genetic variants that are instrumental variables (IVs) for the exposure. This has been extended to multivariable MR (MVMR) to estimate the effect of two or more exposures on an outcome.\nMETHODS AND RESULTS: We use simulations and theory to clarify the interpretation of estimated effects in a MVMR analysis under a range of underlying scenarios, where a secondary exposure acts variously as a confounder, a mediator, a pleiotropic pathway and a collider. We then describe how instrument strength and validity can be assessed for an MVMR analysis in the single-sample setting, and develop tests to assess these assumptions in the popular two-sample summary data setting. We illustrate our methods using data from UK Biobank to estimate the effect of education and cognitive ability on body mass index.\nCONCLUSION: MVMR analysis consistently estimates the direct causal effect of an exposure, or exposures, of interest and provides a powerful tool for determining causal effects in a wide range of scenarios with either individual- or summary-level data.","container-title":"International Journal of Epidemiology","DOI":"10.1093/ije/dyy262","ISSN":"1464-3685","issue":"3","journalAbbreviation":"Int J Epidemiol","language":"eng","note":"PMID: 30535378\nPMCID: PMC6734942","page":"713-727","source":"PubMed","title":"An examination of multivariable Mendelian randomization in the single-sample and two-sample summary data settings","volume":"48","author":[{"family":"Sanderson","given":"Eleanor"},{"family":"Davey Smith","given":"George"},{"family":"Windmeijer","given":"Frank"},{"family":"Bowden","given":"Jack"}],"issued":{"date-parts":[["2019",6,1]]}}}],"schema":"https://github.com/citation-style-language/schema/raw/master/csl-citation.json"} </w:instrText>
      </w:r>
      <w:r w:rsidR="00F02C07">
        <w:rPr>
          <w:color w:val="000000"/>
          <w:lang w:val="en-GB"/>
        </w:rPr>
        <w:fldChar w:fldCharType="separate"/>
      </w:r>
      <w:r w:rsidR="003902DB" w:rsidRPr="003902DB">
        <w:rPr>
          <w:color w:val="000000"/>
          <w:szCs w:val="24"/>
          <w:vertAlign w:val="superscript"/>
          <w:lang w:val="en-GB"/>
        </w:rPr>
        <w:t>29</w:t>
      </w:r>
      <w:r w:rsidR="00F02C07">
        <w:rPr>
          <w:color w:val="000000"/>
          <w:lang w:val="en-GB"/>
        </w:rPr>
        <w:fldChar w:fldCharType="end"/>
      </w:r>
      <w:r w:rsidR="00746C91" w:rsidRPr="00746C91">
        <w:rPr>
          <w:color w:val="000000"/>
          <w:lang w:val="en-GB"/>
        </w:rPr>
        <w:t xml:space="preserve">. Because the mediator </w:t>
      </w:r>
      <w:r w:rsidR="00735987">
        <w:rPr>
          <w:color w:val="000000"/>
          <w:lang w:val="en-GB"/>
        </w:rPr>
        <w:t>genome-wide association studies (</w:t>
      </w:r>
      <w:r w:rsidR="00746C91" w:rsidRPr="00746C91">
        <w:rPr>
          <w:color w:val="000000"/>
          <w:lang w:val="en-GB"/>
        </w:rPr>
        <w:t>GWAS</w:t>
      </w:r>
      <w:r w:rsidR="00735987">
        <w:rPr>
          <w:color w:val="000000"/>
          <w:lang w:val="en-GB"/>
        </w:rPr>
        <w:t xml:space="preserve">) </w:t>
      </w:r>
      <w:r w:rsidR="00746C91" w:rsidRPr="00746C91">
        <w:rPr>
          <w:color w:val="000000"/>
          <w:lang w:val="en-GB"/>
        </w:rPr>
        <w:t xml:space="preserve">draw on partly overlapping samples, the covariance between their variant effect </w:t>
      </w:r>
      <w:r w:rsidR="007A43A9" w:rsidRPr="007A43A9">
        <w:rPr>
          <w:color w:val="000000"/>
          <w:lang w:val="en-GB"/>
        </w:rPr>
        <w:t>estimates was estimated</w:t>
      </w:r>
      <w:r w:rsidR="007A43A9">
        <w:rPr>
          <w:color w:val="000000"/>
          <w:lang w:val="en-GB"/>
        </w:rPr>
        <w:t xml:space="preserve"> </w:t>
      </w:r>
      <w:r w:rsidR="00746C91" w:rsidRPr="00746C91">
        <w:rPr>
          <w:color w:val="000000"/>
          <w:lang w:val="en-GB"/>
        </w:rPr>
        <w:t>from z-scores at variants that were null for both traits</w:t>
      </w:r>
      <w:r w:rsidR="00746C91">
        <w:rPr>
          <w:color w:val="000000"/>
          <w:lang w:val="en-GB"/>
        </w:rPr>
        <w:t xml:space="preserve"> </w:t>
      </w:r>
      <w:r w:rsidR="009466D5" w:rsidRPr="009466D5">
        <w:rPr>
          <w:color w:val="000000"/>
          <w:lang w:val="en-GB"/>
        </w:rPr>
        <w:t>(P &gt; 0.05), taking one variant per 100 kb genome-wide</w:t>
      </w:r>
      <w:r w:rsidRPr="008C12C7">
        <w:rPr>
          <w:color w:val="000000"/>
          <w:lang w:val="en-GB"/>
        </w:rPr>
        <w:t xml:space="preserve">. The residual direct effect was defined as the effect of a lower genetically proxied NLRP3 activity score on CAD risk not explained by these three </w:t>
      </w:r>
      <w:r w:rsidR="00D94D04" w:rsidRPr="008C12C7">
        <w:rPr>
          <w:color w:val="000000"/>
          <w:lang w:val="en-GB"/>
        </w:rPr>
        <w:t>mediators and</w:t>
      </w:r>
      <w:r w:rsidRPr="008C12C7">
        <w:rPr>
          <w:color w:val="000000"/>
          <w:lang w:val="en-GB"/>
        </w:rPr>
        <w:t xml:space="preserve"> was estimated by subtracting the joint indirect effect from the total NLRP3-to-CAD effect. All mediation analyses were performed on the log-odds scale.</w:t>
      </w:r>
    </w:p>
    <w:p w14:paraId="293FE597" w14:textId="77777777" w:rsidR="00FD1B20" w:rsidRPr="008C12C7" w:rsidRDefault="00FD1B20" w:rsidP="00FD1B20">
      <w:pPr>
        <w:pBdr>
          <w:top w:val="nil"/>
          <w:left w:val="nil"/>
          <w:bottom w:val="nil"/>
          <w:right w:val="nil"/>
          <w:between w:val="nil"/>
        </w:pBdr>
        <w:rPr>
          <w:color w:val="000000"/>
          <w:lang w:val="en-GB"/>
        </w:rPr>
      </w:pPr>
    </w:p>
    <w:p w14:paraId="7039E1F8" w14:textId="77777777" w:rsidR="006D380D" w:rsidRPr="008C12C7" w:rsidRDefault="00000000">
      <w:pPr>
        <w:pStyle w:val="Heading2"/>
        <w:rPr>
          <w:lang w:val="en-GB"/>
        </w:rPr>
      </w:pPr>
      <w:r w:rsidRPr="008C12C7">
        <w:rPr>
          <w:lang w:val="en-GB"/>
        </w:rPr>
        <w:lastRenderedPageBreak/>
        <w:t xml:space="preserve">3.8. </w:t>
      </w:r>
      <w:r w:rsidRPr="008C12C7">
        <w:rPr>
          <w:i/>
          <w:iCs/>
          <w:lang w:val="en-GB"/>
        </w:rPr>
        <w:t>NLRP3</w:t>
      </w:r>
      <w:r w:rsidRPr="008C12C7">
        <w:rPr>
          <w:lang w:val="en-GB"/>
        </w:rPr>
        <w:t xml:space="preserve"> Predicted Loss-of-Function Analysis</w:t>
      </w:r>
    </w:p>
    <w:p w14:paraId="779EC7C0" w14:textId="390C70BC" w:rsidR="006D380D" w:rsidRPr="008C12C7" w:rsidRDefault="00000000">
      <w:pPr>
        <w:pBdr>
          <w:top w:val="nil"/>
          <w:left w:val="nil"/>
          <w:bottom w:val="nil"/>
          <w:right w:val="nil"/>
          <w:between w:val="nil"/>
        </w:pBdr>
        <w:rPr>
          <w:color w:val="000000"/>
          <w:lang w:val="en-GB"/>
        </w:rPr>
      </w:pPr>
      <w:r w:rsidRPr="008C12C7">
        <w:rPr>
          <w:color w:val="000000"/>
          <w:lang w:val="en-GB"/>
        </w:rPr>
        <w:t xml:space="preserve">To test whether rare </w:t>
      </w:r>
      <w:r w:rsidRPr="008C12C7">
        <w:rPr>
          <w:i/>
          <w:iCs/>
          <w:color w:val="000000"/>
          <w:lang w:val="en-GB"/>
        </w:rPr>
        <w:t>NLRP3</w:t>
      </w:r>
      <w:r w:rsidRPr="008C12C7">
        <w:rPr>
          <w:color w:val="000000"/>
          <w:lang w:val="en-GB"/>
        </w:rPr>
        <w:t xml:space="preserve"> predicted loss-of-function (</w:t>
      </w:r>
      <w:proofErr w:type="spellStart"/>
      <w:r w:rsidRPr="008C12C7">
        <w:rPr>
          <w:color w:val="000000"/>
          <w:lang w:val="en-GB"/>
        </w:rPr>
        <w:t>pLOF</w:t>
      </w:r>
      <w:proofErr w:type="spellEnd"/>
      <w:r w:rsidRPr="008C12C7">
        <w:rPr>
          <w:color w:val="000000"/>
          <w:lang w:val="en-GB"/>
        </w:rPr>
        <w:t xml:space="preserve">) variants were associated with circulating inflammatory readouts, we performed gene-based burden tests for CRP levels, </w:t>
      </w:r>
      <w:proofErr w:type="spellStart"/>
      <w:r w:rsidRPr="008C12C7">
        <w:rPr>
          <w:color w:val="000000"/>
          <w:lang w:val="en-GB"/>
        </w:rPr>
        <w:t>GlycA</w:t>
      </w:r>
      <w:proofErr w:type="spellEnd"/>
      <w:r w:rsidRPr="008C12C7">
        <w:rPr>
          <w:color w:val="000000"/>
          <w:lang w:val="en-GB"/>
        </w:rPr>
        <w:t xml:space="preserve"> concentrations, and blood neutrophil count among UK Biobank participants with whole exome sequencing (WES) data and available biomarker measurements. Burden tests were performed using SAIGE-GENE+ (version 1.5.0)</w:t>
      </w:r>
      <w:r w:rsidR="000400EC" w:rsidRPr="008C12C7">
        <w:rPr>
          <w:color w:val="000000"/>
          <w:lang w:val="en-GB"/>
        </w:rPr>
        <w:fldChar w:fldCharType="begin"/>
      </w:r>
      <w:r w:rsidR="003902DB">
        <w:rPr>
          <w:color w:val="000000"/>
          <w:lang w:val="en-GB"/>
        </w:rPr>
        <w:instrText xml:space="preserve"> ADDIN ZOTERO_ITEM CSL_CITATION {"citationID":"kFYpSxod","properties":{"unsorted":false,"formattedCitation":"\\super 35\\nosupersub{}","plainCitation":"35","noteIndex":0},"citationItems":[{"id":141,"uris":["http://zotero.org/users/12564564/items/JCFK8GH3"],"itemData":{"id":141,"type":"article-journal","abstract":"Several biobanks, including UK Biobank (UKBB), are generating large-scale sequencing data. An existing method, SAIGE-GENE, performs well when testing variants with minor allele frequency (MAF) ≤ 1%, but inflation is observed in variance component set-based tests when restricting to variants with MAF ≤ 0.1% or 0.01%. Here, we propose SAIGE-GENE+ with greatly improved type I error control and computational efficiency to facilitate rare variant tests in large-scale data. We further show that incorporating multiple MAF cutoffs and functional annotations can improve power and thus uncover new gene–phenotype associations. In the analysis of UKBB whole exome sequencing data for 30 quantitative and 141 binary traits, SAIGE-GENE+ identified 551 gene–phenotype associations.","container-title":"Nature Genetics","DOI":"10.1038/s41588-022-01178-w","ISSN":"1546-1718","issue":"10","language":"en","license":"2022 The Author(s)","page":"1466–1469","title":"SAIGE-GENE+ improves the efficiency and accuracy of set-based rare variant association tests","volume":"54","author":[{"family":"Zhou","given":"Wei"},{"family":"Bi","given":"Wenjian"},{"family":"Zhao","given":"Zhangchen"},{"family":"Dey","given":"Kushal K."},{"family":"Jagadeesh","given":"Karthik A."},{"family":"Karczewski","given":"Konrad J."},{"family":"Daly","given":"Mark J."},{"family":"Neale","given":"Benjamin M."},{"family":"Lee","given":"Seunggeun"}],"issued":{"date-parts":[["2022",10]]}}}],"schema":"https://github.com/citation-style-language/schema/raw/master/csl-citation.json"} </w:instrText>
      </w:r>
      <w:r w:rsidR="000400EC" w:rsidRPr="008C12C7">
        <w:rPr>
          <w:color w:val="000000"/>
          <w:lang w:val="en-GB"/>
        </w:rPr>
        <w:fldChar w:fldCharType="separate"/>
      </w:r>
      <w:r w:rsidR="003902DB" w:rsidRPr="003902DB">
        <w:rPr>
          <w:color w:val="000000"/>
          <w:szCs w:val="24"/>
          <w:vertAlign w:val="superscript"/>
          <w:lang w:val="en-GB"/>
        </w:rPr>
        <w:t>35</w:t>
      </w:r>
      <w:r w:rsidR="000400EC" w:rsidRPr="008C12C7">
        <w:rPr>
          <w:color w:val="000000"/>
          <w:lang w:val="en-GB"/>
        </w:rPr>
        <w:fldChar w:fldCharType="end"/>
      </w:r>
      <w:r w:rsidRPr="008C12C7">
        <w:rPr>
          <w:color w:val="000000"/>
          <w:lang w:val="en-GB"/>
        </w:rPr>
        <w:t xml:space="preserve">. </w:t>
      </w:r>
      <w:proofErr w:type="spellStart"/>
      <w:r w:rsidRPr="008C12C7">
        <w:rPr>
          <w:color w:val="000000"/>
          <w:lang w:val="en-GB"/>
        </w:rPr>
        <w:t>pLOF</w:t>
      </w:r>
      <w:proofErr w:type="spellEnd"/>
      <w:r w:rsidRPr="008C12C7">
        <w:rPr>
          <w:color w:val="000000"/>
          <w:lang w:val="en-GB"/>
        </w:rPr>
        <w:t xml:space="preserve"> variants were defined as frameshift, stop-gained, splice donor, or splice acceptor variants using variant consequences reported in </w:t>
      </w:r>
      <w:proofErr w:type="spellStart"/>
      <w:r w:rsidRPr="008C12C7">
        <w:rPr>
          <w:color w:val="000000"/>
          <w:lang w:val="en-GB"/>
        </w:rPr>
        <w:t>gnomAD</w:t>
      </w:r>
      <w:proofErr w:type="spellEnd"/>
      <w:r w:rsidRPr="008C12C7">
        <w:rPr>
          <w:color w:val="000000"/>
          <w:lang w:val="en-GB"/>
        </w:rPr>
        <w:t xml:space="preserve"> (version 4.1)</w:t>
      </w:r>
      <w:r w:rsidR="000400EC" w:rsidRPr="008C12C7">
        <w:rPr>
          <w:color w:val="000000"/>
          <w:lang w:val="en-GB"/>
        </w:rPr>
        <w:fldChar w:fldCharType="begin"/>
      </w:r>
      <w:r w:rsidR="003902DB">
        <w:rPr>
          <w:color w:val="000000"/>
          <w:lang w:val="en-GB"/>
        </w:rPr>
        <w:instrText xml:space="preserve"> ADDIN ZOTERO_ITEM CSL_CITATION {"citationID":"cO98FoBO","properties":{"unsorted":false,"formattedCitation":"\\super 36\\nosupersub{}","plainCitation":"36","noteIndex":0},"citationItems":[{"id":393,"uris":["http://zotero.org/users/12564564/items/GZ3QPASP"],"itemData":{"id":393,"type":"article-journal","abstract":"The depletion of disruptive variation caused by purifying natural selection (constraint) has been widely used to investigate protein-coding genes underlying human disorders1–4, but attempts to assess constraint for non-protein-coding regions have proved more difficult. Here we aggregate, process and release a dataset of 76,156 human genomes from the Genome Aggregation Database (gnomAD)—the largest public open-access human genome allele frequency reference dataset—and use it to build a genomic constraint map for the whole genome (genomic non-coding constraint of haploinsufficient variation (Gnocchi)). We present a refined mutational model that incorporates local sequence context and regional genomic features to detect depletions of variation. As expected, the average constraint for protein-coding sequences is stronger than that for non-coding regions. Within the non-coding genome, constrained regions are enriched for known regulatory elements and variants that are implicated in complex human diseases and traits, facilitating the triangulation of biological annotation, disease association and natural selection to non-coding DNA analysis. More constrained regulatory elements tend to regulate more constrained protein-coding genes, which in turn suggests that non-coding constraint can aid the identification of constrained genes that are as yet unrecognized by current gene constraint metrics. We demonstrate that this genome-wide constraint map improves the identification and interpretation of functional human genetic variation.","container-title":"Nature","DOI":"10.1038/s41586-023-06045-0","ISSN":"1476-4687","issue":"7993","language":"en","license":"2023 The Author(s), under exclusive licence to Springer Nature Limited","note":"publisher: Nature Publishing Group","page":"92-100","source":"www.nature.com","title":"A genomic mutational constraint map using variation in 76,156 human genomes","volume":"625","author":[{"family":"Chen","given":"Siwei"},{"family":"Francioli","given":"Laurent C."},{"family":"Goodrich","given":"Julia K."},{"family":"Collins","given":"Ryan L."},{"family":"Kanai","given":"Masahiro"},{"family":"Wang","given":"Qingbo"},{"family":"Alföldi","given":"Jessica"},{"family":"Watts","given":"Nicholas A."},{"family":"Vittal","given":"Christopher"},{"family":"Gauthier","given":"Laura D."},{"family":"Poterba","given":"Timothy"},{"family":"Wilson","given":"Michael W."},{"family":"Tarasova","given":"Yekaterina"},{"family":"Phu","given":"William"},{"family":"Grant","given":"Riley"},{"family":"Yohannes","given":"Mary T."},{"family":"Koenig","given":"Zan"},{"family":"Farjoun","given":"Yossi"},{"family":"Banks","given":"Eric"},{"family":"Donnelly","given":"Stacey"},{"family":"Gabriel","given":"Stacey"},{"family":"Gupta","given":"Namrata"},{"family":"Ferriera","given":"Steven"},{"family":"Tolonen","given":"Charlotte"},{"family":"Novod","given":"Sam"},{"family":"Bergelson","given":"Louis"},{"family":"Roazen","given":"David"},{"family":"Ruano-Rubio","given":"Valentin"},{"family":"Covarrubias","given":"Miguel"},{"family":"Llanwarne","given":"Christopher"},{"family":"Petrillo","given":"Nikelle"},{"family":"Wade","given":"Gordon"},{"family":"Jeandet","given":"Thibault"},{"family":"Munshi","given":"Ruchi"},{"family":"Tibbetts","given":"Kathleen"},{"family":"O’Donnell-Luria","given":"Anne"},{"family":"Solomonson","given":"Matthew"},{"family":"Seed","given":"Cotton"},{"family":"Martin","given":"Alicia R."},{"family":"Talkowski","given":"Michael E."},{"family":"Rehm","given":"Heidi L."},{"family":"Daly","given":"Mark J."},{"family":"Tiao","given":"Grace"},{"family":"Neale","given":"Benjamin M."},{"family":"MacArthur","given":"Daniel G."},{"family":"Karczewski","given":"Konrad J."}],"issued":{"date-parts":[["2024",1]]}}}],"schema":"https://github.com/citation-style-language/schema/raw/master/csl-citation.json"} </w:instrText>
      </w:r>
      <w:r w:rsidR="000400EC" w:rsidRPr="008C12C7">
        <w:rPr>
          <w:color w:val="000000"/>
          <w:lang w:val="en-GB"/>
        </w:rPr>
        <w:fldChar w:fldCharType="separate"/>
      </w:r>
      <w:r w:rsidR="003902DB" w:rsidRPr="003902DB">
        <w:rPr>
          <w:color w:val="000000"/>
          <w:szCs w:val="24"/>
          <w:vertAlign w:val="superscript"/>
          <w:lang w:val="en-GB"/>
        </w:rPr>
        <w:t>36</w:t>
      </w:r>
      <w:r w:rsidR="000400EC" w:rsidRPr="008C12C7">
        <w:rPr>
          <w:color w:val="000000"/>
          <w:lang w:val="en-GB"/>
        </w:rPr>
        <w:fldChar w:fldCharType="end"/>
      </w:r>
      <w:r w:rsidRPr="008C12C7">
        <w:rPr>
          <w:color w:val="000000"/>
          <w:lang w:val="en-GB"/>
        </w:rPr>
        <w:t>. Analyses were restricted to individuals of genetically inferred European ancestry</w:t>
      </w:r>
      <w:r w:rsidR="000400EC" w:rsidRPr="008C12C7">
        <w:rPr>
          <w:color w:val="000000"/>
          <w:lang w:val="en-GB"/>
        </w:rPr>
        <w:fldChar w:fldCharType="begin"/>
      </w:r>
      <w:r w:rsidR="003902DB">
        <w:rPr>
          <w:color w:val="000000"/>
          <w:lang w:val="en-GB"/>
        </w:rPr>
        <w:instrText xml:space="preserve"> ADDIN ZOTERO_ITEM CSL_CITATION {"citationID":"H9k2CnlO","properties":{"unsorted":false,"formattedCitation":"\\super 37\\nosupersub{}","plainCitation":"37","noteIndex":0},"citationItems":[{"id":349,"uris":["http://zotero.org/users/12564564/items/J674C3DF"],"itemData":{"id":349,"type":"article-journal","abstract":"The low portability of polygenic scores (PGSs) across global populations is a major concern that must be addressed before PGSs can be used for everyone in the clinic. Indeed, prediction accuracy has been shown to decay as a function of the genetic distance between the training and test cohorts. However, such cohorts differ not only in their genetic distance but also in their geographical distance and their data collection and assaying, conflating multiple factors. In this study, we examine the extent to which PGSs are transferable between ancestries by deriving polygenic scores for 245 curated traits from the UK Biobank data and applying them in nine ancestry groups from the same cohort. By restricting both training and testing to the UK Biobank data, we reduce the risk of environmental and genotyping confounding from using different cohorts. We define the nine ancestry groups at a sub-continental level, based on a simple, robust, and effective method that we introduce here. We then apply two different predictive methods to derive polygenic scores for all 245 phenotypes and show a systematic and dramatic reduction in portability of PGSs trained using Northwestern European individuals and applied to nine ancestry groups. These analyses demonstrate that prediction already drops off within European ancestries and reduces globally in proportion to genetic distance. Altogether, our study provides unique and robust insights into the PGS portability problem.","container-title":"The American Journal of Human Genetics","DOI":"10.1016/j.ajhg.2021.11.008","ISSN":"0002-9297","issue":"1","journalAbbreviation":"The American Journal of Human Genetics","page":"12-23","source":"ScienceDirect","title":"Portability of 245 polygenic scores when derived from the UK Biobank and applied to 9 ancestry groups from the same cohort","volume":"109","author":[{"family":"Privé","given":"Florian"},{"family":"Aschard","given":"Hugues"},{"family":"Carmi","given":"Shai"},{"family":"Folkersen","given":"Lasse"},{"family":"Hoggart","given":"Clive"},{"family":"O’Reilly","given":"Paul F."},{"family":"Vilhjálmsson","given":"Bjarni J."}],"issued":{"date-parts":[["2022",1,6]]}}}],"schema":"https://github.com/citation-style-language/schema/raw/master/csl-citation.json"} </w:instrText>
      </w:r>
      <w:r w:rsidR="000400EC" w:rsidRPr="008C12C7">
        <w:rPr>
          <w:color w:val="000000"/>
          <w:lang w:val="en-GB"/>
        </w:rPr>
        <w:fldChar w:fldCharType="separate"/>
      </w:r>
      <w:r w:rsidR="003902DB" w:rsidRPr="003902DB">
        <w:rPr>
          <w:color w:val="000000"/>
          <w:szCs w:val="24"/>
          <w:vertAlign w:val="superscript"/>
          <w:lang w:val="en-GB"/>
        </w:rPr>
        <w:t>37</w:t>
      </w:r>
      <w:r w:rsidR="000400EC" w:rsidRPr="008C12C7">
        <w:rPr>
          <w:color w:val="000000"/>
          <w:lang w:val="en-GB"/>
        </w:rPr>
        <w:fldChar w:fldCharType="end"/>
      </w:r>
      <w:r w:rsidRPr="008C12C7">
        <w:rPr>
          <w:color w:val="000000"/>
          <w:lang w:val="en-GB"/>
        </w:rPr>
        <w:t xml:space="preserve">. Analogous </w:t>
      </w:r>
      <w:proofErr w:type="spellStart"/>
      <w:r w:rsidRPr="008C12C7">
        <w:rPr>
          <w:color w:val="000000"/>
          <w:lang w:val="en-GB"/>
        </w:rPr>
        <w:t>pLOF</w:t>
      </w:r>
      <w:proofErr w:type="spellEnd"/>
      <w:r w:rsidRPr="008C12C7">
        <w:rPr>
          <w:color w:val="000000"/>
          <w:lang w:val="en-GB"/>
        </w:rPr>
        <w:t xml:space="preserve"> burden analyses were performed for all protein-coding genes within </w:t>
      </w:r>
      <w:r w:rsidR="003334DE" w:rsidRPr="003334DE">
        <w:rPr>
          <w:color w:val="000000"/>
          <w:lang w:val="en-GB"/>
        </w:rPr>
        <w:t>±</w:t>
      </w:r>
      <w:r w:rsidRPr="008C12C7">
        <w:rPr>
          <w:color w:val="000000"/>
          <w:lang w:val="en-GB"/>
        </w:rPr>
        <w:t xml:space="preserve">150 kb of </w:t>
      </w:r>
      <w:r w:rsidRPr="008C12C7">
        <w:rPr>
          <w:i/>
          <w:iCs/>
          <w:color w:val="000000"/>
          <w:lang w:val="en-GB"/>
        </w:rPr>
        <w:t>NLRP3</w:t>
      </w:r>
      <w:r w:rsidRPr="008C12C7">
        <w:rPr>
          <w:color w:val="000000"/>
          <w:lang w:val="en-GB"/>
        </w:rPr>
        <w:t>. Phenotype processing is described in the</w:t>
      </w:r>
      <w:r w:rsidR="001D6CF2">
        <w:rPr>
          <w:color w:val="000000"/>
          <w:lang w:val="en-GB"/>
        </w:rPr>
        <w:t xml:space="preserve"> </w:t>
      </w:r>
      <w:r w:rsidR="001D6CF2">
        <w:t>Supplementary Information</w:t>
      </w:r>
      <w:r w:rsidRPr="008C12C7">
        <w:rPr>
          <w:color w:val="000000"/>
          <w:lang w:val="en-GB"/>
        </w:rPr>
        <w:t>.</w:t>
      </w:r>
    </w:p>
    <w:p w14:paraId="02E2AEE7" w14:textId="77777777" w:rsidR="0024356E" w:rsidRPr="008C12C7" w:rsidRDefault="0024356E">
      <w:pPr>
        <w:pBdr>
          <w:top w:val="nil"/>
          <w:left w:val="nil"/>
          <w:bottom w:val="nil"/>
          <w:right w:val="nil"/>
          <w:between w:val="nil"/>
        </w:pBdr>
        <w:rPr>
          <w:color w:val="000000"/>
          <w:lang w:val="en-GB"/>
        </w:rPr>
      </w:pPr>
    </w:p>
    <w:p w14:paraId="2161F6BB" w14:textId="77777777" w:rsidR="006D380D" w:rsidRPr="008C12C7" w:rsidRDefault="00000000">
      <w:pPr>
        <w:pStyle w:val="Heading2"/>
        <w:rPr>
          <w:lang w:val="en-GB"/>
        </w:rPr>
      </w:pPr>
      <w:bookmarkStart w:id="48" w:name="1gdwx70g7vu" w:colFirst="0" w:colLast="0"/>
      <w:bookmarkStart w:id="49" w:name="_brrwm3dht66u" w:colFirst="0" w:colLast="0"/>
      <w:bookmarkEnd w:id="48"/>
      <w:bookmarkEnd w:id="49"/>
      <w:r w:rsidRPr="008C12C7">
        <w:rPr>
          <w:lang w:val="en-GB"/>
        </w:rPr>
        <w:t xml:space="preserve">3.9. </w:t>
      </w:r>
      <w:r w:rsidRPr="008C12C7">
        <w:rPr>
          <w:i/>
          <w:iCs/>
          <w:lang w:val="en-GB"/>
        </w:rPr>
        <w:t>NLRP3</w:t>
      </w:r>
      <w:r w:rsidRPr="008C12C7">
        <w:rPr>
          <w:lang w:val="en-GB"/>
        </w:rPr>
        <w:t xml:space="preserve"> Predicted Gain-of-Function Analysis</w:t>
      </w:r>
    </w:p>
    <w:p w14:paraId="46431FA7" w14:textId="093534CE" w:rsidR="006D380D" w:rsidRPr="008C12C7" w:rsidRDefault="00000000">
      <w:pPr>
        <w:pBdr>
          <w:top w:val="nil"/>
          <w:left w:val="nil"/>
          <w:bottom w:val="nil"/>
          <w:right w:val="nil"/>
          <w:between w:val="nil"/>
        </w:pBdr>
        <w:rPr>
          <w:color w:val="000000"/>
          <w:lang w:val="en-GB"/>
        </w:rPr>
      </w:pPr>
      <w:r w:rsidRPr="008C12C7">
        <w:rPr>
          <w:color w:val="000000"/>
          <w:lang w:val="en-GB"/>
        </w:rPr>
        <w:t xml:space="preserve">Pathogenic gain-of-function variants in </w:t>
      </w:r>
      <w:r w:rsidRPr="008C12C7">
        <w:rPr>
          <w:i/>
          <w:iCs/>
          <w:color w:val="000000"/>
          <w:lang w:val="en-GB"/>
        </w:rPr>
        <w:t>NLRP3</w:t>
      </w:r>
      <w:r w:rsidRPr="008C12C7">
        <w:rPr>
          <w:color w:val="000000"/>
          <w:lang w:val="en-GB"/>
        </w:rPr>
        <w:t xml:space="preserve"> were obtained from the INFEVERS registry</w:t>
      </w:r>
      <w:r w:rsidR="00E72327" w:rsidRPr="008C12C7">
        <w:rPr>
          <w:color w:val="000000"/>
          <w:lang w:val="en-GB"/>
        </w:rPr>
        <w:fldChar w:fldCharType="begin"/>
      </w:r>
      <w:r w:rsidR="003902DB">
        <w:rPr>
          <w:color w:val="000000"/>
          <w:lang w:val="en-GB"/>
        </w:rPr>
        <w:instrText xml:space="preserve"> ADDIN ZOTERO_ITEM CSL_CITATION {"citationID":"iaXwVu2l","properties":{"unsorted":false,"formattedCitation":"\\super 38\\nosupersub{}","plainCitation":"38","noteIndex":0},"citationItems":[{"id":174,"uris":["http://zotero.org/users/12564564/items/X24AU6ML"],"itemData":{"id":174,"type":"article-journal","abstract":"BACKGROUND: Hereditary recurrent fevers (HRFs) are rare inflammatory diseases sharing similar clinical symptoms and effectively treated with anti-inflammatory biological drugs. Accurate diagnosis of HRF relies heavily on genetic testing. OBJECTIVES: This study aimed to obtain an experts' consensus on the clinical significance of gene variants in four well-known HRF genes: MEFV, TNFRSF1A, NLRP3 and MVK. METHODS: We configured a MOLGENIS web platform to share and analyse pathogenicity classifications of the variants and to manage a consensus-based classification process. Four experts in HRF genetics submitted independent classifications of 858 variants. Classifications were driven to consensus by recruiting four more expert opinions and by targeting discordant classifications in five iterative rounds. RESULTS: Consensus classification was reached for 804/858 variants (94%). None of the unsolved variants (6%) remained with opposite classifications (eg, pathogenic vs benign). New mutational hotspots were found in all genes. We noted a lower pathogenic variant load and a higher fraction of variants with unknown or unsolved clinical significance in the MEFV gene. CONCLUSION: Applying a consensus-driven process on the pathogenicity assessment of experts yielded rapid classification of almost all variants of four HRF genes. The high-throughput database will profoundly assist clinicians and geneticists in the diagnosis of HRFs. The configured MOLGENIS platform and consensus evolution protocol are usable for assembly of other variant pathogenicity databases. The MOLGENIS software is available for reuse at http://github.com/molgenis/molgenis; the specific HRF configuration is available at http://molgenis.org/said/. The HRF pathogenicity classifications will be published on the INFEVERS database at https://fmf.igh.cnrs.fr/ISSAID/infevers/.","container-title":"Journal of Medical Genetics","DOI":"10.1136/jmedgenet-2017-105216","ISSN":"1468-6244","issue":"8","language":"eng","page":"530–537","PMID":"29599418","title":"New workflow for classification of genetic variants' pathogenicity applied to hereditary recurrent fevers by the International Study Group for Systemic Autoinflammatory Diseases (INSAID)","volume":"55","author":[{"family":"Van Gijn","given":"Marielle E."},{"family":"Ceccherini","given":"Isabella"},{"family":"Shinar","given":"Yael"},{"family":"Carbo","given":"Ellen C."},{"family":"Slofstra","given":"Mariska"},{"family":"Arostegui","given":"Juan I."},{"family":"Sarrabay","given":"Guillaume"},{"family":"Rowczenio","given":"Dorota"},{"family":"Omoyımnı","given":"Ebun"},{"family":"Balci-Peynircioglu","given":"Banu"},{"family":"Hoffman","given":"Hal M."},{"family":"Milhavet","given":"Florian"},{"family":"Swertz","given":"Morris A."},{"family":"Touitou","given":"Isabelle"}],"issued":{"date-parts":[["2018",8]]}}}],"schema":"https://github.com/citation-style-language/schema/raw/master/csl-citation.json"} </w:instrText>
      </w:r>
      <w:r w:rsidR="00E72327" w:rsidRPr="008C12C7">
        <w:rPr>
          <w:color w:val="000000"/>
          <w:lang w:val="en-GB"/>
        </w:rPr>
        <w:fldChar w:fldCharType="separate"/>
      </w:r>
      <w:r w:rsidR="003902DB" w:rsidRPr="003902DB">
        <w:rPr>
          <w:color w:val="000000"/>
          <w:szCs w:val="24"/>
          <w:vertAlign w:val="superscript"/>
          <w:lang w:val="en-GB"/>
        </w:rPr>
        <w:t>38</w:t>
      </w:r>
      <w:r w:rsidR="00E72327" w:rsidRPr="008C12C7">
        <w:rPr>
          <w:color w:val="000000"/>
          <w:lang w:val="en-GB"/>
        </w:rPr>
        <w:fldChar w:fldCharType="end"/>
      </w:r>
      <w:r w:rsidRPr="008C12C7">
        <w:rPr>
          <w:color w:val="000000"/>
          <w:lang w:val="en-GB"/>
        </w:rPr>
        <w:t xml:space="preserve"> and Cosson </w:t>
      </w:r>
      <w:r w:rsidRPr="008C12C7">
        <w:rPr>
          <w:i/>
          <w:iCs/>
          <w:color w:val="000000"/>
          <w:lang w:val="en-GB"/>
        </w:rPr>
        <w:t>et al</w:t>
      </w:r>
      <w:r w:rsidRPr="008C12C7">
        <w:rPr>
          <w:color w:val="000000"/>
          <w:lang w:val="en-GB"/>
        </w:rPr>
        <w:t>.</w:t>
      </w:r>
      <w:r w:rsidR="00E033D2">
        <w:rPr>
          <w:color w:val="000000"/>
          <w:lang w:val="en-GB"/>
        </w:rPr>
        <w:t xml:space="preserve"> </w:t>
      </w:r>
      <w:r w:rsidR="00E72327" w:rsidRPr="008C12C7">
        <w:rPr>
          <w:color w:val="000000"/>
          <w:lang w:val="en-GB"/>
        </w:rPr>
        <w:fldChar w:fldCharType="begin"/>
      </w:r>
      <w:r w:rsidR="001865ED">
        <w:rPr>
          <w:color w:val="000000"/>
          <w:lang w:val="en-GB"/>
        </w:rPr>
        <w:instrText xml:space="preserve"> ADDIN ZOTERO_ITEM CSL_CITATION {"citationID":"HJ5DTx5K","properties":{"unsorted":false,"formattedCitation":"\\super 39\\nosupersub{}","plainCitation":"39","noteIndex":0},"citationItems":[{"id":226,"uris":["http://zotero.org/users/12564564/items/XJ4LJNUE"],"itemData":{"id":226,"type":"article-journal","abstract":"Functional characterization of 34 NLRP3 variants identifies benign polymorphisms versus a spectrum of gain-of-function pathogenic variants with variable ef","container-title":"Journal of Experimental Medicine","DOI":"10.1084/jem.20231200","ISSN":"0022-1007","issue":"5","language":"en","page":"e20231200","title":"Functional diversity of NLRP3 gain-of-function mutants associated with CAPS autoinflammation","volume":"221","author":[{"family":"Cosson","given":"Camille"},{"family":"Riou","given":"Romane"},{"family":"Patoli","given":"Danish"},{"family":"Niu","given":"Tingting"},{"family":"Rey","given":"Amaury"},{"family":"Groslambert","given":"Marine"},{"family":"De Rosny","given":"Charlotte"},{"family":"Chatre","given":"Elodie"},{"family":"Allatif","given":"Omran"},{"family":"Henry","given":"Thomas"},{"family":"Venet","given":"Fabienne"},{"family":"Milhavet","given":"Florian"},{"family":"Boursier","given":"Guilaine"},{"family":"Belot","given":"Alexandre"},{"family":"Jamilloux","given":"Yvan"},{"family":"Merlin","given":"Etienne"},{"family":"Duquesne","given":"Agnès"},{"family":"Grateau","given":"Gilles"},{"family":"Savey","given":"Léa"},{"family":"Jacques Maria","given":"Alexandre Thibault"},{"family":"Pagnier","given":"Anne"},{"family":"Poutrel","given":"Solène"},{"family":"Lambotte","given":"Olivier"},{"family":"Mallebranche","given":"Coralie"},{"family":"Ardois","given":"Samuel"},{"family":"Richer","given":"Olivier"},{"family":"Lemelle","given":"Irène"},{"family":"Rieux-Laucat","given":"Frédéric"},{"family":"Bader-Meunier","given":"Brigitte"},{"family":"Amoura","given":"Zahir"},{"family":"Melki","given":"Isabelle"},{"family":"Cuisset","given":"Laurence"},{"family":"Touitou","given":"Isabelle"},{"family":"Geyer","given":"Matthias"},{"family":"Georgin-Lavialle","given":"Sophie"},{"family":"Py","given":"Bénédicte F."}],"issued":{"date-parts":[["2024",5]]}}}],"schema":"https://github.com/citation-style-language/schema/raw/master/csl-citation.json"} </w:instrText>
      </w:r>
      <w:r w:rsidR="00E72327" w:rsidRPr="008C12C7">
        <w:rPr>
          <w:color w:val="000000"/>
          <w:lang w:val="en-GB"/>
        </w:rPr>
        <w:fldChar w:fldCharType="separate"/>
      </w:r>
      <w:r w:rsidR="003902DB" w:rsidRPr="003902DB">
        <w:rPr>
          <w:color w:val="000000"/>
          <w:szCs w:val="24"/>
          <w:vertAlign w:val="superscript"/>
          <w:lang w:val="en-GB"/>
        </w:rPr>
        <w:t>39</w:t>
      </w:r>
      <w:r w:rsidR="00E72327" w:rsidRPr="008C12C7">
        <w:rPr>
          <w:color w:val="000000"/>
          <w:lang w:val="en-GB"/>
        </w:rPr>
        <w:fldChar w:fldCharType="end"/>
      </w:r>
      <w:r w:rsidRPr="008C12C7">
        <w:rPr>
          <w:color w:val="000000"/>
          <w:lang w:val="en-GB"/>
        </w:rPr>
        <w:t>. Carriers were identified among UK Biobank participants with WES data and available biomarker measurements. Only one</w:t>
      </w:r>
      <w:r w:rsidR="00D75628" w:rsidRPr="008C12C7">
        <w:rPr>
          <w:color w:val="000000"/>
          <w:lang w:val="en-GB"/>
        </w:rPr>
        <w:t xml:space="preserve"> of these</w:t>
      </w:r>
      <w:r w:rsidRPr="008C12C7">
        <w:rPr>
          <w:color w:val="000000"/>
          <w:lang w:val="en-GB"/>
        </w:rPr>
        <w:t xml:space="preserve"> gain-of-function variant</w:t>
      </w:r>
      <w:r w:rsidR="00D75628" w:rsidRPr="008C12C7">
        <w:rPr>
          <w:color w:val="000000"/>
          <w:lang w:val="en-GB"/>
        </w:rPr>
        <w:t>s</w:t>
      </w:r>
      <w:r w:rsidRPr="008C12C7">
        <w:rPr>
          <w:color w:val="000000"/>
          <w:lang w:val="en-GB"/>
        </w:rPr>
        <w:t xml:space="preserve"> was </w:t>
      </w:r>
      <w:r w:rsidR="00C71C1E" w:rsidRPr="008C12C7">
        <w:rPr>
          <w:color w:val="000000"/>
          <w:lang w:val="en-GB"/>
        </w:rPr>
        <w:t>observed in UK Biobank</w:t>
      </w:r>
      <w:r w:rsidRPr="008C12C7">
        <w:rPr>
          <w:color w:val="000000"/>
          <w:lang w:val="en-GB"/>
        </w:rPr>
        <w:t xml:space="preserve">, corresponding to GRCh38 chr1:247424765 C&gt;T </w:t>
      </w:r>
      <w:r w:rsidRPr="008C12C7">
        <w:rPr>
          <w:lang w:val="en-GB"/>
        </w:rPr>
        <w:t>(</w:t>
      </w:r>
      <w:proofErr w:type="gramStart"/>
      <w:r w:rsidRPr="008C12C7">
        <w:rPr>
          <w:color w:val="000000"/>
          <w:lang w:val="en-GB"/>
        </w:rPr>
        <w:t>p.Ala</w:t>
      </w:r>
      <w:proofErr w:type="gramEnd"/>
      <w:r w:rsidRPr="008C12C7">
        <w:rPr>
          <w:color w:val="000000"/>
          <w:lang w:val="en-GB"/>
        </w:rPr>
        <w:t xml:space="preserve">439Val). All </w:t>
      </w:r>
      <w:r w:rsidR="000B5D1C" w:rsidRPr="008C12C7">
        <w:rPr>
          <w:color w:val="000000"/>
          <w:lang w:val="en-GB"/>
        </w:rPr>
        <w:t xml:space="preserve">three </w:t>
      </w:r>
      <w:r w:rsidRPr="008C12C7">
        <w:rPr>
          <w:color w:val="000000"/>
          <w:lang w:val="en-GB"/>
        </w:rPr>
        <w:t xml:space="preserve">carriers were heterozygous. Due to the limited number of carriers, CRP levels, </w:t>
      </w:r>
      <w:proofErr w:type="spellStart"/>
      <w:r w:rsidRPr="008C12C7">
        <w:rPr>
          <w:color w:val="000000"/>
          <w:lang w:val="en-GB"/>
        </w:rPr>
        <w:t>GlycA</w:t>
      </w:r>
      <w:proofErr w:type="spellEnd"/>
      <w:r w:rsidRPr="008C12C7">
        <w:rPr>
          <w:color w:val="000000"/>
          <w:lang w:val="en-GB"/>
        </w:rPr>
        <w:t xml:space="preserve"> concentrations, and blood neutrophil counts were reported as percentiles relative to non-carriers. </w:t>
      </w:r>
      <w:r w:rsidRPr="008C12C7">
        <w:rPr>
          <w:lang w:val="en-GB"/>
        </w:rPr>
        <w:t>Phenotype processing is described in the</w:t>
      </w:r>
      <w:r w:rsidR="00EB4D66">
        <w:rPr>
          <w:lang w:val="en-GB"/>
        </w:rPr>
        <w:t xml:space="preserve"> </w:t>
      </w:r>
      <w:r w:rsidR="00EB4D66">
        <w:t>Supplementary Information</w:t>
      </w:r>
      <w:r w:rsidR="00EB4D66">
        <w:t>″</w:t>
      </w:r>
      <w:r w:rsidRPr="008C12C7">
        <w:rPr>
          <w:lang w:val="en-GB"/>
        </w:rPr>
        <w:t>.</w:t>
      </w:r>
    </w:p>
    <w:p w14:paraId="18221A98" w14:textId="77777777" w:rsidR="006D380D" w:rsidRPr="008C12C7" w:rsidRDefault="00000000">
      <w:pPr>
        <w:pStyle w:val="Heading2"/>
        <w:rPr>
          <w:lang w:val="en-GB"/>
        </w:rPr>
      </w:pPr>
      <w:bookmarkStart w:id="50" w:name="aa1q6ll5xz83" w:colFirst="0" w:colLast="0"/>
      <w:bookmarkStart w:id="51" w:name="_66b01xj8n6fp" w:colFirst="0" w:colLast="0"/>
      <w:bookmarkEnd w:id="50"/>
      <w:bookmarkEnd w:id="51"/>
      <w:r w:rsidRPr="008C12C7">
        <w:rPr>
          <w:lang w:val="en-GB"/>
        </w:rPr>
        <w:t>3.10. Proteome-wide association and over-representation analyses</w:t>
      </w:r>
    </w:p>
    <w:p w14:paraId="6F62F349" w14:textId="5923F14A" w:rsidR="006D380D" w:rsidRPr="008C12C7" w:rsidRDefault="00000000">
      <w:pPr>
        <w:pBdr>
          <w:top w:val="nil"/>
          <w:left w:val="nil"/>
          <w:bottom w:val="nil"/>
          <w:right w:val="nil"/>
          <w:between w:val="nil"/>
        </w:pBdr>
        <w:rPr>
          <w:color w:val="000000"/>
          <w:lang w:val="en-GB"/>
        </w:rPr>
      </w:pPr>
      <w:r w:rsidRPr="008C12C7">
        <w:rPr>
          <w:color w:val="000000"/>
          <w:lang w:val="en-GB"/>
        </w:rPr>
        <w:t>To characterise broader circulating protein changes associated with lower genetically proxied NLRP3 activity, we performed two-sample MR using plasma protein GWAS summary statistics from the UK Biobank Pharma Proteomics Project</w:t>
      </w:r>
      <w:r w:rsidR="00930F4F" w:rsidRPr="008C12C7">
        <w:rPr>
          <w:color w:val="000000"/>
          <w:lang w:val="en-GB"/>
        </w:rPr>
        <w:fldChar w:fldCharType="begin"/>
      </w:r>
      <w:r w:rsidR="00930F4F" w:rsidRPr="008C12C7">
        <w:rPr>
          <w:color w:val="000000"/>
          <w:lang w:val="en-GB"/>
        </w:rPr>
        <w:instrText xml:space="preserve"> ADDIN ZOTERO_ITEM CSL_CITATION {"citationID":"ZkqpN5dQ","properties":{"unsorted":false,"formattedCitation":"\\super 18\\nosupersub{}","plainCitation":"18","noteIndex":0},"citationItems":[{"id":296,"uris":["http://zotero.org/users/12564564/items/24KF5FQD"],"itemData":{"id":296,"type":"article-journal","abstract":"The Pharma Proteomics Project is a precompetitive biopharmaceutical consortium characterizing the plasma proteomic profiles of 54,219 UK Biobank participants. Here we provide a detailed summary of this initiative, including technical and biological validations, insights into proteomic disease signatures, and prediction modelling for various demographic and health indicators. We present comprehensive protein quantitative trait locus (pQTL) mapping of 2,923 proteins that identifies 14,287 primary genetic associations, of which 81% are previously undescribed, alongside ancestry-specific pQTL mapping in non-European individuals. The study provides an updated characterization of the genetic architecture of the plasma proteome, contextualized with projected pQTL discovery rates as sample sizes and proteomic assay coverages increase over time. We offer extensive insights into trans pQTLs across multiple biological domains, highlight genetic influences on ligand–receptor interactions and pathway perturbations across a diverse collection of cytokines and complement networks, and illustrate long-range epistatic effects of ABO blood group and FUT2 secretor status on proteins with gastrointestinal tissue-enriched expression. We demonstrate the utility of these data for drug discovery by extending the genetic proxied effects of protein targets, such as PCSK9, on additional endpoints, and disentangle specific genes and proteins perturbed at loci associated with COVID-19 susceptibility. This public–private partnership provides the scientific community with an open-access proteomics resource of considerable breadth and depth to help to elucidate the biological mechanisms underlying proteo-genomic discoveries and accelerate the development of biomarkers, predictive models and therapeutics1.","container-title":"Nature","DOI":"10.1038/s41586-023-06592-6","ISSN":"1476-4687","issue":"7982","language":"en","license":"2023 The Author(s)","page":"329–338","title":"Plasma proteomic associations with genetics and health in the UK Biobank","volume":"622","author":[{"family":"Sun","given":"Benjamin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S."},{"family":"Davitte","given":"Jonathan"},{"family":"Ferber","given":"Kyle L."},{"family":"Gillies","given":"Christopher E."},{"family":"Hedman","given":"Åsa K."},{"family":"Hu","given":"Sile"},{"family":"Lin","given":"Tinchi"},{"family":"Mikkilineni","given":"Rajesh"},{"family":"Pendergrass","given":"Rion K."},{"family":"Pickering","given":"Corran"},{"family":"Prins","given":"Bram"},{"family":"Baird","given":"Denis"},{"family":"Chen","given":"Chia-Yen"},{"family":"Ward","given":"Lucas D."},{"family":"Deaton","given":"Aimee M."},{"family":"Welsh","given":"Samantha"},{"family":"Willis","given":"Carissa M."},{"family":"Lehner","given":"Nick"},{"family":"Arnold","given":"Matthias"},{"family":"Wörheide","given":"Maria A."},{"family":"Suhre","given":"Karsten"},{"family":"Kastenmüller","given":"Gabi"},{"family":"Sethi","given":"Anurag"},{"family":"Cule","given":"Madeleine"},{"family":"Raj","given":"Anil"},{"family":"Kang","given":"Hyun Ming"},{"family":"Burkitt-Gray","given":"Lucy"},{"family":"Melamud","given":"Eugene"},{"family":"Black","given":"Mary Helen"},{"family":"Fauman","given":"Eric B."},{"family":"Howson","given":"Joanna M. M."},{"family":"Kang","given":"Hyun Min"},{"family":"McCarthy","given":"Mark I."},{"family":"Nioi","given":"Paul"},{"family":"Petrovski","given":"Slavé"},{"family":"Scott","given":"Robert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D."}],"issued":{"date-parts":[["2023",10]]}}}],"schema":"https://github.com/citation-style-language/schema/raw/master/csl-citation.json"} </w:instrText>
      </w:r>
      <w:r w:rsidR="00930F4F" w:rsidRPr="008C12C7">
        <w:rPr>
          <w:color w:val="000000"/>
          <w:lang w:val="en-GB"/>
        </w:rPr>
        <w:fldChar w:fldCharType="separate"/>
      </w:r>
      <w:r w:rsidR="00CC5B78" w:rsidRPr="00CC5B78">
        <w:rPr>
          <w:color w:val="000000"/>
          <w:szCs w:val="24"/>
          <w:vertAlign w:val="superscript"/>
          <w:lang w:val="en-GB"/>
        </w:rPr>
        <w:t>18</w:t>
      </w:r>
      <w:r w:rsidR="00930F4F" w:rsidRPr="008C12C7">
        <w:rPr>
          <w:color w:val="000000"/>
          <w:lang w:val="en-GB"/>
        </w:rPr>
        <w:fldChar w:fldCharType="end"/>
      </w:r>
      <w:r w:rsidRPr="008C12C7">
        <w:rPr>
          <w:color w:val="000000"/>
          <w:lang w:val="en-GB"/>
        </w:rPr>
        <w:t>. Associations were estimated using IVW MR with LD correction, as described above. Proteins were considered significant using a Bonferroni correction based on the effective number of independent protein tests</w:t>
      </w:r>
      <w:r w:rsidR="00930F4F" w:rsidRPr="008C12C7">
        <w:rPr>
          <w:color w:val="000000"/>
          <w:lang w:val="en-GB"/>
        </w:rPr>
        <w:fldChar w:fldCharType="begin"/>
      </w:r>
      <w:r w:rsidR="003902DB">
        <w:rPr>
          <w:color w:val="000000"/>
          <w:lang w:val="en-GB"/>
        </w:rPr>
        <w:instrText xml:space="preserve"> ADDIN ZOTERO_ITEM CSL_CITATION {"citationID":"AzXCSjyr","properties":{"unsorted":false,"formattedCitation":"\\super 40\\nosupersub{}","plainCitation":"40","noteIndex":0},"citationItems":[{"id":74,"uris":["http://zotero.org/users/12564564/items/KGD3TEVL"],"itemData":{"id":74,"type":"article-journal","abstract":"Significance testing, with appropriate multiple testing correction, is currently the most convenient method for summarizing the evidence for association between a disease and a genetic variant.Inadequate statistical power increases not only the probability of missing genuine associations but also the probability that significant associations represent false-positive findings.Statistical power declines rapidly with decreasing allele frequency and effect size, but it can be enhanced by increasing sample size and by selecting appropriate subjects (for example, family history positive cases and 'super normal' controls).Exome sequencing studies can often identify the mutation responsible for a Mendelian disease by filtering out common variants, synonymous variants or variants that do not co-segregate with disease, and then assigning priority to the remaining variants using bioinformatic tools.Adequate statistical power for rare-variant association analyses in complex diseases requires the aggregation of the effects of multiple rare variants within a defined portion of the genome (for example, a set of related genes).Various computational tools are available for calculating the statistical power of genetic studies.","container-title":"Nature Reviews Genetics","DOI":"10.1038/nrg3706","ISSN":"1471-0064","issue":"5","language":"en","license":"2014 Springer Nature Limited","page":"335–346","title":"Statistical power and significance testing in large-scale genetic studies","volume":"15","author":[{"family":"Sham","given":"Pak C."},{"family":"Purcell","given":"Shaun M."}],"issued":{"date-parts":[["2014",5]]}}}],"schema":"https://github.com/citation-style-language/schema/raw/master/csl-citation.json"} </w:instrText>
      </w:r>
      <w:r w:rsidR="00930F4F" w:rsidRPr="008C12C7">
        <w:rPr>
          <w:color w:val="000000"/>
          <w:lang w:val="en-GB"/>
        </w:rPr>
        <w:fldChar w:fldCharType="separate"/>
      </w:r>
      <w:r w:rsidR="003902DB" w:rsidRPr="003902DB">
        <w:rPr>
          <w:color w:val="000000"/>
          <w:szCs w:val="24"/>
          <w:vertAlign w:val="superscript"/>
          <w:lang w:val="en-GB"/>
        </w:rPr>
        <w:t>40</w:t>
      </w:r>
      <w:r w:rsidR="00930F4F" w:rsidRPr="008C12C7">
        <w:rPr>
          <w:color w:val="000000"/>
          <w:lang w:val="en-GB"/>
        </w:rPr>
        <w:fldChar w:fldCharType="end"/>
      </w:r>
      <w:r w:rsidRPr="008C12C7">
        <w:rPr>
          <w:color w:val="000000"/>
          <w:lang w:val="en-GB"/>
        </w:rPr>
        <w:t xml:space="preserve">, yielding a threshold of </w:t>
      </w:r>
      <w:r w:rsidR="006258C4" w:rsidRPr="00246822">
        <w:rPr>
          <w:i/>
          <w:iCs/>
          <w:color w:val="000000"/>
          <w:lang w:val="en-GB"/>
        </w:rPr>
        <w:t>P</w:t>
      </w:r>
      <w:r w:rsidR="00246822">
        <w:rPr>
          <w:color w:val="000000"/>
          <w:lang w:val="en-GB"/>
        </w:rPr>
        <w:t xml:space="preserve"> </w:t>
      </w:r>
      <w:r w:rsidR="006258C4" w:rsidRPr="006258C4">
        <w:rPr>
          <w:color w:val="000000"/>
          <w:lang w:val="en-GB"/>
        </w:rPr>
        <w:t>&lt;</w:t>
      </w:r>
      <w:r w:rsidR="00246822">
        <w:rPr>
          <w:color w:val="000000"/>
          <w:lang w:val="en-GB"/>
        </w:rPr>
        <w:t xml:space="preserve"> </w:t>
      </w:r>
      <w:r w:rsidR="006258C4" w:rsidRPr="006258C4">
        <w:rPr>
          <w:color w:val="000000"/>
          <w:lang w:val="en-GB"/>
        </w:rPr>
        <w:t>2.7×10</w:t>
      </w:r>
      <w:r w:rsidR="006258C4">
        <w:rPr>
          <w:color w:val="000000"/>
          <w:vertAlign w:val="superscript"/>
          <w:lang w:val="en-GB"/>
        </w:rPr>
        <w:t>-5</w:t>
      </w:r>
      <w:r w:rsidRPr="008C12C7">
        <w:rPr>
          <w:color w:val="000000"/>
          <w:lang w:val="en-GB"/>
        </w:rPr>
        <w:t xml:space="preserve">. </w:t>
      </w:r>
      <w:r w:rsidR="00205589" w:rsidRPr="00205589">
        <w:rPr>
          <w:color w:val="000000"/>
          <w:lang w:val="en-GB"/>
        </w:rPr>
        <w:t>Proteins whose circulating levels were significantly lower or higher with lower genetically proxied NLRP3 activity were tested separately for enrichment of Gene Ontology Biological Process terms.</w:t>
      </w:r>
      <w:r w:rsidR="008257CF">
        <w:rPr>
          <w:color w:val="000000"/>
          <w:lang w:val="en-GB"/>
        </w:rPr>
        <w:t xml:space="preserve"> </w:t>
      </w:r>
      <w:r w:rsidRPr="008C12C7">
        <w:rPr>
          <w:color w:val="000000"/>
          <w:lang w:val="en-GB"/>
        </w:rPr>
        <w:t>Details of the effective test correction and over-representation analysis are provided in</w:t>
      </w:r>
      <w:r w:rsidR="00A31DF9">
        <w:rPr>
          <w:color w:val="000000"/>
          <w:lang w:val="en-GB"/>
        </w:rPr>
        <w:t xml:space="preserve"> the Supplementary Information</w:t>
      </w:r>
      <w:r w:rsidRPr="008C12C7">
        <w:rPr>
          <w:color w:val="000000"/>
          <w:lang w:val="en-GB"/>
        </w:rPr>
        <w:t>.</w:t>
      </w:r>
    </w:p>
    <w:p w14:paraId="421C2EF5" w14:textId="111DEF0F" w:rsidR="006D380D" w:rsidRPr="008C12C7" w:rsidRDefault="00000000">
      <w:pPr>
        <w:pStyle w:val="Heading2"/>
        <w:rPr>
          <w:lang w:val="en-GB"/>
        </w:rPr>
      </w:pPr>
      <w:bookmarkStart w:id="52" w:name="8dpkc4r1zecx" w:colFirst="0" w:colLast="0"/>
      <w:bookmarkStart w:id="53" w:name="_ckehrk7xsyn" w:colFirst="0" w:colLast="0"/>
      <w:bookmarkEnd w:id="52"/>
      <w:bookmarkEnd w:id="53"/>
      <w:r w:rsidRPr="008C12C7">
        <w:rPr>
          <w:lang w:val="en-GB"/>
        </w:rPr>
        <w:t xml:space="preserve">3.11. </w:t>
      </w:r>
      <w:r w:rsidR="004B4F49" w:rsidRPr="008C12C7">
        <w:rPr>
          <w:lang w:val="en-GB"/>
        </w:rPr>
        <w:t>Exploratory analyses across diseases under investigation for NLRP3 inhibition</w:t>
      </w:r>
    </w:p>
    <w:p w14:paraId="4E423502" w14:textId="5AE8E5A7" w:rsidR="006D380D" w:rsidRPr="008C12C7" w:rsidRDefault="00000000">
      <w:pPr>
        <w:pBdr>
          <w:top w:val="nil"/>
          <w:left w:val="nil"/>
          <w:bottom w:val="nil"/>
          <w:right w:val="nil"/>
          <w:between w:val="nil"/>
        </w:pBdr>
        <w:rPr>
          <w:color w:val="000000"/>
          <w:lang w:val="en-GB"/>
        </w:rPr>
      </w:pPr>
      <w:r w:rsidRPr="008C12C7">
        <w:rPr>
          <w:color w:val="000000"/>
          <w:lang w:val="en-GB"/>
        </w:rPr>
        <w:t xml:space="preserve">Disease outcomes for exploratory MR analyses were selected based on </w:t>
      </w:r>
      <w:r w:rsidR="003F6C51" w:rsidRPr="008C12C7">
        <w:rPr>
          <w:color w:val="000000"/>
          <w:lang w:val="en-GB"/>
        </w:rPr>
        <w:t>diseases</w:t>
      </w:r>
      <w:r w:rsidRPr="008C12C7">
        <w:rPr>
          <w:color w:val="000000"/>
          <w:lang w:val="en-GB"/>
        </w:rPr>
        <w:t xml:space="preserve"> for which selective NLRP3 inhibitors have been, or are being, evaluated in registered clinical trials, as identified from a structured search of</w:t>
      </w:r>
      <w:r w:rsidR="004B4F49" w:rsidRPr="008C12C7">
        <w:rPr>
          <w:color w:val="000000"/>
          <w:lang w:val="en-GB"/>
        </w:rPr>
        <w:t xml:space="preserve"> four clinical trial registries</w:t>
      </w:r>
      <w:r w:rsidRPr="008C12C7">
        <w:rPr>
          <w:color w:val="000000"/>
          <w:lang w:val="en-GB"/>
        </w:rPr>
        <w:t xml:space="preserve"> conducted on the 28</w:t>
      </w:r>
      <w:r w:rsidR="001656F0">
        <w:rPr>
          <w:color w:val="000000"/>
          <w:vertAlign w:val="superscript"/>
          <w:lang w:val="en-GB"/>
        </w:rPr>
        <w:t xml:space="preserve"> </w:t>
      </w:r>
      <w:r w:rsidR="001656F0">
        <w:rPr>
          <w:color w:val="000000"/>
          <w:lang w:val="en-GB"/>
        </w:rPr>
        <w:t>of</w:t>
      </w:r>
      <w:r w:rsidRPr="008C12C7">
        <w:rPr>
          <w:color w:val="000000"/>
          <w:lang w:val="en-GB"/>
        </w:rPr>
        <w:t xml:space="preserve"> April 2026 (see </w:t>
      </w:r>
      <w:r w:rsidR="00A31DF9">
        <w:t>Supplementary Information</w:t>
      </w:r>
      <w:r w:rsidR="00A31DF9" w:rsidRPr="008C12C7">
        <w:rPr>
          <w:color w:val="000000"/>
          <w:lang w:val="en-GB"/>
        </w:rPr>
        <w:t xml:space="preserve"> </w:t>
      </w:r>
      <w:r w:rsidRPr="008C12C7">
        <w:rPr>
          <w:color w:val="000000"/>
          <w:lang w:val="en-GB"/>
        </w:rPr>
        <w:t xml:space="preserve">for full details). Identified </w:t>
      </w:r>
      <w:r w:rsidR="00181367" w:rsidRPr="008C12C7">
        <w:rPr>
          <w:color w:val="000000"/>
          <w:lang w:val="en-GB"/>
        </w:rPr>
        <w:t>disease</w:t>
      </w:r>
      <w:r w:rsidR="00C71C1E" w:rsidRPr="008C12C7">
        <w:rPr>
          <w:color w:val="000000"/>
          <w:lang w:val="en-GB"/>
        </w:rPr>
        <w:t>s</w:t>
      </w:r>
      <w:r w:rsidRPr="008C12C7">
        <w:rPr>
          <w:color w:val="000000"/>
          <w:lang w:val="en-GB"/>
        </w:rPr>
        <w:t xml:space="preserve"> were included where publicly available GWAS summary statistics of sufficient sample size were </w:t>
      </w:r>
      <w:r w:rsidRPr="00C31E8B">
        <w:rPr>
          <w:color w:val="000000" w:themeColor="text1"/>
          <w:lang w:val="en-GB"/>
        </w:rPr>
        <w:t>available. The included exploratory outcomes and corresponding GWAS sources are provided in</w:t>
      </w:r>
      <w:bookmarkStart w:id="54" w:name="6xv0z793vi1v" w:colFirst="0" w:colLast="0"/>
      <w:bookmarkEnd w:id="54"/>
      <w:r w:rsidRPr="00C31E8B">
        <w:rPr>
          <w:color w:val="000000" w:themeColor="text1"/>
          <w:lang w:val="en-GB"/>
        </w:rPr>
        <w:t xml:space="preserve"> </w:t>
      </w:r>
      <w:hyperlink w:anchor="osf1l9j6od77">
        <w:r w:rsidR="006D380D" w:rsidRPr="00C31E8B">
          <w:rPr>
            <w:color w:val="000000" w:themeColor="text1"/>
            <w:lang w:val="en-GB"/>
          </w:rPr>
          <w:t>Supplementary Table </w:t>
        </w:r>
      </w:hyperlink>
      <w:r w:rsidR="00F61632">
        <w:t>3</w:t>
      </w:r>
      <w:r w:rsidRPr="00C31E8B">
        <w:rPr>
          <w:color w:val="000000" w:themeColor="text1"/>
          <w:lang w:val="en-GB"/>
        </w:rPr>
        <w:t>. As these analyses were exploratory,</w:t>
      </w:r>
      <w:r w:rsidR="00F677BE" w:rsidRPr="00C31E8B">
        <w:rPr>
          <w:color w:val="000000" w:themeColor="text1"/>
          <w:lang w:val="en-GB"/>
        </w:rPr>
        <w:t xml:space="preserve"> nominal</w:t>
      </w:r>
      <w:r w:rsidRPr="00C31E8B">
        <w:rPr>
          <w:color w:val="000000" w:themeColor="text1"/>
          <w:lang w:val="en-GB"/>
        </w:rPr>
        <w:t xml:space="preserve"> </w:t>
      </w:r>
      <w:r w:rsidR="001442CF" w:rsidRPr="001442CF">
        <w:rPr>
          <w:i/>
          <w:iCs/>
          <w:color w:val="000000" w:themeColor="text1"/>
          <w:lang w:val="en-GB"/>
        </w:rPr>
        <w:t>P</w:t>
      </w:r>
      <w:r w:rsidR="001442CF">
        <w:rPr>
          <w:color w:val="000000" w:themeColor="text1"/>
          <w:lang w:val="en-GB"/>
        </w:rPr>
        <w:t xml:space="preserve"> </w:t>
      </w:r>
      <w:r w:rsidRPr="00C31E8B">
        <w:rPr>
          <w:color w:val="000000" w:themeColor="text1"/>
          <w:lang w:val="en-GB"/>
        </w:rPr>
        <w:t>values are reported without adjustment for multiple testing.</w:t>
      </w:r>
    </w:p>
    <w:p w14:paraId="5CF87CEB" w14:textId="77777777" w:rsidR="006D380D" w:rsidRPr="008C12C7" w:rsidRDefault="00000000">
      <w:pPr>
        <w:rPr>
          <w:lang w:val="en-GB"/>
        </w:rPr>
      </w:pPr>
      <w:r w:rsidRPr="008C12C7">
        <w:rPr>
          <w:lang w:val="en-GB"/>
        </w:rPr>
        <w:br w:type="page"/>
      </w:r>
    </w:p>
    <w:p w14:paraId="43DD327D" w14:textId="77777777" w:rsidR="006D380D" w:rsidRPr="008C12C7" w:rsidRDefault="00000000">
      <w:pPr>
        <w:pStyle w:val="Heading1"/>
        <w:rPr>
          <w:lang w:val="en-GB"/>
        </w:rPr>
      </w:pPr>
      <w:bookmarkStart w:id="55" w:name="420nk4wt589t" w:colFirst="0" w:colLast="0"/>
      <w:bookmarkStart w:id="56" w:name="_oe6gce5sfmhe" w:colFirst="0" w:colLast="0"/>
      <w:bookmarkStart w:id="57" w:name="_Hlk240570732"/>
      <w:bookmarkEnd w:id="19"/>
      <w:bookmarkEnd w:id="55"/>
      <w:bookmarkEnd w:id="56"/>
      <w:r w:rsidRPr="008C12C7">
        <w:rPr>
          <w:lang w:val="en-GB"/>
        </w:rPr>
        <w:lastRenderedPageBreak/>
        <w:t>4. Results</w:t>
      </w:r>
    </w:p>
    <w:p w14:paraId="17E6CD90" w14:textId="77777777" w:rsidR="006D380D" w:rsidRPr="008C12C7" w:rsidRDefault="00000000">
      <w:pPr>
        <w:pStyle w:val="Heading2"/>
        <w:rPr>
          <w:lang w:val="en-GB"/>
        </w:rPr>
      </w:pPr>
      <w:bookmarkStart w:id="58" w:name="vrwtau8sztx4" w:colFirst="0" w:colLast="0"/>
      <w:bookmarkStart w:id="59" w:name="_ml18xoy1f2xw" w:colFirst="0" w:colLast="0"/>
      <w:bookmarkEnd w:id="58"/>
      <w:bookmarkEnd w:id="59"/>
      <w:r w:rsidRPr="008C12C7">
        <w:rPr>
          <w:lang w:val="en-GB"/>
        </w:rPr>
        <w:t xml:space="preserve">4.1. Genetic associations with inflammatory biomarkers at the </w:t>
      </w:r>
      <w:r w:rsidRPr="008C12C7">
        <w:rPr>
          <w:i/>
          <w:iCs/>
          <w:lang w:val="en-GB"/>
        </w:rPr>
        <w:t>NLRP3</w:t>
      </w:r>
      <w:r w:rsidRPr="008C12C7">
        <w:rPr>
          <w:lang w:val="en-GB"/>
        </w:rPr>
        <w:t xml:space="preserve"> locus</w:t>
      </w:r>
    </w:p>
    <w:p w14:paraId="146A77F7" w14:textId="5BD0EC9C" w:rsidR="00F25E22" w:rsidRPr="00F25E22" w:rsidRDefault="00000000">
      <w:pPr>
        <w:pBdr>
          <w:top w:val="nil"/>
          <w:left w:val="nil"/>
          <w:bottom w:val="nil"/>
          <w:right w:val="nil"/>
          <w:between w:val="nil"/>
        </w:pBdr>
        <w:rPr>
          <w:color w:val="000000"/>
          <w:lang w:val="en-GB"/>
        </w:rPr>
      </w:pPr>
      <w:r w:rsidRPr="008C12C7">
        <w:rPr>
          <w:color w:val="000000"/>
          <w:lang w:val="en-GB"/>
        </w:rPr>
        <w:t xml:space="preserve">Using publicly available GWAS summary </w:t>
      </w:r>
      <w:r w:rsidRPr="00C31E8B">
        <w:rPr>
          <w:color w:val="000000" w:themeColor="text1"/>
          <w:lang w:val="en-GB"/>
        </w:rPr>
        <w:t xml:space="preserve">statistics </w:t>
      </w:r>
      <w:bookmarkStart w:id="60" w:name="31bmsl3iag4e" w:colFirst="0" w:colLast="0"/>
      <w:bookmarkEnd w:id="60"/>
      <w:r w:rsidRPr="00C31E8B">
        <w:rPr>
          <w:color w:val="000000" w:themeColor="text1"/>
          <w:lang w:val="en-GB"/>
        </w:rPr>
        <w:t>(</w:t>
      </w:r>
      <w:hyperlink w:anchor="osf1l9j6od77">
        <w:r w:rsidR="006D380D" w:rsidRPr="00C31E8B">
          <w:rPr>
            <w:color w:val="000000" w:themeColor="text1"/>
            <w:lang w:val="en-GB"/>
          </w:rPr>
          <w:t>Supplementary Table </w:t>
        </w:r>
      </w:hyperlink>
      <w:r w:rsidR="00F773FE" w:rsidRPr="00C31E8B">
        <w:rPr>
          <w:color w:val="000000" w:themeColor="text1"/>
          <w:lang w:val="en-GB"/>
        </w:rPr>
        <w:t>1</w:t>
      </w:r>
      <w:r w:rsidRPr="00C31E8B">
        <w:rPr>
          <w:color w:val="000000" w:themeColor="text1"/>
          <w:lang w:val="en-GB"/>
        </w:rPr>
        <w:t xml:space="preserve">), we identified </w:t>
      </w:r>
      <w:r w:rsidRPr="008C12C7">
        <w:rPr>
          <w:color w:val="000000"/>
          <w:lang w:val="en-GB"/>
        </w:rPr>
        <w:t xml:space="preserve">strong association signals at the </w:t>
      </w:r>
      <w:r w:rsidRPr="008C12C7">
        <w:rPr>
          <w:i/>
          <w:iCs/>
          <w:color w:val="000000"/>
          <w:lang w:val="en-GB"/>
        </w:rPr>
        <w:t>NLRP3</w:t>
      </w:r>
      <w:r w:rsidRPr="008C12C7">
        <w:rPr>
          <w:color w:val="000000"/>
          <w:lang w:val="en-GB"/>
        </w:rPr>
        <w:t xml:space="preserve"> locus with whole-blood </w:t>
      </w:r>
      <w:r w:rsidRPr="008C12C7">
        <w:rPr>
          <w:i/>
          <w:iCs/>
          <w:color w:val="000000"/>
          <w:lang w:val="en-GB"/>
        </w:rPr>
        <w:t>NLRP3</w:t>
      </w:r>
      <w:r w:rsidRPr="008C12C7">
        <w:rPr>
          <w:color w:val="000000"/>
          <w:lang w:val="en-GB"/>
        </w:rPr>
        <w:t xml:space="preserve"> expression (rs58546652, </w:t>
      </w:r>
      <w:r w:rsidR="00BD1F45" w:rsidRPr="00BD1F45">
        <w:rPr>
          <w:i/>
          <w:iCs/>
          <w:color w:val="000000"/>
          <w:lang w:val="en-GB"/>
        </w:rPr>
        <w:t>P</w:t>
      </w:r>
      <w:r w:rsidR="00AC040C">
        <w:rPr>
          <w:i/>
          <w:iCs/>
          <w:color w:val="000000"/>
          <w:lang w:val="en-GB"/>
        </w:rPr>
        <w:t xml:space="preserve"> </w:t>
      </w:r>
      <w:r w:rsidR="00BD1F45" w:rsidRPr="00BD1F45">
        <w:rPr>
          <w:color w:val="000000"/>
          <w:lang w:val="en-GB"/>
        </w:rPr>
        <w:t>=</w:t>
      </w:r>
      <w:r w:rsidR="00AC040C">
        <w:rPr>
          <w:color w:val="000000"/>
          <w:lang w:val="en-GB"/>
        </w:rPr>
        <w:t xml:space="preserve"> </w:t>
      </w:r>
      <w:r w:rsidR="00BD1F45" w:rsidRPr="00BD1F45">
        <w:rPr>
          <w:color w:val="000000"/>
          <w:lang w:val="en-GB"/>
        </w:rPr>
        <w:t>1.04×10</w:t>
      </w:r>
      <w:r w:rsidR="00BD1F45">
        <w:rPr>
          <w:color w:val="000000"/>
          <w:vertAlign w:val="superscript"/>
          <w:lang w:val="en-GB"/>
        </w:rPr>
        <w:t>-58</w:t>
      </w:r>
      <w:r w:rsidRPr="008C12C7">
        <w:rPr>
          <w:color w:val="000000"/>
          <w:lang w:val="en-GB"/>
        </w:rPr>
        <w:t>,</w:t>
      </w:r>
      <w:r w:rsidR="00BD1F45" w:rsidRPr="00BD1F45">
        <w:t xml:space="preserve"> </w:t>
      </w:r>
      <w:r w:rsidR="00BD1F45" w:rsidRPr="00BD1F45">
        <w:rPr>
          <w:i/>
          <w:iCs/>
          <w:color w:val="000000"/>
          <w:lang w:val="en-GB"/>
        </w:rPr>
        <w:t>n</w:t>
      </w:r>
      <w:r w:rsidR="00AC040C">
        <w:rPr>
          <w:i/>
          <w:iCs/>
          <w:color w:val="000000"/>
          <w:lang w:val="en-GB"/>
        </w:rPr>
        <w:t xml:space="preserve"> </w:t>
      </w:r>
      <w:r w:rsidR="00BD1F45" w:rsidRPr="00BD1F45">
        <w:rPr>
          <w:color w:val="000000"/>
          <w:lang w:val="en-GB"/>
        </w:rPr>
        <w:t>=</w:t>
      </w:r>
      <w:r w:rsidR="00AC040C">
        <w:rPr>
          <w:color w:val="000000"/>
          <w:lang w:val="en-GB"/>
        </w:rPr>
        <w:t xml:space="preserve"> </w:t>
      </w:r>
      <w:r w:rsidR="00BD1F45" w:rsidRPr="00BD1F45">
        <w:rPr>
          <w:color w:val="000000"/>
          <w:lang w:val="en-GB"/>
        </w:rPr>
        <w:t>4,732</w:t>
      </w:r>
      <w:r w:rsidRPr="008C12C7">
        <w:rPr>
          <w:color w:val="000000"/>
          <w:lang w:val="en-GB"/>
        </w:rPr>
        <w:t xml:space="preserve">), circulating CRP levels (rs12239046, </w:t>
      </w:r>
      <w:r w:rsidR="00AC040C" w:rsidRPr="00AC040C">
        <w:rPr>
          <w:i/>
          <w:iCs/>
          <w:color w:val="000000"/>
          <w:lang w:val="en-GB"/>
        </w:rPr>
        <w:t>P</w:t>
      </w:r>
      <w:r w:rsidR="00AC040C">
        <w:rPr>
          <w:color w:val="000000"/>
          <w:lang w:val="en-GB"/>
        </w:rPr>
        <w:t xml:space="preserve"> </w:t>
      </w:r>
      <w:r w:rsidR="00AC040C" w:rsidRPr="00AC040C">
        <w:rPr>
          <w:color w:val="000000"/>
          <w:lang w:val="en-GB"/>
        </w:rPr>
        <w:t>=</w:t>
      </w:r>
      <w:r w:rsidR="00AC040C">
        <w:rPr>
          <w:color w:val="000000"/>
          <w:lang w:val="en-GB"/>
        </w:rPr>
        <w:t xml:space="preserve"> </w:t>
      </w:r>
      <w:r w:rsidR="00AC040C" w:rsidRPr="00AC040C">
        <w:rPr>
          <w:color w:val="000000"/>
          <w:lang w:val="en-GB"/>
        </w:rPr>
        <w:t>1.34×10</w:t>
      </w:r>
      <w:r w:rsidR="00AC040C">
        <w:rPr>
          <w:color w:val="000000"/>
          <w:vertAlign w:val="superscript"/>
          <w:lang w:val="en-GB"/>
        </w:rPr>
        <w:t>-87</w:t>
      </w:r>
      <w:r w:rsidRPr="008C12C7">
        <w:rPr>
          <w:color w:val="000000"/>
          <w:lang w:val="en-GB"/>
        </w:rPr>
        <w:t>,</w:t>
      </w:r>
      <w:r w:rsidR="00AC040C" w:rsidRPr="00AC040C">
        <w:t xml:space="preserve"> </w:t>
      </w:r>
      <w:r w:rsidR="00AC040C" w:rsidRPr="00AC040C">
        <w:rPr>
          <w:i/>
          <w:iCs/>
          <w:color w:val="000000"/>
          <w:lang w:val="en-GB"/>
        </w:rPr>
        <w:t>n</w:t>
      </w:r>
      <w:r w:rsidR="00AC040C">
        <w:rPr>
          <w:color w:val="000000"/>
          <w:lang w:val="en-GB"/>
        </w:rPr>
        <w:t xml:space="preserve"> </w:t>
      </w:r>
      <w:r w:rsidR="00AC040C" w:rsidRPr="00AC040C">
        <w:rPr>
          <w:color w:val="000000"/>
          <w:lang w:val="en-GB"/>
        </w:rPr>
        <w:t>=</w:t>
      </w:r>
      <w:r w:rsidR="00AC040C">
        <w:rPr>
          <w:color w:val="000000"/>
          <w:lang w:val="en-GB"/>
        </w:rPr>
        <w:t xml:space="preserve"> </w:t>
      </w:r>
      <w:r w:rsidR="00AC040C" w:rsidRPr="00AC040C">
        <w:rPr>
          <w:color w:val="000000"/>
          <w:lang w:val="en-GB"/>
        </w:rPr>
        <w:t>575,531</w:t>
      </w:r>
      <w:r w:rsidRPr="008C12C7">
        <w:rPr>
          <w:color w:val="000000"/>
          <w:lang w:val="en-GB"/>
        </w:rPr>
        <w:t xml:space="preserve">), </w:t>
      </w:r>
      <w:proofErr w:type="spellStart"/>
      <w:r w:rsidRPr="008C12C7">
        <w:rPr>
          <w:color w:val="000000"/>
          <w:lang w:val="en-GB"/>
        </w:rPr>
        <w:t>GlycA</w:t>
      </w:r>
      <w:proofErr w:type="spellEnd"/>
      <w:r w:rsidRPr="008C12C7">
        <w:rPr>
          <w:color w:val="000000"/>
          <w:lang w:val="en-GB"/>
        </w:rPr>
        <w:t xml:space="preserve"> concentrations (rs56188865, </w:t>
      </w:r>
      <w:r w:rsidR="007E1339" w:rsidRPr="007E1339">
        <w:rPr>
          <w:i/>
          <w:iCs/>
          <w:color w:val="000000"/>
          <w:lang w:val="en-GB"/>
        </w:rPr>
        <w:t>P</w:t>
      </w:r>
      <w:r w:rsidR="007E1339">
        <w:rPr>
          <w:color w:val="000000"/>
          <w:lang w:val="en-GB"/>
        </w:rPr>
        <w:t xml:space="preserve"> </w:t>
      </w:r>
      <w:r w:rsidR="007E1339" w:rsidRPr="007E1339">
        <w:rPr>
          <w:color w:val="000000"/>
          <w:lang w:val="en-GB"/>
        </w:rPr>
        <w:t>=</w:t>
      </w:r>
      <w:r w:rsidR="007E1339">
        <w:rPr>
          <w:color w:val="000000"/>
          <w:lang w:val="en-GB"/>
        </w:rPr>
        <w:t xml:space="preserve"> </w:t>
      </w:r>
      <w:r w:rsidR="007E1339" w:rsidRPr="007E1339">
        <w:rPr>
          <w:color w:val="000000"/>
          <w:lang w:val="en-GB"/>
        </w:rPr>
        <w:t>4.7×10</w:t>
      </w:r>
      <w:r w:rsidR="007E1339">
        <w:rPr>
          <w:color w:val="000000"/>
          <w:vertAlign w:val="superscript"/>
          <w:lang w:val="en-GB"/>
        </w:rPr>
        <w:t>-28</w:t>
      </w:r>
      <w:r w:rsidRPr="008C12C7">
        <w:rPr>
          <w:color w:val="000000"/>
          <w:lang w:val="en-GB"/>
        </w:rPr>
        <w:t>,</w:t>
      </w:r>
      <w:r w:rsidR="007E1339" w:rsidRPr="007E1339">
        <w:t xml:space="preserve"> </w:t>
      </w:r>
      <w:r w:rsidR="007E1339" w:rsidRPr="007E1339">
        <w:rPr>
          <w:i/>
          <w:iCs/>
          <w:color w:val="000000"/>
          <w:lang w:val="en-GB"/>
        </w:rPr>
        <w:t>n</w:t>
      </w:r>
      <w:r w:rsidR="007E1339">
        <w:rPr>
          <w:color w:val="000000"/>
          <w:lang w:val="en-GB"/>
        </w:rPr>
        <w:t xml:space="preserve"> </w:t>
      </w:r>
      <w:r w:rsidR="007E1339" w:rsidRPr="007E1339">
        <w:rPr>
          <w:color w:val="000000"/>
          <w:lang w:val="en-GB"/>
        </w:rPr>
        <w:t>=</w:t>
      </w:r>
      <w:r w:rsidR="007E1339">
        <w:rPr>
          <w:color w:val="000000"/>
          <w:lang w:val="en-GB"/>
        </w:rPr>
        <w:t xml:space="preserve"> </w:t>
      </w:r>
      <w:r w:rsidR="007E1339" w:rsidRPr="007E1339">
        <w:rPr>
          <w:color w:val="000000"/>
          <w:lang w:val="en-GB"/>
        </w:rPr>
        <w:t>434,646</w:t>
      </w:r>
      <w:r w:rsidRPr="008C12C7">
        <w:rPr>
          <w:color w:val="000000"/>
          <w:lang w:val="en-GB"/>
        </w:rPr>
        <w:t xml:space="preserve">), and blood neutrophil count (rs56188865, </w:t>
      </w:r>
      <w:r w:rsidR="008F2E2B" w:rsidRPr="008F2E2B">
        <w:rPr>
          <w:i/>
          <w:iCs/>
          <w:color w:val="000000"/>
          <w:lang w:val="en-GB"/>
        </w:rPr>
        <w:t>P</w:t>
      </w:r>
      <w:r w:rsidR="008F2E2B">
        <w:rPr>
          <w:color w:val="000000"/>
          <w:lang w:val="en-GB"/>
        </w:rPr>
        <w:t xml:space="preserve"> </w:t>
      </w:r>
      <w:r w:rsidR="008F2E2B" w:rsidRPr="008F2E2B">
        <w:rPr>
          <w:color w:val="000000"/>
          <w:lang w:val="en-GB"/>
        </w:rPr>
        <w:t>=</w:t>
      </w:r>
      <w:r w:rsidR="008F2E2B">
        <w:rPr>
          <w:color w:val="000000"/>
          <w:lang w:val="en-GB"/>
        </w:rPr>
        <w:t xml:space="preserve"> </w:t>
      </w:r>
      <w:r w:rsidR="008F2E2B" w:rsidRPr="008F2E2B">
        <w:rPr>
          <w:color w:val="000000"/>
          <w:lang w:val="en-GB"/>
        </w:rPr>
        <w:t>1.93×10</w:t>
      </w:r>
      <w:r w:rsidR="008F2E2B">
        <w:rPr>
          <w:color w:val="000000"/>
          <w:vertAlign w:val="superscript"/>
          <w:lang w:val="en-GB"/>
        </w:rPr>
        <w:t>-43</w:t>
      </w:r>
      <w:r w:rsidRPr="008C12C7">
        <w:rPr>
          <w:color w:val="000000"/>
          <w:lang w:val="en-GB"/>
        </w:rPr>
        <w:t>,</w:t>
      </w:r>
      <w:r w:rsidR="008F2E2B">
        <w:rPr>
          <w:color w:val="000000"/>
          <w:lang w:val="en-GB"/>
        </w:rPr>
        <w:t xml:space="preserve"> </w:t>
      </w:r>
      <w:r w:rsidR="008F2E2B" w:rsidRPr="008F2E2B">
        <w:rPr>
          <w:i/>
          <w:iCs/>
          <w:color w:val="000000"/>
          <w:lang w:val="en-GB"/>
        </w:rPr>
        <w:t>n</w:t>
      </w:r>
      <w:r w:rsidR="008F2E2B">
        <w:rPr>
          <w:color w:val="000000"/>
          <w:lang w:val="en-GB"/>
        </w:rPr>
        <w:t xml:space="preserve"> </w:t>
      </w:r>
      <w:r w:rsidR="008F2E2B" w:rsidRPr="008F2E2B">
        <w:rPr>
          <w:color w:val="000000"/>
          <w:lang w:val="en-GB"/>
        </w:rPr>
        <w:t>=</w:t>
      </w:r>
      <w:r w:rsidR="008F2E2B">
        <w:rPr>
          <w:color w:val="000000"/>
          <w:lang w:val="en-GB"/>
        </w:rPr>
        <w:t xml:space="preserve"> </w:t>
      </w:r>
      <w:r w:rsidR="008F2E2B" w:rsidRPr="008F2E2B">
        <w:rPr>
          <w:color w:val="000000"/>
          <w:lang w:val="en-GB"/>
        </w:rPr>
        <w:t>519,288</w:t>
      </w:r>
      <w:r w:rsidRPr="008C12C7">
        <w:rPr>
          <w:color w:val="000000"/>
          <w:lang w:val="en-GB"/>
        </w:rPr>
        <w:t>) (</w:t>
      </w:r>
      <w:r w:rsidR="00A8366C">
        <w:t>Figure 2A</w:t>
      </w:r>
      <w:r w:rsidRPr="008C12C7">
        <w:rPr>
          <w:color w:val="000000"/>
          <w:lang w:val="en-GB"/>
        </w:rPr>
        <w:t xml:space="preserve">). Multi-trait colocalisation across </w:t>
      </w:r>
      <w:r w:rsidRPr="008C12C7">
        <w:rPr>
          <w:i/>
          <w:iCs/>
          <w:color w:val="000000"/>
          <w:lang w:val="en-GB"/>
        </w:rPr>
        <w:t>NLRP3</w:t>
      </w:r>
      <w:r w:rsidRPr="008C12C7">
        <w:rPr>
          <w:color w:val="000000"/>
          <w:lang w:val="en-GB"/>
        </w:rPr>
        <w:t xml:space="preserve"> expression and the three circulating inflammatory biomarkers showed strong evidence of a shared causal variant between the four traits (posterior probability = 0.97). No additional colocalising</w:t>
      </w:r>
      <w:r w:rsidR="00F25E22">
        <w:rPr>
          <w:color w:val="000000"/>
          <w:lang w:val="en-GB"/>
        </w:rPr>
        <w:t xml:space="preserve"> signals were observed in the flanking regions between 200 kb and 1 Mb on either side of </w:t>
      </w:r>
      <w:r w:rsidR="00F25E22">
        <w:rPr>
          <w:i/>
          <w:iCs/>
          <w:color w:val="000000"/>
          <w:lang w:val="en-GB"/>
        </w:rPr>
        <w:t>NLRP3</w:t>
      </w:r>
      <w:r w:rsidR="00F25E22">
        <w:rPr>
          <w:color w:val="000000"/>
          <w:lang w:val="en-GB"/>
        </w:rPr>
        <w:t xml:space="preserve">, indicating that the inflammatory biomarker associations shared across </w:t>
      </w:r>
      <w:r w:rsidR="000A0EFA">
        <w:rPr>
          <w:color w:val="000000"/>
          <w:lang w:val="en-GB"/>
        </w:rPr>
        <w:t>traits</w:t>
      </w:r>
      <w:r w:rsidR="00F25E22">
        <w:rPr>
          <w:color w:val="000000"/>
          <w:lang w:val="en-GB"/>
        </w:rPr>
        <w:t xml:space="preserve"> in this region are </w:t>
      </w:r>
      <w:bookmarkStart w:id="61" w:name="_Hlk241073379"/>
      <w:r w:rsidR="000A0EFA">
        <w:rPr>
          <w:color w:val="000000"/>
          <w:lang w:val="en-GB"/>
        </w:rPr>
        <w:t>centred</w:t>
      </w:r>
      <w:r w:rsidR="00F25E22">
        <w:rPr>
          <w:color w:val="000000"/>
          <w:lang w:val="en-GB"/>
        </w:rPr>
        <w:t xml:space="preserve"> </w:t>
      </w:r>
      <w:bookmarkEnd w:id="61"/>
      <w:r w:rsidR="00F25E22">
        <w:rPr>
          <w:color w:val="000000"/>
          <w:lang w:val="en-GB"/>
        </w:rPr>
        <w:t xml:space="preserve">on </w:t>
      </w:r>
      <w:r w:rsidR="00F25E22">
        <w:rPr>
          <w:i/>
          <w:iCs/>
          <w:color w:val="000000"/>
          <w:lang w:val="en-GB"/>
        </w:rPr>
        <w:t>NLRP3</w:t>
      </w:r>
      <w:r w:rsidR="00F25E22">
        <w:rPr>
          <w:color w:val="000000"/>
          <w:lang w:val="en-GB"/>
        </w:rPr>
        <w:t xml:space="preserve"> (Supplementary Figure 2). Together, </w:t>
      </w:r>
      <w:r w:rsidR="000A0EFA">
        <w:rPr>
          <w:color w:val="000000"/>
          <w:lang w:val="en-GB"/>
        </w:rPr>
        <w:t xml:space="preserve">these </w:t>
      </w:r>
      <w:r w:rsidR="00F25E22">
        <w:rPr>
          <w:color w:val="000000"/>
          <w:lang w:val="en-GB"/>
        </w:rPr>
        <w:t xml:space="preserve">findings </w:t>
      </w:r>
      <w:r w:rsidR="000A0EFA">
        <w:rPr>
          <w:color w:val="000000"/>
          <w:lang w:val="en-GB"/>
        </w:rPr>
        <w:t>support</w:t>
      </w:r>
      <w:r w:rsidR="0053314D">
        <w:rPr>
          <w:color w:val="000000"/>
          <w:lang w:val="en-GB"/>
        </w:rPr>
        <w:t xml:space="preserve"> </w:t>
      </w:r>
      <w:r w:rsidR="000A0EFA">
        <w:rPr>
          <w:color w:val="000000"/>
          <w:lang w:val="en-GB"/>
        </w:rPr>
        <w:t>coherent NLRP3</w:t>
      </w:r>
      <w:r w:rsidR="0053314D">
        <w:rPr>
          <w:color w:val="000000"/>
          <w:lang w:val="en-GB"/>
        </w:rPr>
        <w:t>-</w:t>
      </w:r>
      <w:r w:rsidR="000A0EFA">
        <w:rPr>
          <w:color w:val="000000"/>
          <w:lang w:val="en-GB"/>
        </w:rPr>
        <w:t xml:space="preserve">linked inflammatory signal at the locus and identify variants suitable for genetic instrument construction. </w:t>
      </w:r>
    </w:p>
    <w:p w14:paraId="3311F306" w14:textId="77777777" w:rsidR="00F25E22" w:rsidRDefault="00F25E22" w:rsidP="0073470D">
      <w:pPr>
        <w:pBdr>
          <w:top w:val="nil"/>
          <w:left w:val="nil"/>
          <w:bottom w:val="nil"/>
          <w:right w:val="nil"/>
          <w:between w:val="nil"/>
        </w:pBdr>
        <w:ind w:firstLine="0"/>
        <w:rPr>
          <w:color w:val="000000"/>
          <w:lang w:val="en-GB"/>
        </w:rPr>
      </w:pPr>
    </w:p>
    <w:p w14:paraId="2C7BF73E" w14:textId="790F5D00" w:rsidR="006D380D" w:rsidRPr="008C12C7" w:rsidRDefault="00000000">
      <w:pPr>
        <w:pStyle w:val="Heading2"/>
        <w:rPr>
          <w:lang w:val="en-GB"/>
        </w:rPr>
      </w:pPr>
      <w:bookmarkStart w:id="62" w:name="4hkkpyjkijon" w:colFirst="0" w:colLast="0"/>
      <w:bookmarkStart w:id="63" w:name="_3nwys9wggvm5" w:colFirst="0" w:colLast="0"/>
      <w:bookmarkStart w:id="64" w:name="_Hlk239002496"/>
      <w:bookmarkEnd w:id="62"/>
      <w:bookmarkEnd w:id="63"/>
      <w:r w:rsidRPr="008C12C7">
        <w:rPr>
          <w:lang w:val="en-GB"/>
        </w:rPr>
        <w:t>4.2. Genetic instrument selection and validation</w:t>
      </w:r>
    </w:p>
    <w:p w14:paraId="2AC8CE95" w14:textId="7C9A54DD" w:rsidR="006D380D" w:rsidRPr="008C12C7" w:rsidRDefault="00000000" w:rsidP="005007EB">
      <w:pPr>
        <w:pBdr>
          <w:top w:val="nil"/>
          <w:left w:val="nil"/>
          <w:bottom w:val="nil"/>
          <w:right w:val="nil"/>
          <w:between w:val="nil"/>
        </w:pBdr>
        <w:rPr>
          <w:color w:val="000000"/>
          <w:lang w:val="en-GB"/>
        </w:rPr>
      </w:pPr>
      <w:r w:rsidRPr="008C12C7">
        <w:rPr>
          <w:color w:val="000000"/>
          <w:lang w:val="en-GB"/>
        </w:rPr>
        <w:t xml:space="preserve">Because no single circulating biomarker specifically measures NLRP3 activity, we constructed a composite genetic exposure </w:t>
      </w:r>
      <w:r w:rsidR="00F33C69" w:rsidRPr="008C12C7">
        <w:rPr>
          <w:color w:val="000000"/>
          <w:lang w:val="en-GB"/>
        </w:rPr>
        <w:t xml:space="preserve">combining whole-blood </w:t>
      </w:r>
      <w:r w:rsidR="00F33C69" w:rsidRPr="00CC4675">
        <w:rPr>
          <w:i/>
          <w:iCs/>
          <w:color w:val="000000"/>
          <w:lang w:val="en-GB"/>
        </w:rPr>
        <w:t>NLRP3</w:t>
      </w:r>
      <w:r w:rsidR="00F33C69" w:rsidRPr="008C12C7">
        <w:rPr>
          <w:color w:val="000000"/>
          <w:lang w:val="en-GB"/>
        </w:rPr>
        <w:t xml:space="preserve"> expression with downstream circulating inflammatory readouts</w:t>
      </w:r>
      <w:r w:rsidRPr="008C12C7">
        <w:rPr>
          <w:color w:val="000000"/>
          <w:lang w:val="en-GB"/>
        </w:rPr>
        <w:t xml:space="preserve">. </w:t>
      </w:r>
      <w:r w:rsidR="005007EB">
        <w:rPr>
          <w:color w:val="000000"/>
          <w:lang w:val="en-GB"/>
        </w:rPr>
        <w:t xml:space="preserve">We identified genetic signals associated with at least two of the four traits </w:t>
      </w:r>
      <w:r w:rsidR="005007EB" w:rsidRPr="008C12C7">
        <w:rPr>
          <w:color w:val="000000"/>
          <w:lang w:val="en-GB"/>
        </w:rPr>
        <w:t>(</w:t>
      </w:r>
      <w:r w:rsidR="005007EB" w:rsidRPr="00713E55">
        <w:rPr>
          <w:i/>
          <w:iCs/>
          <w:color w:val="000000"/>
          <w:lang w:val="en-GB"/>
        </w:rPr>
        <w:t>P</w:t>
      </w:r>
      <w:r w:rsidR="005007EB">
        <w:rPr>
          <w:color w:val="000000"/>
          <w:lang w:val="en-GB"/>
        </w:rPr>
        <w:t xml:space="preserve"> </w:t>
      </w:r>
      <w:r w:rsidR="005007EB" w:rsidRPr="00713E55">
        <w:rPr>
          <w:color w:val="000000"/>
          <w:lang w:val="en-GB"/>
        </w:rPr>
        <w:t>&lt;</w:t>
      </w:r>
      <w:r w:rsidR="005007EB">
        <w:rPr>
          <w:color w:val="000000"/>
          <w:lang w:val="en-GB"/>
        </w:rPr>
        <w:t xml:space="preserve"> </w:t>
      </w:r>
      <w:r w:rsidR="005007EB" w:rsidRPr="00713E55">
        <w:rPr>
          <w:color w:val="000000"/>
          <w:lang w:val="en-GB"/>
        </w:rPr>
        <w:t>5×10</w:t>
      </w:r>
      <w:r w:rsidR="005007EB">
        <w:rPr>
          <w:color w:val="000000"/>
          <w:vertAlign w:val="superscript"/>
          <w:lang w:val="en-GB"/>
        </w:rPr>
        <w:t>-8</w:t>
      </w:r>
      <w:r w:rsidR="005007EB" w:rsidRPr="008C12C7">
        <w:rPr>
          <w:color w:val="000000"/>
          <w:lang w:val="en-GB"/>
        </w:rPr>
        <w:t>)</w:t>
      </w:r>
      <w:r w:rsidR="005007EB">
        <w:rPr>
          <w:color w:val="000000"/>
          <w:lang w:val="en-GB"/>
        </w:rPr>
        <w:t>. From these signals, we selected eight approximately independent variants (</w:t>
      </w:r>
      <w:r w:rsidR="00713E55" w:rsidRPr="005007EB">
        <w:rPr>
          <w:i/>
          <w:iCs/>
          <w:color w:val="000000"/>
          <w:lang w:val="en-GB"/>
        </w:rPr>
        <w:t>r</w:t>
      </w:r>
      <w:r w:rsidR="00713E55">
        <w:rPr>
          <w:color w:val="000000"/>
          <w:vertAlign w:val="superscript"/>
          <w:lang w:val="en-GB"/>
        </w:rPr>
        <w:t xml:space="preserve">2 </w:t>
      </w:r>
      <w:r w:rsidR="00713E55" w:rsidRPr="00713E55">
        <w:rPr>
          <w:color w:val="000000"/>
          <w:lang w:val="en-GB"/>
        </w:rPr>
        <w:t>&lt;</w:t>
      </w:r>
      <w:r w:rsidR="00713E55">
        <w:rPr>
          <w:color w:val="000000"/>
          <w:lang w:val="en-GB"/>
        </w:rPr>
        <w:t xml:space="preserve"> 0</w:t>
      </w:r>
      <w:r w:rsidR="00713E55" w:rsidRPr="00713E55">
        <w:rPr>
          <w:color w:val="000000"/>
          <w:lang w:val="en-GB"/>
        </w:rPr>
        <w:t>.1</w:t>
      </w:r>
      <w:r w:rsidR="005007EB">
        <w:rPr>
          <w:color w:val="000000"/>
          <w:lang w:val="en-GB"/>
        </w:rPr>
        <w:t xml:space="preserve">, </w:t>
      </w:r>
      <w:r w:rsidR="00564B62">
        <w:t>Supplementary Figure 1</w:t>
      </w:r>
      <w:r w:rsidRPr="008C12C7">
        <w:rPr>
          <w:color w:val="000000"/>
          <w:lang w:val="en-GB"/>
        </w:rPr>
        <w:t xml:space="preserve">). </w:t>
      </w:r>
      <w:r w:rsidR="003E5997" w:rsidRPr="003E5997">
        <w:rPr>
          <w:color w:val="000000"/>
          <w:lang w:val="en-GB"/>
        </w:rPr>
        <w:t>We then applied PCA to their effect estimates across the four traits. The first principal component explained 96.8% of the variation across the traits’ genetic associations. We used the weights derived from this component to combine these associations into the NLRP3 activity score</w:t>
      </w:r>
      <w:r w:rsidR="003E5997" w:rsidRPr="003E5997">
        <w:rPr>
          <w:color w:val="000000"/>
          <w:lang w:val="en-GB"/>
        </w:rPr>
        <w:t xml:space="preserve"> </w:t>
      </w:r>
      <w:r w:rsidRPr="008C12C7">
        <w:rPr>
          <w:color w:val="000000"/>
          <w:lang w:val="en-GB"/>
        </w:rPr>
        <w:t>(</w:t>
      </w:r>
      <w:r w:rsidR="000C072B">
        <w:t>Figure 2B</w:t>
      </w:r>
      <w:r w:rsidRPr="00C31E8B">
        <w:rPr>
          <w:color w:val="000000" w:themeColor="text1"/>
          <w:lang w:val="en-GB"/>
        </w:rPr>
        <w:t xml:space="preserve">, </w:t>
      </w:r>
      <w:bookmarkStart w:id="65" w:name="87pl7djwy3hb" w:colFirst="0" w:colLast="0"/>
      <w:bookmarkEnd w:id="65"/>
      <w:r w:rsidR="00FF5BB4" w:rsidRPr="00C31E8B">
        <w:rPr>
          <w:color w:val="000000" w:themeColor="text1"/>
          <w:lang w:val="en-GB"/>
        </w:rPr>
        <w:t>Supplementary Table 5</w:t>
      </w:r>
      <w:r w:rsidRPr="00C31E8B">
        <w:rPr>
          <w:color w:val="000000" w:themeColor="text1"/>
          <w:lang w:val="en-GB"/>
        </w:rPr>
        <w:t>)</w:t>
      </w:r>
      <w:r w:rsidR="003E5997">
        <w:rPr>
          <w:color w:val="000000" w:themeColor="text1"/>
          <w:lang w:val="en-GB"/>
        </w:rPr>
        <w:t>, which served as the exposure in subsequent MR analyses.</w:t>
      </w:r>
      <w:bookmarkStart w:id="66" w:name="_Hlk240883859"/>
      <w:bookmarkStart w:id="67" w:name="_Hlk240570808"/>
      <w:r w:rsidRPr="008C12C7">
        <w:rPr>
          <w:lang w:val="en-GB"/>
        </w:rPr>
        <w:t xml:space="preserve"> </w:t>
      </w:r>
      <w:bookmarkEnd w:id="67"/>
      <w:r w:rsidR="009D1018" w:rsidRPr="009D1018">
        <w:rPr>
          <w:color w:val="000000"/>
          <w:lang w:val="en-GB"/>
        </w:rPr>
        <w:t xml:space="preserve">The eight variants explained 8.3% of the variance in </w:t>
      </w:r>
      <w:r w:rsidR="009D1018" w:rsidRPr="00570A02">
        <w:rPr>
          <w:i/>
          <w:iCs/>
          <w:color w:val="000000"/>
          <w:lang w:val="en-GB"/>
        </w:rPr>
        <w:t>NLRP3</w:t>
      </w:r>
      <w:r w:rsidR="009D1018" w:rsidRPr="009D1018">
        <w:rPr>
          <w:color w:val="000000"/>
          <w:lang w:val="en-GB"/>
        </w:rPr>
        <w:t xml:space="preserve"> expression, 0.11% in CRP, 0.046% in </w:t>
      </w:r>
      <w:proofErr w:type="spellStart"/>
      <w:r w:rsidR="009D1018" w:rsidRPr="009D1018">
        <w:rPr>
          <w:color w:val="000000"/>
          <w:lang w:val="en-GB"/>
        </w:rPr>
        <w:t>GlycA</w:t>
      </w:r>
      <w:proofErr w:type="spellEnd"/>
      <w:r w:rsidR="009D1018" w:rsidRPr="009D1018">
        <w:rPr>
          <w:color w:val="000000"/>
          <w:lang w:val="en-GB"/>
        </w:rPr>
        <w:t>, and 0.064% in neutrophil count</w:t>
      </w:r>
      <w:bookmarkEnd w:id="66"/>
      <w:r w:rsidR="004F3B1E">
        <w:rPr>
          <w:color w:val="000000"/>
          <w:lang w:val="en-GB"/>
        </w:rPr>
        <w:t>, and the joint F-statistic for the score was 92.0.</w:t>
      </w:r>
      <w:r w:rsidR="00570A02">
        <w:rPr>
          <w:color w:val="000000"/>
          <w:lang w:val="en-GB"/>
        </w:rPr>
        <w:t xml:space="preserve"> </w:t>
      </w:r>
    </w:p>
    <w:p w14:paraId="74A9E16C" w14:textId="081CEF3C" w:rsidR="006D380D" w:rsidRPr="008C12C7" w:rsidRDefault="00000000">
      <w:pPr>
        <w:pBdr>
          <w:top w:val="nil"/>
          <w:left w:val="nil"/>
          <w:bottom w:val="nil"/>
          <w:right w:val="nil"/>
          <w:between w:val="nil"/>
        </w:pBdr>
        <w:ind w:firstLine="300"/>
        <w:rPr>
          <w:color w:val="000000"/>
          <w:lang w:val="en-GB"/>
        </w:rPr>
      </w:pPr>
      <w:r w:rsidRPr="008C12C7">
        <w:rPr>
          <w:color w:val="000000"/>
          <w:lang w:val="en-GB"/>
        </w:rPr>
        <w:t xml:space="preserve">To evaluate the NLRP3 activity score, we used two-sample MR to estimate its associations with downstream biomarkers. We first confirmed that a lower genetically proxied NLRP3 activity score was associated with </w:t>
      </w:r>
      <w:r w:rsidRPr="008C12C7">
        <w:rPr>
          <w:lang w:val="en-GB"/>
        </w:rPr>
        <w:t xml:space="preserve">lower </w:t>
      </w:r>
      <w:r w:rsidRPr="008C12C7">
        <w:rPr>
          <w:color w:val="000000"/>
          <w:lang w:val="en-GB"/>
        </w:rPr>
        <w:t xml:space="preserve">CRP, </w:t>
      </w:r>
      <w:proofErr w:type="spellStart"/>
      <w:r w:rsidRPr="008C12C7">
        <w:rPr>
          <w:color w:val="000000"/>
          <w:lang w:val="en-GB"/>
        </w:rPr>
        <w:t>GlycA</w:t>
      </w:r>
      <w:proofErr w:type="spellEnd"/>
      <w:r w:rsidRPr="008C12C7">
        <w:rPr>
          <w:color w:val="000000"/>
          <w:lang w:val="en-GB"/>
        </w:rPr>
        <w:t>, and neutrophil count, consistent with the score’s construction (</w:t>
      </w:r>
      <w:hyperlink w:anchor="fgps8o4xcr6m">
        <w:r w:rsidR="006D380D" w:rsidRPr="008C12C7">
          <w:rPr>
            <w:color w:val="000000"/>
            <w:lang w:val="en-GB"/>
          </w:rPr>
          <w:t>Figure 2</w:t>
        </w:r>
      </w:hyperlink>
      <w:r w:rsidRPr="008C12C7">
        <w:rPr>
          <w:color w:val="000000"/>
          <w:lang w:val="en-GB"/>
        </w:rPr>
        <w:t xml:space="preserve">C). We then tested associations with NLRP3-related cytokines that were not used in score construction. A lower genetically proxied NLRP3 activity score was associated with </w:t>
      </w:r>
      <w:r w:rsidRPr="008C12C7">
        <w:rPr>
          <w:lang w:val="en-GB"/>
        </w:rPr>
        <w:t xml:space="preserve">lower </w:t>
      </w:r>
      <w:r w:rsidRPr="008C12C7">
        <w:rPr>
          <w:color w:val="000000"/>
          <w:lang w:val="en-GB"/>
        </w:rPr>
        <w:t xml:space="preserve">circulating </w:t>
      </w:r>
      <w:r w:rsidRPr="008C12C7">
        <w:rPr>
          <w:lang w:val="en-GB"/>
        </w:rPr>
        <w:t>IL</w:t>
      </w:r>
      <w:r w:rsidR="00CD0B1A" w:rsidRPr="008C12C7">
        <w:rPr>
          <w:lang w:val="en-GB"/>
        </w:rPr>
        <w:t>-</w:t>
      </w:r>
      <w:r w:rsidRPr="008C12C7">
        <w:rPr>
          <w:lang w:val="en-GB"/>
        </w:rPr>
        <w:t>1β (</w:t>
      </w:r>
      <w:r w:rsidR="000C072B" w:rsidRPr="000C072B">
        <w:rPr>
          <w:i/>
          <w:iCs/>
          <w:lang w:val="en-GB"/>
        </w:rPr>
        <w:t>β</w:t>
      </w:r>
      <w:r w:rsidR="000C072B">
        <w:rPr>
          <w:lang w:val="en-GB"/>
        </w:rPr>
        <w:t xml:space="preserve"> </w:t>
      </w:r>
      <w:r w:rsidR="000C072B" w:rsidRPr="000C072B">
        <w:rPr>
          <w:lang w:val="en-GB"/>
        </w:rPr>
        <w:t>=</w:t>
      </w:r>
      <w:r w:rsidR="000C072B">
        <w:rPr>
          <w:lang w:val="en-GB"/>
        </w:rPr>
        <w:t xml:space="preserve"> </w:t>
      </w:r>
      <w:r w:rsidR="000C072B" w:rsidRPr="000C072B">
        <w:rPr>
          <w:lang w:val="en-GB"/>
        </w:rPr>
        <w:t>-0.25</w:t>
      </w:r>
      <w:r w:rsidRPr="008C12C7">
        <w:rPr>
          <w:lang w:val="en-GB"/>
        </w:rPr>
        <w:t xml:space="preserve">, 95% CI -0.49 to </w:t>
      </w:r>
      <w:r w:rsidR="001B05E7">
        <w:rPr>
          <w:lang w:val="en-GB"/>
        </w:rPr>
        <w:t>-</w:t>
      </w:r>
      <w:r w:rsidRPr="008C12C7">
        <w:rPr>
          <w:lang w:val="en-GB"/>
        </w:rPr>
        <w:t>0.00</w:t>
      </w:r>
      <w:r w:rsidR="001B05E7">
        <w:rPr>
          <w:lang w:val="en-GB"/>
        </w:rPr>
        <w:t>4</w:t>
      </w:r>
      <w:r w:rsidRPr="008C12C7">
        <w:rPr>
          <w:lang w:val="en-GB"/>
        </w:rPr>
        <w:t>,</w:t>
      </w:r>
      <w:r w:rsidR="000C072B" w:rsidRPr="000C072B">
        <w:t xml:space="preserve"> </w:t>
      </w:r>
      <w:r w:rsidR="000C072B" w:rsidRPr="000C072B">
        <w:rPr>
          <w:i/>
          <w:iCs/>
          <w:lang w:val="en-GB"/>
        </w:rPr>
        <w:t>P</w:t>
      </w:r>
      <w:r w:rsidR="000C072B">
        <w:rPr>
          <w:lang w:val="en-GB"/>
        </w:rPr>
        <w:t xml:space="preserve"> </w:t>
      </w:r>
      <w:r w:rsidR="000C072B" w:rsidRPr="000C072B">
        <w:rPr>
          <w:lang w:val="en-GB"/>
        </w:rPr>
        <w:t>=</w:t>
      </w:r>
      <w:r w:rsidR="000C072B">
        <w:rPr>
          <w:lang w:val="en-GB"/>
        </w:rPr>
        <w:t xml:space="preserve"> </w:t>
      </w:r>
      <w:r w:rsidR="000C072B" w:rsidRPr="000C072B">
        <w:rPr>
          <w:lang w:val="en-GB"/>
        </w:rPr>
        <w:t>0.046</w:t>
      </w:r>
      <w:r w:rsidRPr="008C12C7">
        <w:rPr>
          <w:lang w:val="en-GB"/>
        </w:rPr>
        <w:t>), IL</w:t>
      </w:r>
      <w:r w:rsidR="00CD0B1A" w:rsidRPr="008C12C7">
        <w:rPr>
          <w:lang w:val="en-GB"/>
        </w:rPr>
        <w:t>-</w:t>
      </w:r>
      <w:r w:rsidRPr="008C12C7">
        <w:rPr>
          <w:lang w:val="en-GB"/>
        </w:rPr>
        <w:t>18 (</w:t>
      </w:r>
      <w:r w:rsidR="00533BE0" w:rsidRPr="00533BE0">
        <w:rPr>
          <w:i/>
          <w:iCs/>
          <w:lang w:val="en-GB"/>
        </w:rPr>
        <w:t>β</w:t>
      </w:r>
      <w:r w:rsidR="00533BE0">
        <w:rPr>
          <w:lang w:val="en-GB"/>
        </w:rPr>
        <w:t xml:space="preserve"> </w:t>
      </w:r>
      <w:r w:rsidR="00533BE0" w:rsidRPr="00533BE0">
        <w:rPr>
          <w:lang w:val="en-GB"/>
        </w:rPr>
        <w:t>=</w:t>
      </w:r>
      <w:r w:rsidR="00533BE0">
        <w:rPr>
          <w:lang w:val="en-GB"/>
        </w:rPr>
        <w:t xml:space="preserve"> </w:t>
      </w:r>
      <w:r w:rsidR="00533BE0" w:rsidRPr="00533BE0">
        <w:rPr>
          <w:lang w:val="en-GB"/>
        </w:rPr>
        <w:t>-0.52</w:t>
      </w:r>
      <w:r w:rsidRPr="008C12C7">
        <w:rPr>
          <w:lang w:val="en-GB"/>
        </w:rPr>
        <w:t>, 95% CI -0.79 to -0.25,</w:t>
      </w:r>
      <w:r w:rsidR="00533BE0" w:rsidRPr="00533BE0">
        <w:t xml:space="preserve"> </w:t>
      </w:r>
      <w:r w:rsidR="00533BE0" w:rsidRPr="00533BE0">
        <w:rPr>
          <w:i/>
          <w:iCs/>
          <w:lang w:val="en-GB"/>
        </w:rPr>
        <w:t>P</w:t>
      </w:r>
      <w:r w:rsidR="00533BE0">
        <w:rPr>
          <w:lang w:val="en-GB"/>
        </w:rPr>
        <w:t xml:space="preserve"> </w:t>
      </w:r>
      <w:r w:rsidR="00533BE0" w:rsidRPr="00533BE0">
        <w:rPr>
          <w:lang w:val="en-GB"/>
        </w:rPr>
        <w:t>=</w:t>
      </w:r>
      <w:r w:rsidR="00533BE0">
        <w:rPr>
          <w:lang w:val="en-GB"/>
        </w:rPr>
        <w:t xml:space="preserve"> </w:t>
      </w:r>
      <w:r w:rsidR="00533BE0" w:rsidRPr="00533BE0">
        <w:rPr>
          <w:lang w:val="en-GB"/>
        </w:rPr>
        <w:t>0.00016</w:t>
      </w:r>
      <w:r w:rsidRPr="008C12C7">
        <w:rPr>
          <w:lang w:val="en-GB"/>
        </w:rPr>
        <w:t>) and IL</w:t>
      </w:r>
      <w:r w:rsidR="00CD0B1A" w:rsidRPr="008C12C7">
        <w:rPr>
          <w:lang w:val="en-GB"/>
        </w:rPr>
        <w:t>-</w:t>
      </w:r>
      <w:r w:rsidRPr="008C12C7">
        <w:rPr>
          <w:lang w:val="en-GB"/>
        </w:rPr>
        <w:t>6 (</w:t>
      </w:r>
      <w:r w:rsidR="00533E96" w:rsidRPr="003008A4">
        <w:rPr>
          <w:i/>
          <w:iCs/>
          <w:lang w:val="en-GB"/>
        </w:rPr>
        <w:t>β</w:t>
      </w:r>
      <w:r w:rsidR="00533E96" w:rsidRPr="003008A4">
        <w:rPr>
          <w:i/>
          <w:iCs/>
          <w:lang w:val="en-GB"/>
        </w:rPr>
        <w:t xml:space="preserve"> </w:t>
      </w:r>
      <w:r w:rsidR="00533E96" w:rsidRPr="00533E96">
        <w:rPr>
          <w:lang w:val="en-GB"/>
        </w:rPr>
        <w:t>=</w:t>
      </w:r>
      <w:r w:rsidR="00564B62">
        <w:rPr>
          <w:lang w:val="en-GB"/>
        </w:rPr>
        <w:t xml:space="preserve"> </w:t>
      </w:r>
      <w:r w:rsidR="00564B62">
        <w:rPr>
          <w:lang w:val="en-GB"/>
        </w:rPr>
        <w:noBreakHyphen/>
      </w:r>
      <w:r w:rsidR="00533E96" w:rsidRPr="00533E96">
        <w:rPr>
          <w:lang w:val="en-GB"/>
        </w:rPr>
        <w:t>0.72</w:t>
      </w:r>
      <w:r w:rsidRPr="008C12C7">
        <w:rPr>
          <w:lang w:val="en-GB"/>
        </w:rPr>
        <w:t>, 95% CI -0.95 to -0.48,</w:t>
      </w:r>
      <w:r w:rsidR="00BF4B8A" w:rsidRPr="00BF4B8A">
        <w:t xml:space="preserve"> </w:t>
      </w:r>
      <w:r w:rsidR="00BF4B8A" w:rsidRPr="00BF4B8A">
        <w:rPr>
          <w:i/>
          <w:iCs/>
          <w:lang w:val="en-GB"/>
        </w:rPr>
        <w:t>P</w:t>
      </w:r>
      <w:r w:rsidR="00BF4B8A">
        <w:rPr>
          <w:lang w:val="en-GB"/>
        </w:rPr>
        <w:t xml:space="preserve"> </w:t>
      </w:r>
      <w:r w:rsidR="00BF4B8A" w:rsidRPr="00BF4B8A">
        <w:rPr>
          <w:lang w:val="en-GB"/>
        </w:rPr>
        <w:t>=</w:t>
      </w:r>
      <w:r w:rsidR="00BF4B8A">
        <w:rPr>
          <w:lang w:val="en-GB"/>
        </w:rPr>
        <w:t xml:space="preserve"> </w:t>
      </w:r>
      <w:r w:rsidR="00BF4B8A" w:rsidRPr="00BF4B8A">
        <w:rPr>
          <w:lang w:val="en-GB"/>
        </w:rPr>
        <w:t>2.8×10</w:t>
      </w:r>
      <w:r w:rsidR="00BF4B8A">
        <w:rPr>
          <w:vertAlign w:val="superscript"/>
          <w:lang w:val="en-GB"/>
        </w:rPr>
        <w:t>-9</w:t>
      </w:r>
      <w:r w:rsidRPr="008C12C7">
        <w:rPr>
          <w:lang w:val="en-GB"/>
        </w:rPr>
        <w:t xml:space="preserve">). </w:t>
      </w:r>
      <w:r w:rsidRPr="008C12C7">
        <w:rPr>
          <w:color w:val="000000"/>
          <w:lang w:val="en-GB"/>
        </w:rPr>
        <w:t>Effect estimates were directionally consistent across IVW and weighted median estimat</w:t>
      </w:r>
      <w:r w:rsidRPr="00C31E8B">
        <w:rPr>
          <w:color w:val="000000" w:themeColor="text1"/>
          <w:lang w:val="en-GB"/>
        </w:rPr>
        <w:t xml:space="preserve">ors </w:t>
      </w:r>
      <w:bookmarkStart w:id="68" w:name="36wd94jjoj5f" w:colFirst="0" w:colLast="0"/>
      <w:bookmarkEnd w:id="68"/>
      <w:r w:rsidRPr="00C31E8B">
        <w:rPr>
          <w:color w:val="000000" w:themeColor="text1"/>
          <w:lang w:val="en-GB"/>
        </w:rPr>
        <w:t>(</w:t>
      </w:r>
      <w:r w:rsidR="008A3C88" w:rsidRPr="00C31E8B">
        <w:rPr>
          <w:color w:val="000000" w:themeColor="text1"/>
          <w:lang w:val="en-GB"/>
        </w:rPr>
        <w:t>Supplementary Table 6</w:t>
      </w:r>
      <w:r w:rsidRPr="00C31E8B">
        <w:rPr>
          <w:color w:val="000000" w:themeColor="text1"/>
          <w:lang w:val="en-GB"/>
        </w:rPr>
        <w:t>).</w:t>
      </w:r>
      <w:r w:rsidR="00CD0B1A" w:rsidRPr="00C31E8B">
        <w:rPr>
          <w:color w:val="000000" w:themeColor="text1"/>
          <w:lang w:val="en-GB"/>
        </w:rPr>
        <w:t xml:space="preserve"> Tog</w:t>
      </w:r>
      <w:r w:rsidR="00CD0B1A" w:rsidRPr="008C12C7">
        <w:rPr>
          <w:color w:val="000000"/>
          <w:lang w:val="en-GB"/>
        </w:rPr>
        <w:t>ether, these findings support the NLRP3 activity score as capturing the expected downstream inflammatory consequences of lower NLRP3 activity.</w:t>
      </w:r>
    </w:p>
    <w:p w14:paraId="3439EE63" w14:textId="77777777" w:rsidR="006D380D" w:rsidRPr="008C12C7" w:rsidRDefault="00000000">
      <w:pPr>
        <w:pStyle w:val="Heading2"/>
        <w:rPr>
          <w:lang w:val="en-GB"/>
        </w:rPr>
      </w:pPr>
      <w:bookmarkStart w:id="69" w:name="2fp63jwjnra3" w:colFirst="0" w:colLast="0"/>
      <w:bookmarkStart w:id="70" w:name="_osmx24xnq5ob" w:colFirst="0" w:colLast="0"/>
      <w:bookmarkStart w:id="71" w:name="_Hlk240388778"/>
      <w:bookmarkEnd w:id="64"/>
      <w:bookmarkEnd w:id="69"/>
      <w:bookmarkEnd w:id="70"/>
      <w:r w:rsidRPr="008C12C7">
        <w:rPr>
          <w:lang w:val="en-GB"/>
        </w:rPr>
        <w:t>4.3. Association of the NLRP3 activity score with coronary artery disease risk</w:t>
      </w:r>
    </w:p>
    <w:p w14:paraId="2D7B1313" w14:textId="4307360B" w:rsidR="006D380D" w:rsidRPr="008C12C7" w:rsidRDefault="00000000">
      <w:pPr>
        <w:pBdr>
          <w:top w:val="nil"/>
          <w:left w:val="nil"/>
          <w:bottom w:val="nil"/>
          <w:right w:val="nil"/>
          <w:between w:val="nil"/>
        </w:pBdr>
        <w:rPr>
          <w:lang w:val="en-GB"/>
        </w:rPr>
      </w:pPr>
      <w:r w:rsidRPr="008C12C7">
        <w:rPr>
          <w:color w:val="000000"/>
          <w:lang w:val="en-GB"/>
        </w:rPr>
        <w:t xml:space="preserve">We performed two-sample MR to estimate the association between the genetically proxied NLRP3 activity score and CAD risk using a fixed-effect meta-analysis of </w:t>
      </w:r>
      <w:r w:rsidR="007B4D19" w:rsidRPr="008C12C7">
        <w:rPr>
          <w:color w:val="000000"/>
          <w:lang w:val="en-GB"/>
        </w:rPr>
        <w:t>four</w:t>
      </w:r>
      <w:r w:rsidRPr="008C12C7">
        <w:rPr>
          <w:color w:val="000000"/>
          <w:lang w:val="en-GB"/>
        </w:rPr>
        <w:t xml:space="preserve"> large European-ancestry GWAS datasets, comprising 3</w:t>
      </w:r>
      <w:r w:rsidR="007B4D19" w:rsidRPr="008C12C7">
        <w:rPr>
          <w:color w:val="000000"/>
          <w:lang w:val="en-GB"/>
        </w:rPr>
        <w:t>88</w:t>
      </w:r>
      <w:r w:rsidRPr="008C12C7">
        <w:rPr>
          <w:color w:val="000000"/>
          <w:lang w:val="en-GB"/>
        </w:rPr>
        <w:t>,</w:t>
      </w:r>
      <w:r w:rsidR="007B4D19" w:rsidRPr="008C12C7">
        <w:rPr>
          <w:color w:val="000000"/>
          <w:lang w:val="en-GB"/>
        </w:rPr>
        <w:t>987</w:t>
      </w:r>
      <w:r w:rsidRPr="008C12C7">
        <w:rPr>
          <w:color w:val="000000"/>
          <w:lang w:val="en-GB"/>
        </w:rPr>
        <w:t xml:space="preserve"> cases and 1</w:t>
      </w:r>
      <w:r w:rsidR="007B4D19" w:rsidRPr="008C12C7">
        <w:rPr>
          <w:color w:val="000000"/>
          <w:lang w:val="en-GB"/>
        </w:rPr>
        <w:t>,850</w:t>
      </w:r>
      <w:r w:rsidRPr="008C12C7">
        <w:rPr>
          <w:color w:val="000000"/>
          <w:lang w:val="en-GB"/>
        </w:rPr>
        <w:t>,</w:t>
      </w:r>
      <w:r w:rsidR="007B4D19" w:rsidRPr="008C12C7">
        <w:rPr>
          <w:color w:val="000000"/>
          <w:lang w:val="en-GB"/>
        </w:rPr>
        <w:t>685</w:t>
      </w:r>
      <w:r w:rsidRPr="008C12C7">
        <w:rPr>
          <w:color w:val="000000"/>
          <w:lang w:val="en-GB"/>
        </w:rPr>
        <w:t xml:space="preserve"> controls. Despite being associated with lower inflammatory biomarkers, a lower NLRP3 activity score was associated with higher CAD risk (OR</w:t>
      </w:r>
      <w:r w:rsidR="00E17B3C">
        <w:rPr>
          <w:color w:val="000000"/>
          <w:lang w:val="en-GB"/>
        </w:rPr>
        <w:t xml:space="preserve"> </w:t>
      </w:r>
      <w:r w:rsidRPr="008C12C7">
        <w:rPr>
          <w:color w:val="000000"/>
          <w:lang w:val="en-GB"/>
        </w:rPr>
        <w:t>=</w:t>
      </w:r>
      <w:r w:rsidR="00E17B3C">
        <w:rPr>
          <w:color w:val="000000"/>
          <w:lang w:val="en-GB"/>
        </w:rPr>
        <w:t xml:space="preserve"> </w:t>
      </w:r>
      <w:r w:rsidRPr="008C12C7">
        <w:rPr>
          <w:color w:val="000000"/>
          <w:lang w:val="en-GB"/>
        </w:rPr>
        <w:t>1.2</w:t>
      </w:r>
      <w:r w:rsidR="007B4D19" w:rsidRPr="008C12C7">
        <w:rPr>
          <w:color w:val="000000"/>
          <w:lang w:val="en-GB"/>
        </w:rPr>
        <w:t>1</w:t>
      </w:r>
      <w:r w:rsidRPr="008C12C7">
        <w:rPr>
          <w:color w:val="000000"/>
          <w:lang w:val="en-GB"/>
        </w:rPr>
        <w:t>, 95% CI 1.0</w:t>
      </w:r>
      <w:r w:rsidR="007B4D19" w:rsidRPr="008C12C7">
        <w:rPr>
          <w:color w:val="000000"/>
          <w:lang w:val="en-GB"/>
        </w:rPr>
        <w:t>2</w:t>
      </w:r>
      <w:r w:rsidRPr="008C12C7">
        <w:rPr>
          <w:color w:val="000000"/>
          <w:lang w:val="en-GB"/>
        </w:rPr>
        <w:t xml:space="preserve"> to 1.4</w:t>
      </w:r>
      <w:r w:rsidR="007B4D19" w:rsidRPr="008C12C7">
        <w:rPr>
          <w:color w:val="000000"/>
          <w:lang w:val="en-GB"/>
        </w:rPr>
        <w:t>5</w:t>
      </w:r>
      <w:r w:rsidRPr="008C12C7">
        <w:rPr>
          <w:color w:val="000000"/>
          <w:lang w:val="en-GB"/>
        </w:rPr>
        <w:t>,</w:t>
      </w:r>
      <w:r w:rsidR="00FE5CC8" w:rsidRPr="00FE5CC8">
        <w:t xml:space="preserve"> </w:t>
      </w:r>
      <w:r w:rsidR="00FE5CC8" w:rsidRPr="00FE5CC8">
        <w:rPr>
          <w:i/>
          <w:iCs/>
          <w:color w:val="000000"/>
          <w:lang w:val="en-GB"/>
        </w:rPr>
        <w:t>P</w:t>
      </w:r>
      <w:r w:rsidR="00FE5CC8">
        <w:rPr>
          <w:color w:val="000000"/>
          <w:lang w:val="en-GB"/>
        </w:rPr>
        <w:t xml:space="preserve"> </w:t>
      </w:r>
      <w:r w:rsidR="00FE5CC8" w:rsidRPr="00FE5CC8">
        <w:rPr>
          <w:color w:val="000000"/>
          <w:lang w:val="en-GB"/>
        </w:rPr>
        <w:t>=</w:t>
      </w:r>
      <w:r w:rsidR="00FE5CC8">
        <w:rPr>
          <w:color w:val="000000"/>
          <w:lang w:val="en-GB"/>
        </w:rPr>
        <w:t xml:space="preserve"> </w:t>
      </w:r>
      <w:r w:rsidR="00FE5CC8" w:rsidRPr="00FE5CC8">
        <w:rPr>
          <w:color w:val="000000"/>
          <w:lang w:val="en-GB"/>
        </w:rPr>
        <w:t>0.032</w:t>
      </w:r>
      <w:r w:rsidRPr="008C12C7">
        <w:rPr>
          <w:color w:val="000000"/>
          <w:lang w:val="en-GB"/>
        </w:rPr>
        <w:t>) (</w:t>
      </w:r>
      <w:r w:rsidR="00F3139A">
        <w:rPr>
          <w:color w:val="000000"/>
          <w:lang w:val="en-GB"/>
        </w:rPr>
        <w:t xml:space="preserve">Figure </w:t>
      </w:r>
      <w:r w:rsidR="007A0A3E">
        <w:t>3A</w:t>
      </w:r>
      <w:r w:rsidRPr="008C12C7">
        <w:rPr>
          <w:color w:val="000000"/>
          <w:lang w:val="en-GB"/>
        </w:rPr>
        <w:t xml:space="preserve">). </w:t>
      </w:r>
      <w:bookmarkStart w:id="72" w:name="_Hlk240387807"/>
      <w:bookmarkStart w:id="73" w:name="_Hlk240570937"/>
      <w:r w:rsidRPr="008C12C7">
        <w:rPr>
          <w:color w:val="000000"/>
          <w:lang w:val="en-GB"/>
        </w:rPr>
        <w:t xml:space="preserve">Estimates were directionally concordant across </w:t>
      </w:r>
      <w:r w:rsidR="007B4D19" w:rsidRPr="008C12C7">
        <w:rPr>
          <w:color w:val="000000"/>
          <w:lang w:val="en-GB"/>
        </w:rPr>
        <w:t>all four</w:t>
      </w:r>
      <w:r w:rsidRPr="008C12C7">
        <w:rPr>
          <w:color w:val="000000"/>
          <w:lang w:val="en-GB"/>
        </w:rPr>
        <w:t xml:space="preserve"> contributing datasets and were preserved under the weighted median estimator</w:t>
      </w:r>
      <w:r w:rsidR="007B4D19" w:rsidRPr="008C12C7">
        <w:rPr>
          <w:lang w:val="en-GB"/>
        </w:rPr>
        <w:t xml:space="preserve"> </w:t>
      </w:r>
      <w:r w:rsidR="007B4D19" w:rsidRPr="008C12C7">
        <w:rPr>
          <w:color w:val="000000"/>
          <w:lang w:val="en-GB"/>
        </w:rPr>
        <w:t>(OR</w:t>
      </w:r>
      <w:r w:rsidR="00E17B3C">
        <w:rPr>
          <w:color w:val="000000"/>
          <w:lang w:val="en-GB"/>
        </w:rPr>
        <w:t xml:space="preserve"> </w:t>
      </w:r>
      <w:r w:rsidR="007B4D19" w:rsidRPr="008C12C7">
        <w:rPr>
          <w:color w:val="000000"/>
          <w:lang w:val="en-GB"/>
        </w:rPr>
        <w:t>=</w:t>
      </w:r>
      <w:r w:rsidR="00E17B3C">
        <w:rPr>
          <w:color w:val="000000"/>
          <w:lang w:val="en-GB"/>
        </w:rPr>
        <w:t xml:space="preserve"> </w:t>
      </w:r>
      <w:r w:rsidR="007B4D19" w:rsidRPr="008C12C7">
        <w:rPr>
          <w:color w:val="000000"/>
          <w:lang w:val="en-GB"/>
        </w:rPr>
        <w:t xml:space="preserve">1.23, 95% CI 1.06 to 1.42, </w:t>
      </w:r>
      <w:r w:rsidR="007B4D19" w:rsidRPr="00843516">
        <w:rPr>
          <w:i/>
          <w:iCs/>
          <w:color w:val="000000"/>
          <w:lang w:val="en-GB"/>
        </w:rPr>
        <w:t>P</w:t>
      </w:r>
      <w:r w:rsidR="00843516">
        <w:rPr>
          <w:color w:val="000000"/>
          <w:lang w:val="en-GB"/>
        </w:rPr>
        <w:t xml:space="preserve"> </w:t>
      </w:r>
      <w:r w:rsidR="007B4D19" w:rsidRPr="008C12C7">
        <w:rPr>
          <w:color w:val="000000"/>
          <w:lang w:val="en-GB"/>
        </w:rPr>
        <w:t>=</w:t>
      </w:r>
      <w:r w:rsidR="00843516">
        <w:rPr>
          <w:color w:val="000000"/>
          <w:lang w:val="en-GB"/>
        </w:rPr>
        <w:t xml:space="preserve"> </w:t>
      </w:r>
      <w:r w:rsidR="007B4D19" w:rsidRPr="008C12C7">
        <w:rPr>
          <w:color w:val="000000"/>
          <w:lang w:val="en-GB"/>
        </w:rPr>
        <w:t>0.005).</w:t>
      </w:r>
      <w:r w:rsidRPr="008C12C7">
        <w:rPr>
          <w:color w:val="000000"/>
          <w:lang w:val="en-GB"/>
        </w:rPr>
        <w:t xml:space="preserve"> </w:t>
      </w:r>
      <w:bookmarkStart w:id="74" w:name="_Hlk240387863"/>
      <w:bookmarkEnd w:id="72"/>
      <w:r w:rsidRPr="008C12C7">
        <w:rPr>
          <w:color w:val="000000"/>
          <w:lang w:val="en-GB"/>
        </w:rPr>
        <w:t>The MR-Egger intercept differed from zero (intercept</w:t>
      </w:r>
      <w:r w:rsidR="00981ECF">
        <w:rPr>
          <w:color w:val="000000"/>
          <w:lang w:val="en-GB"/>
        </w:rPr>
        <w:t xml:space="preserve"> </w:t>
      </w:r>
      <w:r w:rsidR="00981ECF" w:rsidRPr="00981ECF">
        <w:rPr>
          <w:color w:val="000000"/>
          <w:lang w:val="en-GB"/>
        </w:rPr>
        <w:t>=</w:t>
      </w:r>
      <w:r w:rsidR="00981ECF">
        <w:rPr>
          <w:color w:val="000000"/>
          <w:lang w:val="en-GB"/>
        </w:rPr>
        <w:t xml:space="preserve"> </w:t>
      </w:r>
      <w:r w:rsidR="00981ECF" w:rsidRPr="00981ECF">
        <w:rPr>
          <w:color w:val="000000"/>
          <w:lang w:val="en-GB"/>
        </w:rPr>
        <w:t>0.009</w:t>
      </w:r>
      <w:r w:rsidRPr="008C12C7">
        <w:rPr>
          <w:color w:val="000000"/>
          <w:lang w:val="en-GB"/>
        </w:rPr>
        <w:t xml:space="preserve">, 95% CI </w:t>
      </w:r>
      <w:r w:rsidR="00DF79DC" w:rsidRPr="008C12C7">
        <w:rPr>
          <w:color w:val="000000"/>
          <w:lang w:val="en-GB"/>
        </w:rPr>
        <w:t>0.002</w:t>
      </w:r>
      <w:r w:rsidRPr="008C12C7">
        <w:rPr>
          <w:color w:val="000000"/>
          <w:lang w:val="en-GB"/>
        </w:rPr>
        <w:t xml:space="preserve"> to</w:t>
      </w:r>
      <w:r w:rsidR="004B0B6A">
        <w:rPr>
          <w:color w:val="000000"/>
          <w:lang w:val="en-GB"/>
        </w:rPr>
        <w:t xml:space="preserve"> </w:t>
      </w:r>
      <w:r w:rsidR="004B0B6A" w:rsidRPr="004B0B6A">
        <w:rPr>
          <w:color w:val="000000"/>
          <w:lang w:val="en-GB"/>
        </w:rPr>
        <w:t>0.016</w:t>
      </w:r>
      <w:r w:rsidRPr="008C12C7">
        <w:rPr>
          <w:color w:val="000000"/>
          <w:lang w:val="en-GB"/>
        </w:rPr>
        <w:t>,</w:t>
      </w:r>
      <w:r w:rsidR="00981ECF" w:rsidRPr="00981ECF">
        <w:t xml:space="preserve"> </w:t>
      </w:r>
      <w:r w:rsidR="00981ECF" w:rsidRPr="00981ECF">
        <w:rPr>
          <w:i/>
          <w:iCs/>
          <w:color w:val="000000"/>
          <w:lang w:val="en-GB"/>
        </w:rPr>
        <w:t>P</w:t>
      </w:r>
      <w:r w:rsidR="00981ECF">
        <w:rPr>
          <w:color w:val="000000"/>
          <w:lang w:val="en-GB"/>
        </w:rPr>
        <w:t xml:space="preserve"> </w:t>
      </w:r>
      <w:r w:rsidR="00981ECF" w:rsidRPr="00981ECF">
        <w:rPr>
          <w:color w:val="000000"/>
          <w:lang w:val="en-GB"/>
        </w:rPr>
        <w:t>=</w:t>
      </w:r>
      <w:r w:rsidR="00981ECF">
        <w:rPr>
          <w:color w:val="000000"/>
          <w:lang w:val="en-GB"/>
        </w:rPr>
        <w:t xml:space="preserve"> </w:t>
      </w:r>
      <w:r w:rsidR="00981ECF" w:rsidRPr="00981ECF">
        <w:rPr>
          <w:color w:val="000000"/>
          <w:lang w:val="en-GB"/>
        </w:rPr>
        <w:t>0.018</w:t>
      </w:r>
      <w:r w:rsidRPr="008C12C7">
        <w:rPr>
          <w:color w:val="000000"/>
          <w:lang w:val="en-GB"/>
        </w:rPr>
        <w:t xml:space="preserve">), </w:t>
      </w:r>
      <w:bookmarkEnd w:id="73"/>
      <w:r w:rsidR="00093B53" w:rsidRPr="008C12C7">
        <w:rPr>
          <w:lang w:val="en-GB"/>
        </w:rPr>
        <w:t>indicating</w:t>
      </w:r>
      <w:r w:rsidRPr="008C12C7">
        <w:rPr>
          <w:lang w:val="en-GB"/>
        </w:rPr>
        <w:t xml:space="preserve"> </w:t>
      </w:r>
      <w:r w:rsidRPr="00C31E8B">
        <w:rPr>
          <w:color w:val="000000" w:themeColor="text1"/>
          <w:lang w:val="en-GB"/>
        </w:rPr>
        <w:t>that the variants’ effects on CAD are not fully proportional to their effect on the NLRP3 activity score</w:t>
      </w:r>
      <w:r w:rsidR="00C80BF0" w:rsidRPr="00C31E8B">
        <w:rPr>
          <w:color w:val="000000" w:themeColor="text1"/>
          <w:lang w:val="en-GB"/>
        </w:rPr>
        <w:t xml:space="preserve"> </w:t>
      </w:r>
      <w:bookmarkEnd w:id="74"/>
      <w:r w:rsidRPr="00C31E8B">
        <w:rPr>
          <w:color w:val="000000" w:themeColor="text1"/>
          <w:lang w:val="en-GB"/>
        </w:rPr>
        <w:t>(</w:t>
      </w:r>
      <w:r w:rsidR="00C80BF0" w:rsidRPr="00C31E8B">
        <w:rPr>
          <w:color w:val="000000" w:themeColor="text1"/>
          <w:lang w:val="en-GB"/>
        </w:rPr>
        <w:t>Supplementary Table 7</w:t>
      </w:r>
      <w:r w:rsidRPr="00C31E8B">
        <w:rPr>
          <w:color w:val="000000" w:themeColor="text1"/>
          <w:lang w:val="en-GB"/>
        </w:rPr>
        <w:t>).</w:t>
      </w:r>
      <w:r w:rsidR="00C80BF0" w:rsidRPr="00C31E8B">
        <w:rPr>
          <w:color w:val="000000" w:themeColor="text1"/>
          <w:lang w:val="en-GB"/>
        </w:rPr>
        <w:t xml:space="preserve"> </w:t>
      </w:r>
    </w:p>
    <w:p w14:paraId="1A099DE5" w14:textId="7A92EBEB" w:rsidR="00DF2D0E" w:rsidRPr="008C12C7" w:rsidRDefault="00DF2D0E">
      <w:pPr>
        <w:pBdr>
          <w:top w:val="nil"/>
          <w:left w:val="nil"/>
          <w:bottom w:val="nil"/>
          <w:right w:val="nil"/>
          <w:between w:val="nil"/>
        </w:pBdr>
        <w:rPr>
          <w:color w:val="000000"/>
          <w:lang w:val="en-GB"/>
        </w:rPr>
      </w:pPr>
      <w:r w:rsidRPr="008C12C7">
        <w:rPr>
          <w:lang w:val="en-GB"/>
        </w:rPr>
        <w:t xml:space="preserve">We next asked whether this association </w:t>
      </w:r>
      <w:r w:rsidR="00856C68" w:rsidRPr="008C12C7">
        <w:rPr>
          <w:lang w:val="en-GB"/>
        </w:rPr>
        <w:t>was also observed for</w:t>
      </w:r>
      <w:r w:rsidRPr="008C12C7">
        <w:rPr>
          <w:lang w:val="en-GB"/>
        </w:rPr>
        <w:t xml:space="preserve"> imaging-defined atherosclerosis in an independent population-based imaging cohort. A lower genetically proxied NLRP3 activity score was </w:t>
      </w:r>
      <w:r w:rsidRPr="008C12C7">
        <w:rPr>
          <w:lang w:val="en-GB"/>
        </w:rPr>
        <w:lastRenderedPageBreak/>
        <w:t>associated with higher coronary artery calcification (</w:t>
      </w:r>
      <w:r w:rsidRPr="00D0040B">
        <w:rPr>
          <w:i/>
          <w:iCs/>
          <w:lang w:val="en-GB"/>
        </w:rPr>
        <w:t>β</w:t>
      </w:r>
      <w:r w:rsidR="00D0040B">
        <w:rPr>
          <w:lang w:val="en-GB"/>
        </w:rPr>
        <w:t xml:space="preserve"> </w:t>
      </w:r>
      <w:r w:rsidRPr="008C12C7">
        <w:rPr>
          <w:lang w:val="en-GB"/>
        </w:rPr>
        <w:t>=</w:t>
      </w:r>
      <w:r w:rsidR="00D0040B">
        <w:rPr>
          <w:lang w:val="en-GB"/>
        </w:rPr>
        <w:t xml:space="preserve"> </w:t>
      </w:r>
      <w:r w:rsidRPr="008C12C7">
        <w:rPr>
          <w:lang w:val="en-GB"/>
        </w:rPr>
        <w:t xml:space="preserve">0.31, 95% CI 0.02 to 0.60, </w:t>
      </w:r>
      <w:r w:rsidRPr="00372E8A">
        <w:rPr>
          <w:i/>
          <w:iCs/>
          <w:lang w:val="en-GB"/>
        </w:rPr>
        <w:t>P</w:t>
      </w:r>
      <w:r w:rsidR="00372E8A">
        <w:rPr>
          <w:lang w:val="en-GB"/>
        </w:rPr>
        <w:t xml:space="preserve"> </w:t>
      </w:r>
      <w:r w:rsidRPr="008C12C7">
        <w:rPr>
          <w:lang w:val="en-GB"/>
        </w:rPr>
        <w:t>=</w:t>
      </w:r>
      <w:r w:rsidR="00372E8A">
        <w:rPr>
          <w:lang w:val="en-GB"/>
        </w:rPr>
        <w:t xml:space="preserve"> </w:t>
      </w:r>
      <w:r w:rsidRPr="008C12C7">
        <w:rPr>
          <w:lang w:val="en-GB"/>
        </w:rPr>
        <w:t>0.034) and higher coronary plaque burden, measured as the segment involvement score on CT angiography (</w:t>
      </w:r>
      <w:bookmarkStart w:id="75" w:name="_Hlk240394138"/>
      <w:r w:rsidR="003C75C5" w:rsidRPr="008C12C7">
        <w:rPr>
          <w:lang w:val="en-GB"/>
        </w:rPr>
        <w:t>proportional odds</w:t>
      </w:r>
      <w:r w:rsidR="0095703A">
        <w:rPr>
          <w:lang w:val="en-GB"/>
        </w:rPr>
        <w:t xml:space="preserve"> </w:t>
      </w:r>
      <w:r w:rsidR="003C75C5" w:rsidRPr="008C12C7">
        <w:rPr>
          <w:lang w:val="en-GB"/>
        </w:rPr>
        <w:t>ratio</w:t>
      </w:r>
      <w:bookmarkEnd w:id="75"/>
      <w:r w:rsidR="00143487">
        <w:rPr>
          <w:lang w:val="en-GB"/>
        </w:rPr>
        <w:t xml:space="preserve"> </w:t>
      </w:r>
      <w:r w:rsidRPr="008C12C7">
        <w:rPr>
          <w:lang w:val="en-GB"/>
        </w:rPr>
        <w:t>=</w:t>
      </w:r>
      <w:r w:rsidR="00143487">
        <w:rPr>
          <w:lang w:val="en-GB"/>
        </w:rPr>
        <w:t xml:space="preserve"> </w:t>
      </w:r>
      <w:r w:rsidRPr="008C12C7">
        <w:rPr>
          <w:lang w:val="en-GB"/>
        </w:rPr>
        <w:t xml:space="preserve">2.55, 95% CI 1.20 to 5.41, </w:t>
      </w:r>
      <w:r w:rsidRPr="009B184A">
        <w:rPr>
          <w:i/>
          <w:iCs/>
          <w:lang w:val="en-GB"/>
        </w:rPr>
        <w:t>P</w:t>
      </w:r>
      <w:r w:rsidR="009B184A">
        <w:rPr>
          <w:lang w:val="en-GB"/>
        </w:rPr>
        <w:t xml:space="preserve"> </w:t>
      </w:r>
      <w:r w:rsidRPr="008C12C7">
        <w:rPr>
          <w:lang w:val="en-GB"/>
        </w:rPr>
        <w:t>=</w:t>
      </w:r>
      <w:r w:rsidR="009B184A">
        <w:rPr>
          <w:lang w:val="en-GB"/>
        </w:rPr>
        <w:t xml:space="preserve"> </w:t>
      </w:r>
      <w:r w:rsidRPr="008C12C7">
        <w:rPr>
          <w:lang w:val="en-GB"/>
        </w:rPr>
        <w:t>0.015), with a directionally consistent but weaker association for carotid plaque (</w:t>
      </w:r>
      <w:r w:rsidR="003C75C5" w:rsidRPr="008C12C7">
        <w:rPr>
          <w:lang w:val="en-GB"/>
        </w:rPr>
        <w:t>proportional odds</w:t>
      </w:r>
      <w:r w:rsidR="0095703A">
        <w:rPr>
          <w:lang w:val="en-GB"/>
        </w:rPr>
        <w:t xml:space="preserve"> </w:t>
      </w:r>
      <w:r w:rsidR="003C75C5" w:rsidRPr="008C12C7">
        <w:rPr>
          <w:lang w:val="en-GB"/>
        </w:rPr>
        <w:t>ratio</w:t>
      </w:r>
      <w:r w:rsidR="00143487">
        <w:rPr>
          <w:lang w:val="en-GB"/>
        </w:rPr>
        <w:t xml:space="preserve"> </w:t>
      </w:r>
      <w:r w:rsidRPr="008C12C7">
        <w:rPr>
          <w:lang w:val="en-GB"/>
        </w:rPr>
        <w:t>=</w:t>
      </w:r>
      <w:r w:rsidR="00143487">
        <w:rPr>
          <w:lang w:val="en-GB"/>
        </w:rPr>
        <w:t xml:space="preserve"> </w:t>
      </w:r>
      <w:r w:rsidRPr="008C12C7">
        <w:rPr>
          <w:lang w:val="en-GB"/>
        </w:rPr>
        <w:t xml:space="preserve">1.88, 95% CI 0.96 to 3.68, </w:t>
      </w:r>
      <w:r w:rsidRPr="00143487">
        <w:rPr>
          <w:i/>
          <w:iCs/>
          <w:lang w:val="en-GB"/>
        </w:rPr>
        <w:t>P</w:t>
      </w:r>
      <w:r w:rsidR="00143487">
        <w:rPr>
          <w:lang w:val="en-GB"/>
        </w:rPr>
        <w:t xml:space="preserve"> </w:t>
      </w:r>
      <w:r w:rsidRPr="008C12C7">
        <w:rPr>
          <w:lang w:val="en-GB"/>
        </w:rPr>
        <w:t>=</w:t>
      </w:r>
      <w:r w:rsidR="00143487">
        <w:rPr>
          <w:lang w:val="en-GB"/>
        </w:rPr>
        <w:t xml:space="preserve"> </w:t>
      </w:r>
      <w:r w:rsidRPr="008C12C7">
        <w:rPr>
          <w:lang w:val="en-GB"/>
        </w:rPr>
        <w:t>0.066) (Figure 3B). The higher CAD risk associated with a lower NLRP3 activity score is therefore mirrored in imaging-defined atherosclerotic burden.</w:t>
      </w:r>
    </w:p>
    <w:p w14:paraId="659781D6" w14:textId="77777777" w:rsidR="006D380D" w:rsidRPr="008C12C7" w:rsidRDefault="00000000">
      <w:pPr>
        <w:pStyle w:val="Heading2"/>
        <w:rPr>
          <w:lang w:val="en-GB"/>
        </w:rPr>
      </w:pPr>
      <w:bookmarkStart w:id="76" w:name="ue2b4edtsvwc" w:colFirst="0" w:colLast="0"/>
      <w:bookmarkStart w:id="77" w:name="_frt4qyyaz7nc" w:colFirst="0" w:colLast="0"/>
      <w:bookmarkStart w:id="78" w:name="_Hlk239008379"/>
      <w:bookmarkEnd w:id="71"/>
      <w:bookmarkEnd w:id="76"/>
      <w:bookmarkEnd w:id="77"/>
      <w:r w:rsidRPr="008C12C7">
        <w:rPr>
          <w:lang w:val="en-GB"/>
        </w:rPr>
        <w:t>4.4. Mediation of the coronary artery disease association by cardiometabolic risk factors</w:t>
      </w:r>
    </w:p>
    <w:p w14:paraId="0EE7623C" w14:textId="01B1F24E" w:rsidR="00D3657C" w:rsidRPr="00C31E8B" w:rsidRDefault="00D3657C" w:rsidP="00067FEA">
      <w:pPr>
        <w:rPr>
          <w:color w:val="000000" w:themeColor="text1"/>
          <w:lang w:val="en-GB"/>
        </w:rPr>
      </w:pPr>
      <w:r w:rsidRPr="008C12C7">
        <w:rPr>
          <w:lang w:val="en-GB"/>
        </w:rPr>
        <w:t xml:space="preserve">To investigate potential mechanisms underlying the higher CAD risk, we examined associations of the NLRP3 activity score with established cardiometabolic </w:t>
      </w:r>
      <w:bookmarkStart w:id="79" w:name="_Hlk239008306"/>
      <w:r w:rsidRPr="008C12C7">
        <w:rPr>
          <w:lang w:val="en-GB"/>
        </w:rPr>
        <w:t>risk factors</w:t>
      </w:r>
      <w:bookmarkEnd w:id="79"/>
      <w:r w:rsidR="00067FEA" w:rsidRPr="008C12C7">
        <w:rPr>
          <w:lang w:val="en-GB"/>
        </w:rPr>
        <w:fldChar w:fldCharType="begin"/>
      </w:r>
      <w:r w:rsidR="003902DB">
        <w:rPr>
          <w:lang w:val="en-GB"/>
        </w:rPr>
        <w:instrText xml:space="preserve"> ADDIN ZOTERO_ITEM CSL_CITATION {"citationID":"pWYZ6qWR","properties":{"unsorted":false,"formattedCitation":"\\super 30,41\\nosupersub{}","plainCitation":"30,41","noteIndex":0},"citationItems":[{"id":67,"uris":["http://zotero.org/users/12564564/items/UX4TPJZV"],"itemData":{"id":67,"type":"article-journal","abstract":"Emerging evidence has spurred a considerable evolution of concepts relating to atherosclerosis, and has called into question many previous notions. Here I review this evidence, and discuss its implications for understanding of atherosclerosis. The risk of developing atherosclerosis is no longer concentrated in Western countries, and it is instead involved in the majority of deaths worldwide. Atherosclerosis now affects younger people, and more women and individuals from a diverse range of ethnic backgrounds, than was formerly the case. The risk factor profile has shifted as levels of low-density lipoprotein (LDL) cholesterol, blood pressure and smoking have decreased. Recent research has challenged the protective effects of high-density lipoprotein, and now focuses on triglyceride-rich lipoproteins in addition to low-density lipoprotein as causal in atherosclerosis. Non-traditional drivers of atherosclerosis—such as disturbed sleep, physical inactivity, the microbiome, air pollution and environmental stress—have also gained attention. Inflammatory pathways and leukocytes link traditional and emerging risk factors alike to the altered behaviour of arterial wall cells. Probing the pathogenesis of atherosclerosis has highlighted the role of the bone marrow: somatic mutations in stem cells can cause clonal haematopoiesis, which represents a previously unrecognized but common and potent age-related contributor to the risk of developing cardiovascular disease. Characterizations of the mechanisms that underpin thrombotic complications of atherosclerosis have evolved beyond the ‘vulnerable plaque’ concept. These advances in our understanding of the biology of atherosclerosis have opened avenues to therapeutic interventions that promise to improve the prevention and treatment of now-ubiquitous atherosclerotic diseases.","container-title":"Nature","DOI":"10.1038/s41586-021-03392-8","ISSN":"1476-4687","issue":"7855","language":"en","license":"2021 The Author(s), under exclusive licence to Springer Nature Limited","page":"524–533","title":"The changing landscape of atherosclerosis","volume":"592","author":[{"family":"Libby","given":"Peter"}],"issued":{"date-parts":[["2021",4]]}}},{"id":410,"uris":["http://zotero.org/users/12564564/items/W52YY6W3"],"itemData":{"id":410,"type":"article-journal","abstract":"Harmonized individual-level data from a global cohort showed that more than half the cases of incident cardiovascular disease and one fifth of deaths may be attributable to five modifiable risk factors.","container-title":"New England Journal of Medicine","DOI":"10.1056/NEJMoa2206916","ISSN":"0028-4793","issue":"14","note":"publisher: Massachusetts Medical Society\n_eprint: https://www.nejm.org/doi/pdf/10.1056/NEJMoa2206916","page":"1273-1285","source":"Taylor and Francis+NEJM","title":"Global Effect of Modifiable Risk Factors on Cardiovascular Disease and Mortality","volume":"389","author":[{"literal":"The Global Cardiovascular Risk Consortium"}],"issued":{"date-parts":[["2023",10,4]]}}}],"schema":"https://github.com/citation-style-language/schema/raw/master/csl-citation.json"} </w:instrText>
      </w:r>
      <w:r w:rsidR="00067FEA" w:rsidRPr="008C12C7">
        <w:rPr>
          <w:lang w:val="en-GB"/>
        </w:rPr>
        <w:fldChar w:fldCharType="separate"/>
      </w:r>
      <w:r w:rsidR="003902DB" w:rsidRPr="003902DB">
        <w:rPr>
          <w:szCs w:val="24"/>
          <w:vertAlign w:val="superscript"/>
          <w:lang w:val="en-GB"/>
        </w:rPr>
        <w:t>30,41</w:t>
      </w:r>
      <w:r w:rsidR="00067FEA" w:rsidRPr="008C12C7">
        <w:rPr>
          <w:lang w:val="en-GB"/>
        </w:rPr>
        <w:fldChar w:fldCharType="end"/>
      </w:r>
      <w:r w:rsidRPr="008C12C7">
        <w:rPr>
          <w:lang w:val="en-GB"/>
        </w:rPr>
        <w:t>. A lower genetically proxied NLRP3 activity score was associated with</w:t>
      </w:r>
      <w:r w:rsidR="00067FEA" w:rsidRPr="008C12C7">
        <w:rPr>
          <w:b/>
          <w:bCs/>
          <w:lang w:val="en-GB"/>
        </w:rPr>
        <w:t xml:space="preserve"> </w:t>
      </w:r>
      <w:r w:rsidR="00067FEA" w:rsidRPr="008C12C7">
        <w:rPr>
          <w:lang w:val="en-GB"/>
        </w:rPr>
        <w:t>several adverse cardiometabolic traits</w:t>
      </w:r>
      <w:r w:rsidRPr="008C12C7">
        <w:rPr>
          <w:lang w:val="en-GB"/>
        </w:rPr>
        <w:t>, including higher ApoB levels (β</w:t>
      </w:r>
      <w:r w:rsidR="00C341DB">
        <w:rPr>
          <w:lang w:val="en-GB"/>
        </w:rPr>
        <w:t xml:space="preserve"> </w:t>
      </w:r>
      <w:r w:rsidRPr="008C12C7">
        <w:rPr>
          <w:lang w:val="en-GB"/>
        </w:rPr>
        <w:t>=</w:t>
      </w:r>
      <w:r w:rsidR="00C341DB">
        <w:rPr>
          <w:lang w:val="en-GB"/>
        </w:rPr>
        <w:t xml:space="preserve"> </w:t>
      </w:r>
      <w:r w:rsidRPr="008C12C7">
        <w:rPr>
          <w:lang w:val="en-GB"/>
        </w:rPr>
        <w:t xml:space="preserve">0.14, 95% CI 0.06 to 0.22, </w:t>
      </w:r>
      <w:r w:rsidRPr="00C341DB">
        <w:rPr>
          <w:i/>
          <w:iCs/>
          <w:lang w:val="en-GB"/>
        </w:rPr>
        <w:t>P</w:t>
      </w:r>
      <w:r w:rsidR="00C341DB">
        <w:rPr>
          <w:lang w:val="en-GB"/>
        </w:rPr>
        <w:t xml:space="preserve"> </w:t>
      </w:r>
      <w:r w:rsidRPr="008C12C7">
        <w:rPr>
          <w:lang w:val="en-GB"/>
        </w:rPr>
        <w:t>=</w:t>
      </w:r>
      <w:r w:rsidR="00C341DB">
        <w:rPr>
          <w:lang w:val="en-GB"/>
        </w:rPr>
        <w:t xml:space="preserve"> </w:t>
      </w:r>
      <w:r w:rsidRPr="008C12C7">
        <w:rPr>
          <w:lang w:val="en-GB"/>
        </w:rPr>
        <w:t>0.0007</w:t>
      </w:r>
      <w:r w:rsidR="00086DCA">
        <w:rPr>
          <w:lang w:val="en-GB"/>
        </w:rPr>
        <w:t>8</w:t>
      </w:r>
      <w:r w:rsidRPr="008C12C7">
        <w:rPr>
          <w:lang w:val="en-GB"/>
        </w:rPr>
        <w:t>), higher SBP (</w:t>
      </w:r>
      <w:r w:rsidRPr="007540D7">
        <w:rPr>
          <w:i/>
          <w:iCs/>
          <w:lang w:val="en-GB"/>
        </w:rPr>
        <w:t>β</w:t>
      </w:r>
      <w:r w:rsidR="007540D7">
        <w:rPr>
          <w:lang w:val="en-GB"/>
        </w:rPr>
        <w:t xml:space="preserve"> </w:t>
      </w:r>
      <w:r w:rsidRPr="008C12C7">
        <w:rPr>
          <w:lang w:val="en-GB"/>
        </w:rPr>
        <w:t>=</w:t>
      </w:r>
      <w:r w:rsidR="007540D7">
        <w:rPr>
          <w:lang w:val="en-GB"/>
        </w:rPr>
        <w:t xml:space="preserve"> </w:t>
      </w:r>
      <w:r w:rsidRPr="008C12C7">
        <w:rPr>
          <w:lang w:val="en-GB"/>
        </w:rPr>
        <w:t xml:space="preserve">0.11, 95% CI 0.05 to 0.16, </w:t>
      </w:r>
      <w:r w:rsidRPr="0049311B">
        <w:rPr>
          <w:i/>
          <w:iCs/>
          <w:lang w:val="en-GB"/>
        </w:rPr>
        <w:t>P</w:t>
      </w:r>
      <w:r w:rsidR="0049311B">
        <w:rPr>
          <w:lang w:val="en-GB"/>
        </w:rPr>
        <w:t xml:space="preserve"> </w:t>
      </w:r>
      <w:r w:rsidRPr="008C12C7">
        <w:rPr>
          <w:lang w:val="en-GB"/>
        </w:rPr>
        <w:t>=</w:t>
      </w:r>
      <w:r w:rsidR="0049311B">
        <w:rPr>
          <w:lang w:val="en-GB"/>
        </w:rPr>
        <w:t xml:space="preserve"> </w:t>
      </w:r>
      <w:r w:rsidRPr="008C12C7">
        <w:rPr>
          <w:lang w:val="en-GB"/>
        </w:rPr>
        <w:t>0.00017), and higher T2D risk (OR</w:t>
      </w:r>
      <w:r w:rsidR="009C356B">
        <w:rPr>
          <w:lang w:val="en-GB"/>
        </w:rPr>
        <w:t xml:space="preserve"> </w:t>
      </w:r>
      <w:r w:rsidRPr="008C12C7">
        <w:rPr>
          <w:lang w:val="en-GB"/>
        </w:rPr>
        <w:t>=</w:t>
      </w:r>
      <w:r w:rsidR="009C356B">
        <w:rPr>
          <w:lang w:val="en-GB"/>
        </w:rPr>
        <w:t xml:space="preserve"> </w:t>
      </w:r>
      <w:r w:rsidRPr="008C12C7">
        <w:rPr>
          <w:lang w:val="en-GB"/>
        </w:rPr>
        <w:t xml:space="preserve">1.26, 95% CI 1.09 to 1.46, </w:t>
      </w:r>
      <w:r w:rsidRPr="009C356B">
        <w:rPr>
          <w:i/>
          <w:iCs/>
          <w:lang w:val="en-GB"/>
        </w:rPr>
        <w:t>P</w:t>
      </w:r>
      <w:r w:rsidR="009C356B">
        <w:rPr>
          <w:lang w:val="en-GB"/>
        </w:rPr>
        <w:t xml:space="preserve"> </w:t>
      </w:r>
      <w:r w:rsidRPr="008C12C7">
        <w:rPr>
          <w:lang w:val="en-GB"/>
        </w:rPr>
        <w:t>=</w:t>
      </w:r>
      <w:r w:rsidR="009C356B">
        <w:rPr>
          <w:lang w:val="en-GB"/>
        </w:rPr>
        <w:t xml:space="preserve"> </w:t>
      </w:r>
      <w:r w:rsidRPr="008C12C7">
        <w:rPr>
          <w:lang w:val="en-GB"/>
        </w:rPr>
        <w:t>0.002), but showed no association with body mass index (BMI), smoking, or alcohol consumption (Figure 3</w:t>
      </w:r>
      <w:r w:rsidR="009874AC">
        <w:rPr>
          <w:lang w:val="en-GB"/>
        </w:rPr>
        <w:t>C</w:t>
      </w:r>
      <w:r w:rsidRPr="00C31E8B">
        <w:rPr>
          <w:color w:val="000000" w:themeColor="text1"/>
          <w:lang w:val="en-GB"/>
        </w:rPr>
        <w:t xml:space="preserve">, Supplementary Table 8). To </w:t>
      </w:r>
      <w:r w:rsidRPr="008C12C7">
        <w:rPr>
          <w:lang w:val="en-GB"/>
        </w:rPr>
        <w:t>quantify how much of the association with higher CAD risk could be attributed to these cardiometabolic pathways, we performed mediation analysis using ApoB, SBP, and T2D as mediators, with each mediator-to-CAD effect estimated in mutually adjusted MVMR (Figure 3</w:t>
      </w:r>
      <w:r w:rsidR="009874AC">
        <w:rPr>
          <w:lang w:val="en-GB"/>
        </w:rPr>
        <w:t>D</w:t>
      </w:r>
      <w:r w:rsidRPr="008C12C7">
        <w:rPr>
          <w:lang w:val="en-GB"/>
        </w:rPr>
        <w:t xml:space="preserve">). </w:t>
      </w:r>
      <w:r w:rsidR="00812546" w:rsidRPr="00812546">
        <w:rPr>
          <w:lang w:val="en-GB"/>
        </w:rPr>
        <w:t>Conditional F-statistics were 15.4 for ApoB, 36.7 for SBP, and 37.2 for T2D, indicating strong instruments.</w:t>
      </w:r>
      <w:r w:rsidR="00812546">
        <w:rPr>
          <w:lang w:val="en-GB"/>
        </w:rPr>
        <w:t xml:space="preserve"> </w:t>
      </w:r>
      <w:r w:rsidR="009874AC" w:rsidRPr="009874AC">
        <w:rPr>
          <w:lang w:val="en-GB"/>
        </w:rPr>
        <w:t>Together, the mediators accounted for approximately 87% of the total association between a lower genetically proxied NLRP3 activity score and higher CAD risk, with the largest indirect effect attributable to SBP (OR</w:t>
      </w:r>
      <w:r w:rsidR="00065E96">
        <w:rPr>
          <w:lang w:val="en-GB"/>
        </w:rPr>
        <w:t xml:space="preserve"> </w:t>
      </w:r>
      <w:r w:rsidR="009874AC" w:rsidRPr="009874AC">
        <w:rPr>
          <w:lang w:val="en-GB"/>
        </w:rPr>
        <w:t>=</w:t>
      </w:r>
      <w:r w:rsidR="00065E96">
        <w:rPr>
          <w:lang w:val="en-GB"/>
        </w:rPr>
        <w:t xml:space="preserve"> </w:t>
      </w:r>
      <w:r w:rsidR="009874AC" w:rsidRPr="009874AC">
        <w:rPr>
          <w:lang w:val="en-GB"/>
        </w:rPr>
        <w:t>1.080, 95% CI 1.037 to 1.126) and smaller</w:t>
      </w:r>
      <w:r w:rsidR="009874AC">
        <w:rPr>
          <w:lang w:val="en-GB"/>
        </w:rPr>
        <w:t xml:space="preserve"> </w:t>
      </w:r>
      <w:r w:rsidR="009874AC" w:rsidRPr="009874AC">
        <w:rPr>
          <w:lang w:val="en-GB"/>
        </w:rPr>
        <w:t>contributions from ApoB (OR</w:t>
      </w:r>
      <w:r w:rsidR="00065E96">
        <w:rPr>
          <w:lang w:val="en-GB"/>
        </w:rPr>
        <w:t xml:space="preserve"> </w:t>
      </w:r>
      <w:r w:rsidR="009874AC" w:rsidRPr="009874AC">
        <w:rPr>
          <w:lang w:val="en-GB"/>
        </w:rPr>
        <w:t>=</w:t>
      </w:r>
      <w:r w:rsidR="00065E96">
        <w:rPr>
          <w:lang w:val="en-GB"/>
        </w:rPr>
        <w:t xml:space="preserve"> </w:t>
      </w:r>
      <w:r w:rsidR="009874AC" w:rsidRPr="009874AC">
        <w:rPr>
          <w:lang w:val="en-GB"/>
        </w:rPr>
        <w:t>1.047, 95% CI 1.017 to 1.079) and T2D (OR</w:t>
      </w:r>
      <w:r w:rsidR="00065E96">
        <w:rPr>
          <w:lang w:val="en-GB"/>
        </w:rPr>
        <w:t xml:space="preserve"> </w:t>
      </w:r>
      <w:r w:rsidR="009874AC" w:rsidRPr="009874AC">
        <w:rPr>
          <w:lang w:val="en-GB"/>
        </w:rPr>
        <w:t>=</w:t>
      </w:r>
      <w:r w:rsidR="00065E96">
        <w:rPr>
          <w:lang w:val="en-GB"/>
        </w:rPr>
        <w:t xml:space="preserve"> </w:t>
      </w:r>
      <w:r w:rsidR="009874AC" w:rsidRPr="009874AC">
        <w:rPr>
          <w:lang w:val="en-GB"/>
        </w:rPr>
        <w:t>1.045, 95% CI 1.015 to 1.075)</w:t>
      </w:r>
      <w:r w:rsidR="009874AC">
        <w:rPr>
          <w:lang w:val="en-GB"/>
        </w:rPr>
        <w:t xml:space="preserve"> (</w:t>
      </w:r>
      <w:r w:rsidRPr="008C12C7">
        <w:rPr>
          <w:lang w:val="en-GB"/>
        </w:rPr>
        <w:t>Figure 3</w:t>
      </w:r>
      <w:r w:rsidR="009874AC">
        <w:rPr>
          <w:lang w:val="en-GB"/>
        </w:rPr>
        <w:t>E</w:t>
      </w:r>
      <w:r w:rsidRPr="008C12C7">
        <w:rPr>
          <w:lang w:val="en-GB"/>
        </w:rPr>
        <w:t xml:space="preserve">). </w:t>
      </w:r>
      <w:r w:rsidR="002C3F3B" w:rsidRPr="002C3F3B">
        <w:rPr>
          <w:lang w:val="en-GB"/>
        </w:rPr>
        <w:t>After accounting for all three mediators, the association between lower genetically proxied NLRP3 activity and CAD risk was attenuated and no longer statistically significant (OR</w:t>
      </w:r>
      <w:r w:rsidR="00F751A6">
        <w:rPr>
          <w:lang w:val="en-GB"/>
        </w:rPr>
        <w:t xml:space="preserve"> </w:t>
      </w:r>
      <w:r w:rsidR="002C3F3B" w:rsidRPr="002C3F3B">
        <w:rPr>
          <w:lang w:val="en-GB"/>
        </w:rPr>
        <w:t>=</w:t>
      </w:r>
      <w:r w:rsidR="00F751A6">
        <w:rPr>
          <w:lang w:val="en-GB"/>
        </w:rPr>
        <w:t xml:space="preserve"> </w:t>
      </w:r>
      <w:r w:rsidR="002C3F3B" w:rsidRPr="002C3F3B">
        <w:rPr>
          <w:lang w:val="en-GB"/>
        </w:rPr>
        <w:t xml:space="preserve">1.026, 95% CI 0.85 to 1.24, </w:t>
      </w:r>
      <w:r w:rsidR="002C3F3B" w:rsidRPr="00065E96">
        <w:rPr>
          <w:i/>
          <w:iCs/>
          <w:lang w:val="en-GB"/>
        </w:rPr>
        <w:t>P</w:t>
      </w:r>
      <w:r w:rsidR="00065E96">
        <w:rPr>
          <w:lang w:val="en-GB"/>
        </w:rPr>
        <w:t xml:space="preserve"> </w:t>
      </w:r>
      <w:r w:rsidR="002C3F3B" w:rsidRPr="002C3F3B">
        <w:rPr>
          <w:lang w:val="en-GB"/>
        </w:rPr>
        <w:t>=</w:t>
      </w:r>
      <w:r w:rsidR="00065E96">
        <w:rPr>
          <w:lang w:val="en-GB"/>
        </w:rPr>
        <w:t xml:space="preserve"> </w:t>
      </w:r>
      <w:r w:rsidR="002C3F3B" w:rsidRPr="002C3F3B">
        <w:rPr>
          <w:lang w:val="en-GB"/>
        </w:rPr>
        <w:t xml:space="preserve">0.79) </w:t>
      </w:r>
      <w:r w:rsidRPr="00C31E8B">
        <w:rPr>
          <w:color w:val="000000" w:themeColor="text1"/>
          <w:lang w:val="en-GB"/>
        </w:rPr>
        <w:t>(Supplementary Table 9). Most of the higher CAD risk associated with a lower NLRP3 activity score was therefore attributable to adverse cardiometabolic effects, with little evidence of a residual direct effect.</w:t>
      </w:r>
    </w:p>
    <w:p w14:paraId="076195F0" w14:textId="0D7EE56B" w:rsidR="006D380D" w:rsidRPr="008C12C7" w:rsidRDefault="00000000">
      <w:pPr>
        <w:pStyle w:val="Heading2"/>
        <w:rPr>
          <w:lang w:val="en-GB"/>
        </w:rPr>
      </w:pPr>
      <w:bookmarkStart w:id="80" w:name="h4xrxq1s54ym" w:colFirst="0" w:colLast="0"/>
      <w:bookmarkStart w:id="81" w:name="_cyc0ow64z0jl" w:colFirst="0" w:colLast="0"/>
      <w:bookmarkStart w:id="82" w:name="_Hlk239354654"/>
      <w:bookmarkEnd w:id="78"/>
      <w:bookmarkEnd w:id="80"/>
      <w:bookmarkEnd w:id="81"/>
      <w:r w:rsidRPr="008C12C7">
        <w:rPr>
          <w:lang w:val="en-GB"/>
        </w:rPr>
        <w:t xml:space="preserve">4.5. </w:t>
      </w:r>
      <w:r w:rsidR="00B51ABC" w:rsidRPr="008C12C7">
        <w:rPr>
          <w:lang w:val="en-GB"/>
        </w:rPr>
        <w:t>Further v</w:t>
      </w:r>
      <w:r w:rsidRPr="008C12C7">
        <w:rPr>
          <w:lang w:val="en-GB"/>
        </w:rPr>
        <w:t>alidation of the NLRP3 activity score and robustness of the coronary artery disease association</w:t>
      </w:r>
    </w:p>
    <w:p w14:paraId="64791A43" w14:textId="77777777" w:rsidR="00CB7260" w:rsidRPr="008C12C7" w:rsidRDefault="00CB7260" w:rsidP="00CB7260">
      <w:pPr>
        <w:pBdr>
          <w:top w:val="nil"/>
          <w:left w:val="nil"/>
          <w:bottom w:val="nil"/>
          <w:right w:val="nil"/>
          <w:between w:val="nil"/>
        </w:pBdr>
        <w:rPr>
          <w:color w:val="000000"/>
          <w:lang w:val="en-GB"/>
        </w:rPr>
      </w:pPr>
      <w:r w:rsidRPr="008C12C7">
        <w:rPr>
          <w:color w:val="000000"/>
          <w:lang w:val="en-GB"/>
        </w:rPr>
        <w:t>We next examined whether the NLRP3 activity score and its association with CAD could be artefacts of the instrument rather than reflect NLRP3 biology.</w:t>
      </w:r>
    </w:p>
    <w:p w14:paraId="2E8B1BC8" w14:textId="1435F651" w:rsidR="00C321D3" w:rsidRPr="00C31E8B" w:rsidRDefault="0091285E" w:rsidP="00C321D3">
      <w:pPr>
        <w:pBdr>
          <w:top w:val="nil"/>
          <w:left w:val="nil"/>
          <w:bottom w:val="nil"/>
          <w:right w:val="nil"/>
          <w:between w:val="nil"/>
        </w:pBdr>
        <w:ind w:firstLine="300"/>
        <w:rPr>
          <w:color w:val="000000" w:themeColor="text1"/>
          <w:lang w:val="en-GB"/>
        </w:rPr>
      </w:pPr>
      <w:r w:rsidRPr="008C12C7">
        <w:rPr>
          <w:color w:val="000000"/>
          <w:lang w:val="en-GB"/>
        </w:rPr>
        <w:t xml:space="preserve">To test whether the inflammatory signal at the </w:t>
      </w:r>
      <w:r w:rsidRPr="008C12C7">
        <w:rPr>
          <w:i/>
          <w:iCs/>
          <w:color w:val="000000"/>
          <w:lang w:val="en-GB"/>
        </w:rPr>
        <w:t>NLRP3</w:t>
      </w:r>
      <w:r w:rsidRPr="008C12C7">
        <w:rPr>
          <w:color w:val="000000"/>
          <w:lang w:val="en-GB"/>
        </w:rPr>
        <w:t xml:space="preserve"> locus is driven by NLRP3 itself, we examined </w:t>
      </w:r>
      <w:r w:rsidRPr="00282788">
        <w:rPr>
          <w:color w:val="000000"/>
          <w:lang w:val="en-GB"/>
        </w:rPr>
        <w:t xml:space="preserve">rare coding variants in the UK Biobank. </w:t>
      </w:r>
      <w:proofErr w:type="spellStart"/>
      <w:r w:rsidR="00364944">
        <w:rPr>
          <w:color w:val="000000"/>
          <w:lang w:val="en-GB"/>
        </w:rPr>
        <w:t>pLOF</w:t>
      </w:r>
      <w:proofErr w:type="spellEnd"/>
      <w:r w:rsidR="00364944">
        <w:rPr>
          <w:color w:val="000000"/>
          <w:lang w:val="en-GB"/>
        </w:rPr>
        <w:t xml:space="preserve"> variants in </w:t>
      </w:r>
      <w:r w:rsidR="00364944">
        <w:rPr>
          <w:i/>
          <w:iCs/>
          <w:color w:val="000000"/>
          <w:lang w:val="en-GB"/>
        </w:rPr>
        <w:t xml:space="preserve">NLRP3 </w:t>
      </w:r>
      <w:r w:rsidR="00364944">
        <w:rPr>
          <w:color w:val="000000"/>
          <w:lang w:val="en-GB"/>
        </w:rPr>
        <w:t>were associated with significantly lower</w:t>
      </w:r>
      <w:r w:rsidRPr="00282788">
        <w:rPr>
          <w:color w:val="000000"/>
          <w:lang w:val="en-GB"/>
        </w:rPr>
        <w:t xml:space="preserve"> CRP (</w:t>
      </w:r>
      <w:r w:rsidRPr="00D04431">
        <w:rPr>
          <w:i/>
          <w:iCs/>
          <w:color w:val="000000"/>
          <w:lang w:val="en-GB"/>
        </w:rPr>
        <w:t>β</w:t>
      </w:r>
      <w:r w:rsidR="00D04431">
        <w:rPr>
          <w:color w:val="000000"/>
          <w:lang w:val="en-GB"/>
        </w:rPr>
        <w:t xml:space="preserve"> </w:t>
      </w:r>
      <w:r w:rsidRPr="00282788">
        <w:rPr>
          <w:color w:val="000000"/>
          <w:lang w:val="en-GB"/>
        </w:rPr>
        <w:t>=</w:t>
      </w:r>
      <w:r w:rsidR="00D04431">
        <w:rPr>
          <w:color w:val="000000"/>
          <w:lang w:val="en-GB"/>
        </w:rPr>
        <w:t xml:space="preserve"> </w:t>
      </w:r>
      <w:r w:rsidR="00282788">
        <w:t>-0.023</w:t>
      </w:r>
      <w:r w:rsidRPr="00282788">
        <w:rPr>
          <w:color w:val="000000"/>
          <w:lang w:val="en-GB"/>
        </w:rPr>
        <w:t xml:space="preserve">, 95% CI </w:t>
      </w:r>
      <w:r w:rsidR="00282788">
        <w:t>-0.032 to -0.015</w:t>
      </w:r>
      <w:r w:rsidRPr="00282788">
        <w:rPr>
          <w:color w:val="000000"/>
          <w:lang w:val="en-GB"/>
        </w:rPr>
        <w:t xml:space="preserve">, </w:t>
      </w:r>
      <w:r w:rsidRPr="004515AA">
        <w:rPr>
          <w:i/>
          <w:iCs/>
          <w:color w:val="000000"/>
          <w:lang w:val="en-GB"/>
        </w:rPr>
        <w:t>P</w:t>
      </w:r>
      <w:r w:rsidR="004515AA">
        <w:rPr>
          <w:color w:val="000000"/>
          <w:lang w:val="en-GB"/>
        </w:rPr>
        <w:t xml:space="preserve"> </w:t>
      </w:r>
      <w:r w:rsidRPr="00282788">
        <w:rPr>
          <w:color w:val="000000"/>
          <w:lang w:val="en-GB"/>
        </w:rPr>
        <w:t>=</w:t>
      </w:r>
      <w:r w:rsidR="004515AA">
        <w:rPr>
          <w:color w:val="000000"/>
          <w:lang w:val="en-GB"/>
        </w:rPr>
        <w:t xml:space="preserve"> </w:t>
      </w:r>
      <w:r w:rsidRPr="00282788">
        <w:rPr>
          <w:color w:val="000000"/>
          <w:lang w:val="en-GB"/>
        </w:rPr>
        <w:t>9.</w:t>
      </w:r>
      <w:r w:rsidR="00C10A3F" w:rsidRPr="00282788">
        <w:rPr>
          <w:color w:val="000000"/>
          <w:lang w:val="en-GB"/>
        </w:rPr>
        <w:t>4</w:t>
      </w:r>
      <w:r w:rsidRPr="00282788">
        <w:rPr>
          <w:color w:val="000000"/>
          <w:lang w:val="en-GB"/>
        </w:rPr>
        <w:t>×10</w:t>
      </w:r>
      <w:r w:rsidR="00C10A3F" w:rsidRPr="00282788">
        <w:rPr>
          <w:color w:val="000000"/>
          <w:vertAlign w:val="superscript"/>
          <w:lang w:val="en-GB"/>
        </w:rPr>
        <w:t>-</w:t>
      </w:r>
      <w:r w:rsidR="00282788">
        <w:rPr>
          <w:color w:val="000000"/>
          <w:vertAlign w:val="superscript"/>
          <w:lang w:val="en-GB"/>
        </w:rPr>
        <w:t>8</w:t>
      </w:r>
      <w:r w:rsidRPr="00282788">
        <w:rPr>
          <w:color w:val="000000"/>
          <w:lang w:val="en-GB"/>
        </w:rPr>
        <w:t xml:space="preserve">), </w:t>
      </w:r>
      <w:proofErr w:type="spellStart"/>
      <w:r w:rsidRPr="00282788">
        <w:rPr>
          <w:color w:val="000000"/>
          <w:lang w:val="en-GB"/>
        </w:rPr>
        <w:t>GlycA</w:t>
      </w:r>
      <w:proofErr w:type="spellEnd"/>
      <w:r w:rsidRPr="00282788">
        <w:rPr>
          <w:color w:val="000000"/>
          <w:lang w:val="en-GB"/>
        </w:rPr>
        <w:t xml:space="preserve"> (</w:t>
      </w:r>
      <w:r w:rsidRPr="00881C6F">
        <w:rPr>
          <w:i/>
          <w:iCs/>
          <w:color w:val="000000"/>
          <w:lang w:val="en-GB"/>
        </w:rPr>
        <w:t>β</w:t>
      </w:r>
      <w:r w:rsidR="00881C6F">
        <w:rPr>
          <w:color w:val="000000"/>
          <w:lang w:val="en-GB"/>
        </w:rPr>
        <w:t xml:space="preserve"> </w:t>
      </w:r>
      <w:r w:rsidRPr="00282788">
        <w:rPr>
          <w:color w:val="000000"/>
          <w:lang w:val="en-GB"/>
        </w:rPr>
        <w:t>=</w:t>
      </w:r>
      <w:r w:rsidR="00881C6F">
        <w:rPr>
          <w:color w:val="000000"/>
          <w:lang w:val="en-GB"/>
        </w:rPr>
        <w:t xml:space="preserve"> </w:t>
      </w:r>
      <w:r w:rsidRPr="00282788">
        <w:rPr>
          <w:color w:val="000000"/>
          <w:lang w:val="en-GB"/>
        </w:rPr>
        <w:t>-0.01</w:t>
      </w:r>
      <w:r w:rsidR="00282788">
        <w:rPr>
          <w:color w:val="000000"/>
          <w:lang w:val="en-GB"/>
        </w:rPr>
        <w:t>8</w:t>
      </w:r>
      <w:r w:rsidRPr="00282788">
        <w:rPr>
          <w:color w:val="000000"/>
          <w:lang w:val="en-GB"/>
        </w:rPr>
        <w:t xml:space="preserve">, 95% CI </w:t>
      </w:r>
      <w:r w:rsidR="00282788">
        <w:t>-0.027 to -0.010,</w:t>
      </w:r>
      <w:r w:rsidRPr="00282788">
        <w:rPr>
          <w:color w:val="000000"/>
          <w:lang w:val="en-GB"/>
        </w:rPr>
        <w:t xml:space="preserve"> </w:t>
      </w:r>
      <w:r w:rsidRPr="00881C6F">
        <w:rPr>
          <w:i/>
          <w:iCs/>
          <w:color w:val="000000"/>
          <w:lang w:val="en-GB"/>
        </w:rPr>
        <w:t>P</w:t>
      </w:r>
      <w:r w:rsidR="00881C6F">
        <w:rPr>
          <w:color w:val="000000"/>
          <w:lang w:val="en-GB"/>
        </w:rPr>
        <w:t xml:space="preserve"> </w:t>
      </w:r>
      <w:r w:rsidRPr="00282788">
        <w:rPr>
          <w:color w:val="000000"/>
          <w:lang w:val="en-GB"/>
        </w:rPr>
        <w:t>=</w:t>
      </w:r>
      <w:r w:rsidR="00881C6F">
        <w:rPr>
          <w:color w:val="000000"/>
          <w:lang w:val="en-GB"/>
        </w:rPr>
        <w:t xml:space="preserve"> </w:t>
      </w:r>
      <w:r w:rsidR="007F18BA" w:rsidRPr="00282788">
        <w:rPr>
          <w:color w:val="000000"/>
          <w:lang w:val="en-GB"/>
        </w:rPr>
        <w:t>2.8×10</w:t>
      </w:r>
      <w:r w:rsidR="007F18BA" w:rsidRPr="00282788">
        <w:rPr>
          <w:color w:val="000000"/>
          <w:vertAlign w:val="superscript"/>
          <w:lang w:val="en-GB"/>
        </w:rPr>
        <w:t>-5</w:t>
      </w:r>
      <w:r w:rsidRPr="00282788">
        <w:rPr>
          <w:color w:val="000000"/>
          <w:lang w:val="en-GB"/>
        </w:rPr>
        <w:t>), and neutrophil counts (</w:t>
      </w:r>
      <w:r w:rsidRPr="00881C6F">
        <w:rPr>
          <w:i/>
          <w:iCs/>
          <w:color w:val="000000"/>
          <w:lang w:val="en-GB"/>
        </w:rPr>
        <w:t>β</w:t>
      </w:r>
      <w:r w:rsidR="00881C6F">
        <w:rPr>
          <w:color w:val="000000"/>
          <w:lang w:val="en-GB"/>
        </w:rPr>
        <w:t xml:space="preserve"> </w:t>
      </w:r>
      <w:r w:rsidRPr="00282788">
        <w:rPr>
          <w:color w:val="000000"/>
          <w:lang w:val="en-GB"/>
        </w:rPr>
        <w:t>=</w:t>
      </w:r>
      <w:r w:rsidR="00881C6F">
        <w:rPr>
          <w:color w:val="000000"/>
          <w:lang w:val="en-GB"/>
        </w:rPr>
        <w:t xml:space="preserve"> </w:t>
      </w:r>
      <w:r w:rsidRPr="00282788">
        <w:rPr>
          <w:color w:val="000000"/>
          <w:lang w:val="en-GB"/>
        </w:rPr>
        <w:t>-0.01</w:t>
      </w:r>
      <w:r w:rsidR="00282788">
        <w:rPr>
          <w:color w:val="000000"/>
          <w:lang w:val="en-GB"/>
        </w:rPr>
        <w:t>2</w:t>
      </w:r>
      <w:r w:rsidRPr="00282788">
        <w:rPr>
          <w:color w:val="000000"/>
          <w:lang w:val="en-GB"/>
        </w:rPr>
        <w:t xml:space="preserve">, 95% CI </w:t>
      </w:r>
      <w:r w:rsidR="00282788">
        <w:t>-0.021 to -0.0036</w:t>
      </w:r>
      <w:r w:rsidRPr="00282788">
        <w:rPr>
          <w:color w:val="000000"/>
          <w:lang w:val="en-GB"/>
        </w:rPr>
        <w:t xml:space="preserve">, </w:t>
      </w:r>
      <w:r w:rsidRPr="00881C6F">
        <w:rPr>
          <w:i/>
          <w:iCs/>
          <w:color w:val="000000"/>
          <w:lang w:val="en-GB"/>
        </w:rPr>
        <w:t>P</w:t>
      </w:r>
      <w:r w:rsidR="00881C6F">
        <w:rPr>
          <w:color w:val="000000"/>
          <w:lang w:val="en-GB"/>
        </w:rPr>
        <w:t xml:space="preserve"> </w:t>
      </w:r>
      <w:r w:rsidRPr="00282788">
        <w:rPr>
          <w:color w:val="000000"/>
          <w:lang w:val="en-GB"/>
        </w:rPr>
        <w:t>=</w:t>
      </w:r>
      <w:r w:rsidR="00881C6F">
        <w:rPr>
          <w:color w:val="000000"/>
          <w:lang w:val="en-GB"/>
        </w:rPr>
        <w:t xml:space="preserve"> </w:t>
      </w:r>
      <w:r w:rsidR="007F18BA" w:rsidRPr="00282788">
        <w:rPr>
          <w:color w:val="000000"/>
          <w:lang w:val="en-GB"/>
        </w:rPr>
        <w:t>5.7×10</w:t>
      </w:r>
      <w:r w:rsidR="007F18BA" w:rsidRPr="00282788">
        <w:rPr>
          <w:color w:val="000000"/>
          <w:vertAlign w:val="superscript"/>
          <w:lang w:val="en-GB"/>
        </w:rPr>
        <w:t>-3</w:t>
      </w:r>
      <w:r w:rsidRPr="00282788">
        <w:rPr>
          <w:color w:val="000000"/>
          <w:lang w:val="en-GB"/>
        </w:rPr>
        <w:t>) than</w:t>
      </w:r>
      <w:r w:rsidRPr="008C12C7">
        <w:rPr>
          <w:color w:val="000000"/>
          <w:lang w:val="en-GB"/>
        </w:rPr>
        <w:t xml:space="preserve"> non-carriers (Figure 4A</w:t>
      </w:r>
      <w:r w:rsidR="00570DA7" w:rsidRPr="008C12C7">
        <w:rPr>
          <w:color w:val="000000"/>
          <w:lang w:val="en-GB"/>
        </w:rPr>
        <w:t xml:space="preserve">). Conversely, </w:t>
      </w:r>
      <w:r w:rsidRPr="008C12C7">
        <w:rPr>
          <w:color w:val="000000"/>
          <w:lang w:val="en-GB"/>
        </w:rPr>
        <w:t>although carrier numbers were small, the three carriers of the gain-of-function variant had</w:t>
      </w:r>
      <w:r w:rsidR="0021071F">
        <w:rPr>
          <w:color w:val="000000"/>
          <w:lang w:val="en-GB"/>
        </w:rPr>
        <w:t xml:space="preserve"> </w:t>
      </w:r>
      <w:r w:rsidR="007666CB">
        <w:rPr>
          <w:color w:val="000000"/>
          <w:lang w:val="en-GB"/>
        </w:rPr>
        <w:t xml:space="preserve">markedly </w:t>
      </w:r>
      <w:r w:rsidR="0021071F">
        <w:rPr>
          <w:color w:val="000000"/>
          <w:lang w:val="en-GB"/>
        </w:rPr>
        <w:t xml:space="preserve">elevated CRP and higher </w:t>
      </w:r>
      <w:proofErr w:type="spellStart"/>
      <w:r w:rsidR="0021071F">
        <w:rPr>
          <w:color w:val="000000"/>
          <w:lang w:val="en-GB"/>
        </w:rPr>
        <w:t>GlycA</w:t>
      </w:r>
      <w:proofErr w:type="spellEnd"/>
      <w:r w:rsidR="0021071F">
        <w:rPr>
          <w:color w:val="000000"/>
          <w:lang w:val="en-GB"/>
        </w:rPr>
        <w:t xml:space="preserve"> and neutrophil </w:t>
      </w:r>
      <w:r w:rsidR="00F171FB">
        <w:rPr>
          <w:color w:val="000000"/>
          <w:lang w:val="en-GB"/>
        </w:rPr>
        <w:t>levels</w:t>
      </w:r>
      <w:r w:rsidRPr="008C12C7">
        <w:rPr>
          <w:color w:val="000000"/>
          <w:lang w:val="en-GB"/>
        </w:rPr>
        <w:t xml:space="preserve"> (</w:t>
      </w:r>
      <w:hyperlink w:anchor="mbyqv5lscmu9">
        <w:r w:rsidR="006D380D" w:rsidRPr="008C12C7">
          <w:rPr>
            <w:color w:val="000000"/>
            <w:lang w:val="en-GB"/>
          </w:rPr>
          <w:t>Figure 4</w:t>
        </w:r>
      </w:hyperlink>
      <w:r w:rsidRPr="008C12C7">
        <w:rPr>
          <w:color w:val="000000"/>
          <w:lang w:val="en-GB"/>
        </w:rPr>
        <w:t xml:space="preserve">B), consistent with enhanced NLRP3 </w:t>
      </w:r>
      <w:r w:rsidR="00DC5F71" w:rsidRPr="008C12C7">
        <w:rPr>
          <w:color w:val="000000"/>
          <w:lang w:val="en-GB"/>
        </w:rPr>
        <w:t xml:space="preserve">inflammasome </w:t>
      </w:r>
      <w:r w:rsidRPr="008C12C7">
        <w:rPr>
          <w:color w:val="000000"/>
          <w:lang w:val="en-GB"/>
        </w:rPr>
        <w:t xml:space="preserve">activity. </w:t>
      </w:r>
      <w:proofErr w:type="spellStart"/>
      <w:r w:rsidRPr="008C12C7">
        <w:rPr>
          <w:color w:val="000000"/>
          <w:lang w:val="en-GB"/>
        </w:rPr>
        <w:t>pLOF</w:t>
      </w:r>
      <w:proofErr w:type="spellEnd"/>
      <w:r w:rsidRPr="008C12C7">
        <w:rPr>
          <w:color w:val="000000"/>
          <w:lang w:val="en-GB"/>
        </w:rPr>
        <w:t xml:space="preserve"> burden tests of the other protein-coding genes within </w:t>
      </w:r>
      <w:r w:rsidR="004118F1" w:rsidRPr="004118F1">
        <w:rPr>
          <w:color w:val="000000"/>
          <w:lang w:val="en-GB"/>
        </w:rPr>
        <w:t>±</w:t>
      </w:r>
      <w:r w:rsidRPr="008C12C7">
        <w:rPr>
          <w:color w:val="000000"/>
          <w:lang w:val="en-GB"/>
        </w:rPr>
        <w:t xml:space="preserve">150 kb of </w:t>
      </w:r>
      <w:r w:rsidRPr="008C12C7">
        <w:rPr>
          <w:i/>
          <w:iCs/>
          <w:color w:val="000000"/>
          <w:lang w:val="en-GB"/>
        </w:rPr>
        <w:t>NLRP3</w:t>
      </w:r>
      <w:r w:rsidRPr="008C12C7">
        <w:rPr>
          <w:color w:val="000000"/>
          <w:lang w:val="en-GB"/>
        </w:rPr>
        <w:t xml:space="preserve"> showed no associations with these biomarkers (</w:t>
      </w:r>
      <w:r w:rsidR="00881C6F">
        <w:rPr>
          <w:color w:val="000000"/>
          <w:lang w:val="en-GB"/>
        </w:rPr>
        <w:t>Supplementary Figure 3</w:t>
      </w:r>
      <w:r w:rsidRPr="00C31E8B">
        <w:rPr>
          <w:color w:val="000000" w:themeColor="text1"/>
          <w:lang w:val="en-GB"/>
        </w:rPr>
        <w:t xml:space="preserve">), supporting </w:t>
      </w:r>
      <w:r w:rsidRPr="00C31E8B">
        <w:rPr>
          <w:i/>
          <w:iCs/>
          <w:color w:val="000000" w:themeColor="text1"/>
          <w:lang w:val="en-GB"/>
        </w:rPr>
        <w:t>NLRP3</w:t>
      </w:r>
      <w:r w:rsidRPr="00C31E8B">
        <w:rPr>
          <w:color w:val="000000" w:themeColor="text1"/>
          <w:lang w:val="en-GB"/>
        </w:rPr>
        <w:t xml:space="preserve"> as the gene driving the inflammatory biomarker associations at this locus</w:t>
      </w:r>
      <w:bookmarkStart w:id="83" w:name="hvg9rc2wihe5" w:colFirst="0" w:colLast="0"/>
      <w:bookmarkEnd w:id="83"/>
      <w:r w:rsidRPr="00C31E8B">
        <w:rPr>
          <w:color w:val="000000" w:themeColor="text1"/>
          <w:lang w:val="en-GB"/>
        </w:rPr>
        <w:t xml:space="preserve"> (</w:t>
      </w:r>
      <w:r w:rsidR="00570DA7" w:rsidRPr="00C31E8B">
        <w:rPr>
          <w:color w:val="000000" w:themeColor="text1"/>
          <w:lang w:val="en-GB"/>
        </w:rPr>
        <w:t>Supplementary Table 10).</w:t>
      </w:r>
    </w:p>
    <w:p w14:paraId="477AFDE8" w14:textId="34BBDB98" w:rsidR="006D380D" w:rsidRPr="00C31E8B" w:rsidRDefault="00C321D3" w:rsidP="00C321D3">
      <w:pPr>
        <w:pBdr>
          <w:top w:val="nil"/>
          <w:left w:val="nil"/>
          <w:bottom w:val="nil"/>
          <w:right w:val="nil"/>
          <w:between w:val="nil"/>
        </w:pBdr>
        <w:ind w:firstLine="300"/>
        <w:rPr>
          <w:color w:val="000000" w:themeColor="text1"/>
          <w:lang w:val="en-GB"/>
        </w:rPr>
      </w:pPr>
      <w:r w:rsidRPr="008C12C7">
        <w:rPr>
          <w:lang w:val="en-GB"/>
        </w:rPr>
        <w:t xml:space="preserve">As a </w:t>
      </w:r>
      <w:bookmarkStart w:id="84" w:name="_Hlk239353770"/>
      <w:r w:rsidRPr="008C12C7">
        <w:rPr>
          <w:lang w:val="en-GB"/>
        </w:rPr>
        <w:t xml:space="preserve">methodological </w:t>
      </w:r>
      <w:bookmarkEnd w:id="84"/>
      <w:r w:rsidRPr="008C12C7">
        <w:rPr>
          <w:lang w:val="en-GB"/>
        </w:rPr>
        <w:t xml:space="preserve">positive control, we tested whether the same approach of combining </w:t>
      </w:r>
      <w:r w:rsidRPr="008C12C7">
        <w:rPr>
          <w:i/>
          <w:iCs/>
          <w:lang w:val="en-GB"/>
        </w:rPr>
        <w:t>cis</w:t>
      </w:r>
      <w:r w:rsidRPr="008C12C7">
        <w:rPr>
          <w:lang w:val="en-GB"/>
        </w:rPr>
        <w:t xml:space="preserve">-variant effects on gene expression and downstream inflammatory biomarkers into a single score could recover known drug-target biology at the </w:t>
      </w:r>
      <w:r w:rsidRPr="008C12C7">
        <w:rPr>
          <w:i/>
          <w:iCs/>
          <w:lang w:val="en-GB"/>
        </w:rPr>
        <w:t>IL1RN</w:t>
      </w:r>
      <w:r w:rsidRPr="008C12C7">
        <w:rPr>
          <w:lang w:val="en-GB"/>
        </w:rPr>
        <w:t xml:space="preserve"> locus.</w:t>
      </w:r>
      <w:r w:rsidR="00DB6C95" w:rsidRPr="008C12C7">
        <w:rPr>
          <w:lang w:val="en-GB"/>
        </w:rPr>
        <w:t xml:space="preserve"> </w:t>
      </w:r>
      <w:r w:rsidRPr="008C12C7">
        <w:rPr>
          <w:i/>
          <w:iCs/>
          <w:color w:val="000000"/>
          <w:lang w:val="en-GB"/>
        </w:rPr>
        <w:t>IL1RN</w:t>
      </w:r>
      <w:r w:rsidRPr="008C12C7">
        <w:rPr>
          <w:color w:val="000000"/>
          <w:lang w:val="en-GB"/>
        </w:rPr>
        <w:t xml:space="preserve"> encodes interleukin-1 receptor antagonist (IL1Ra), an endogenous inhibitor of interleukin-1 signalling</w:t>
      </w:r>
      <w:r w:rsidR="00DB6C95" w:rsidRPr="008C12C7">
        <w:rPr>
          <w:color w:val="000000"/>
          <w:lang w:val="en-GB"/>
        </w:rPr>
        <w:fldChar w:fldCharType="begin"/>
      </w:r>
      <w:r w:rsidR="003902DB">
        <w:rPr>
          <w:color w:val="000000"/>
          <w:lang w:val="en-GB"/>
        </w:rPr>
        <w:instrText xml:space="preserve"> ADDIN ZOTERO_ITEM CSL_CITATION {"citationID":"XSXpZBbe","properties":{"unsorted":false,"formattedCitation":"\\super 42\\nosupersub{}","plainCitation":"42","noteIndex":0},"citationItems":[{"id":94,"uris":["http://zotero.org/users/12564564/items/A6EEIE5K"],"itemData":{"id":94,"type":"article-journal","abstract":"Interleukin-1 (IL-1) is a pro-inflammatory cytokine that plays a role in many acute and chronic human diseases.Elevated levels of IL-1, or the naturally occurring receptor antagonist IL-1Ra, can be measured in human samples of tissue or body fluids from patients with rheumatoid arthritis (RA), osteoarthritis, chronic obstructive pulmonary disease, asthma, inflammatory bowel disease and atherosclerosis.Blockade of IL-1 binding to the IL-1 receptor has been achieved with biological agents that neutralize IL-1. Anakinra, a recombinant form of IL-1Ra, shows clinical efficacy in RA. Other agents show promise in preclinical models and are safe and well tolerated in Phase I volunteer studies.Small-molecule drugs are being developed that interfere with IL-1 signalling production or processing. The most advanced of these is an inhibitor of IL-1-converting enzyme, which has has shown clinical efficacy in RA. Other approaches include targeting the post-translational processing or release of IL-1 and have yielded encouraging results in preclinical studies.","container-title":"Nature Reviews Drug Discovery","DOI":"10.1038/nrd1342","ISSN":"1474-1784","issue":"4","language":"en","license":"2004 Springer Nature Limited","page":"330–340","title":"Targeting IL-1 in inflammatory disease: new opportunities for therapeutic intervention","title-short":"Targeting IL-1 in inflammatory disease","volume":"3","author":[{"family":"Braddock","given":"Martin"},{"family":"Quinn","given":"Anthony"}],"issued":{"date-parts":[["2004",4]]}}}],"schema":"https://github.com/citation-style-language/schema/raw/master/csl-citation.json"} </w:instrText>
      </w:r>
      <w:r w:rsidR="00DB6C95" w:rsidRPr="008C12C7">
        <w:rPr>
          <w:color w:val="000000"/>
          <w:lang w:val="en-GB"/>
        </w:rPr>
        <w:fldChar w:fldCharType="separate"/>
      </w:r>
      <w:r w:rsidR="003902DB" w:rsidRPr="003902DB">
        <w:rPr>
          <w:color w:val="000000"/>
          <w:szCs w:val="24"/>
          <w:vertAlign w:val="superscript"/>
          <w:lang w:val="en-GB"/>
        </w:rPr>
        <w:t>42</w:t>
      </w:r>
      <w:r w:rsidR="00DB6C95" w:rsidRPr="008C12C7">
        <w:rPr>
          <w:color w:val="000000"/>
          <w:lang w:val="en-GB"/>
        </w:rPr>
        <w:fldChar w:fldCharType="end"/>
      </w:r>
      <w:r w:rsidRPr="008C12C7">
        <w:rPr>
          <w:color w:val="000000"/>
          <w:lang w:val="en-GB"/>
        </w:rPr>
        <w:t>. Recombinant IL1Ra, such as the drug anakinra, is used to treat rheumatoid arthritis (RA) and acute gout flares</w:t>
      </w:r>
      <w:r w:rsidR="00DB6C95" w:rsidRPr="008C12C7">
        <w:rPr>
          <w:color w:val="000000"/>
          <w:lang w:val="en-GB"/>
        </w:rPr>
        <w:fldChar w:fldCharType="begin"/>
      </w:r>
      <w:r w:rsidR="003902DB">
        <w:rPr>
          <w:color w:val="000000"/>
          <w:lang w:val="en-GB"/>
        </w:rPr>
        <w:instrText xml:space="preserve"> ADDIN ZOTERO_ITEM CSL_CITATION {"citationID":"2OO0T8J6","properties":{"unsorted":false,"formattedCitation":"\\super 42,43\\nosupersub{}","plainCitation":"42,43","noteIndex":0},"citationItems":[{"id":94,"uris":["http://zotero.org/users/12564564/items/A6EEIE5K"],"itemData":{"id":94,"type":"article-journal","abstract":"Interleukin-1 (IL-1) is a pro-inflammatory cytokine that plays a role in many acute and chronic human diseases.Elevated levels of IL-1, or the naturally occurring receptor antagonist IL-1Ra, can be measured in human samples of tissue or body fluids from patients with rheumatoid arthritis (RA), osteoarthritis, chronic obstructive pulmonary disease, asthma, inflammatory bowel disease and atherosclerosis.Blockade of IL-1 binding to the IL-1 receptor has been achieved with biological agents that neutralize IL-1. Anakinra, a recombinant form of IL-1Ra, shows clinical efficacy in RA. Other agents show promise in preclinical models and are safe and well tolerated in Phase I volunteer studies.Small-molecule drugs are being developed that interfere with IL-1 signalling production or processing. The most advanced of these is an inhibitor of IL-1-converting enzyme, which has has shown clinical efficacy in RA. Other approaches include targeting the post-translational processing or release of IL-1 and have yielded encouraging results in preclinical studies.","container-title":"Nature Reviews Drug Discovery","DOI":"10.1038/nrd1342","ISSN":"1474-1784","issue":"4","language":"en","license":"2004 Springer Nature Limited","page":"330–340","title":"Targeting IL-1 in inflammatory disease: new opportunities for therapeutic intervention","title-short":"Targeting IL-1 in inflammatory disease","volume":"3","author":[{"family":"Braddock","given":"Martin"},{"family":"Quinn","given":"Anthony"}],"issued":{"date-parts":[["2004",4]]}}},{"id":381,"uris":["http://zotero.org/users/12564564/items/FFLPBYSM"],"itemData":{"id":381,"type":"article-journal","abstract":"To evaluate the efficacy and safety of anakinra in treating acute gout flares in a randomized, double-blind, placebo-controlled, active comparator, non-inferiority (NI) trial.Patients with a crystal-proven acute gout flare were randomized (1: 1) to treatment with anakinra or treatment as usual (free choice: either colchicine, naproxen or prednisone). The primary end point was the change in pain between baseline and the averaged pain score on days 2–4 measured on a five-point rating scale. NI of anakinra would be established if the upper bound of the 95% CI of the numeric difference in changed pain scores between treatment groups did not exceed the NI limit of 0.4 in favour of treatment as usual, in the per-protocol (PP) and intention-to-treat (ITT) populations, assessed in an analysis of covariance model. Secondary outcomes included safety assessments, improvement in pain, swelling, tenderness and treatment response after 5 days, assessed using linear mixed models and binary logistic regression models.Forty-three patients received anakinra and 45 treatment as usual. Anakinra was non-inferior (mean difference; 95% CI) to treatment as usual in both the PP (–0.13; –0.44, 0.18) and ITT (–0.18; –0.44, 0.08) populations. No unexpected or uncommon (serious) adverse events were observed in either treatment arm. Analyses of secondary outcomes showed that patients in both groups reported similar significant reductions in their gout symptoms.Efficacy of anakinra was shown to be non-inferior to treatment as usual for the treatment of acute gout flares, suggesting that anakinra is an effective treatment alternative for acute gout flares.Het Nederlands Trial Register, www.trialregister.nl, NTR5234","container-title":"Rheumatology","DOI":"10.1093/rheumatology/key402","ISSN":"1462-0324","issue":"8","journalAbbreviation":"Rheumatology","page":"1344-1352","source":"Silverchair","title":"Anakinra for the treatment of acute gout flares: a randomized, double-blind, placebo-controlled, active-comparator, non-inferiority trial","title-short":"Anakinra for the treatment of acute gout flares","volume":"58","author":[{"family":"Janssen","given":"Carly A"},{"family":"Oude Voshaar","given":"Martijn A H"},{"family":"Vonkeman","given":"Harald E"},{"family":"Jansen","given":"Tim L Th. A"},{"family":"Janssen","given":"Matthijs"},{"family":"Kok","given":"Marc R"},{"family":"Radovits","given":"Bea"},{"family":"Durme","given":"Caroline","non-dropping-particle":"van"},{"family":"Baan","given":"Hetty"},{"family":"Laar","given":"Mart A F J","non-dropping-particle":"van de"}],"issued":{"date-parts":[["2019",8,1]]}}}],"schema":"https://github.com/citation-style-language/schema/raw/master/csl-citation.json"} </w:instrText>
      </w:r>
      <w:r w:rsidR="00DB6C95" w:rsidRPr="008C12C7">
        <w:rPr>
          <w:color w:val="000000"/>
          <w:lang w:val="en-GB"/>
        </w:rPr>
        <w:fldChar w:fldCharType="separate"/>
      </w:r>
      <w:r w:rsidR="003902DB" w:rsidRPr="003902DB">
        <w:rPr>
          <w:color w:val="000000"/>
          <w:szCs w:val="24"/>
          <w:vertAlign w:val="superscript"/>
          <w:lang w:val="en-GB"/>
        </w:rPr>
        <w:t>42,43</w:t>
      </w:r>
      <w:r w:rsidR="00DB6C95" w:rsidRPr="008C12C7">
        <w:rPr>
          <w:color w:val="000000"/>
          <w:lang w:val="en-GB"/>
        </w:rPr>
        <w:fldChar w:fldCharType="end"/>
      </w:r>
      <w:r w:rsidRPr="008C12C7">
        <w:rPr>
          <w:color w:val="000000"/>
          <w:lang w:val="en-GB"/>
        </w:rPr>
        <w:t xml:space="preserve">. </w:t>
      </w:r>
      <w:proofErr w:type="gramStart"/>
      <w:r w:rsidRPr="008C12C7">
        <w:rPr>
          <w:color w:val="000000"/>
          <w:lang w:val="en-GB"/>
        </w:rPr>
        <w:t>Similar to</w:t>
      </w:r>
      <w:proofErr w:type="gramEnd"/>
      <w:r w:rsidRPr="008C12C7">
        <w:rPr>
          <w:color w:val="000000"/>
          <w:lang w:val="en-GB"/>
        </w:rPr>
        <w:t xml:space="preserve"> the NLRP3 activity score, we constructed an IL1Ra activity score from variants associated with </w:t>
      </w:r>
      <w:r w:rsidRPr="008C12C7">
        <w:rPr>
          <w:i/>
          <w:iCs/>
          <w:color w:val="000000"/>
          <w:lang w:val="en-GB"/>
        </w:rPr>
        <w:t>IL1RN</w:t>
      </w:r>
      <w:r w:rsidRPr="008C12C7">
        <w:rPr>
          <w:color w:val="000000"/>
          <w:lang w:val="en-GB"/>
        </w:rPr>
        <w:t xml:space="preserve"> expression and the downstream inflammatory biomarkers CRP, </w:t>
      </w:r>
      <w:proofErr w:type="spellStart"/>
      <w:r w:rsidRPr="008C12C7">
        <w:rPr>
          <w:color w:val="000000"/>
          <w:lang w:val="en-GB"/>
        </w:rPr>
        <w:t>GlycA</w:t>
      </w:r>
      <w:proofErr w:type="spellEnd"/>
      <w:r w:rsidRPr="008C12C7">
        <w:rPr>
          <w:color w:val="000000"/>
          <w:lang w:val="en-GB"/>
        </w:rPr>
        <w:t>, and neutrophil count (</w:t>
      </w:r>
      <w:hyperlink w:anchor="mbyqv5lscmu9">
        <w:r w:rsidR="006D380D" w:rsidRPr="008C12C7">
          <w:rPr>
            <w:color w:val="000000"/>
            <w:lang w:val="en-GB"/>
          </w:rPr>
          <w:t>Figure 4</w:t>
        </w:r>
      </w:hyperlink>
      <w:r w:rsidRPr="008C12C7">
        <w:rPr>
          <w:color w:val="000000"/>
          <w:lang w:val="en-GB"/>
        </w:rPr>
        <w:t xml:space="preserve">C). Because IL1Ra is directly measurable in plasma, we could test the score against the protein whose activity it is meant to proxy. A </w:t>
      </w:r>
      <w:r w:rsidRPr="008C12C7">
        <w:rPr>
          <w:color w:val="000000"/>
          <w:lang w:val="en-GB"/>
        </w:rPr>
        <w:lastRenderedPageBreak/>
        <w:t>higher genetically proxied IL1Ra activity score was associated with increased circulating IL1Ra protein concentration (</w:t>
      </w:r>
      <w:r w:rsidR="00C154EB" w:rsidRPr="00C154EB">
        <w:rPr>
          <w:i/>
          <w:iCs/>
          <w:color w:val="000000"/>
          <w:lang w:val="en-GB"/>
        </w:rPr>
        <w:t>β</w:t>
      </w:r>
      <w:r w:rsidR="00C154EB">
        <w:rPr>
          <w:color w:val="000000"/>
          <w:lang w:val="en-GB"/>
        </w:rPr>
        <w:t xml:space="preserve"> </w:t>
      </w:r>
      <w:r w:rsidR="00C154EB" w:rsidRPr="00C154EB">
        <w:rPr>
          <w:color w:val="000000"/>
          <w:lang w:val="en-GB"/>
        </w:rPr>
        <w:t>=</w:t>
      </w:r>
      <w:r w:rsidR="00C154EB">
        <w:rPr>
          <w:color w:val="000000"/>
          <w:lang w:val="en-GB"/>
        </w:rPr>
        <w:t xml:space="preserve"> </w:t>
      </w:r>
      <w:r w:rsidR="00C154EB" w:rsidRPr="00C154EB">
        <w:rPr>
          <w:color w:val="000000"/>
          <w:lang w:val="en-GB"/>
        </w:rPr>
        <w:t>4.</w:t>
      </w:r>
      <w:r w:rsidR="00483D7E">
        <w:rPr>
          <w:color w:val="000000"/>
          <w:lang w:val="en-GB"/>
        </w:rPr>
        <w:t>79</w:t>
      </w:r>
      <w:r w:rsidRPr="008C12C7">
        <w:rPr>
          <w:color w:val="000000"/>
          <w:lang w:val="en-GB"/>
        </w:rPr>
        <w:t xml:space="preserve">, 95% CI </w:t>
      </w:r>
      <w:r w:rsidR="00483D7E">
        <w:rPr>
          <w:color w:val="000000"/>
          <w:lang w:val="en-GB"/>
        </w:rPr>
        <w:t>3.34</w:t>
      </w:r>
      <w:r w:rsidRPr="008C12C7">
        <w:rPr>
          <w:color w:val="000000"/>
          <w:lang w:val="en-GB"/>
        </w:rPr>
        <w:t xml:space="preserve"> to </w:t>
      </w:r>
      <w:r w:rsidR="00483D7E">
        <w:rPr>
          <w:color w:val="000000"/>
          <w:lang w:val="en-GB"/>
        </w:rPr>
        <w:t>6.24</w:t>
      </w:r>
      <w:r w:rsidRPr="008C12C7">
        <w:rPr>
          <w:color w:val="000000"/>
          <w:lang w:val="en-GB"/>
        </w:rPr>
        <w:t>,</w:t>
      </w:r>
      <w:r w:rsidR="00C154EB" w:rsidRPr="00C154EB">
        <w:t xml:space="preserve"> </w:t>
      </w:r>
      <w:r w:rsidR="00C154EB" w:rsidRPr="00C154EB">
        <w:rPr>
          <w:i/>
          <w:iCs/>
          <w:color w:val="000000"/>
          <w:lang w:val="en-GB"/>
        </w:rPr>
        <w:t>P</w:t>
      </w:r>
      <w:r w:rsidR="00C154EB">
        <w:rPr>
          <w:color w:val="000000"/>
          <w:lang w:val="en-GB"/>
        </w:rPr>
        <w:t xml:space="preserve"> </w:t>
      </w:r>
      <w:r w:rsidR="00C154EB" w:rsidRPr="00C154EB">
        <w:rPr>
          <w:color w:val="000000"/>
          <w:lang w:val="en-GB"/>
        </w:rPr>
        <w:t>=</w:t>
      </w:r>
      <w:r w:rsidR="00C154EB">
        <w:rPr>
          <w:color w:val="000000"/>
          <w:lang w:val="en-GB"/>
        </w:rPr>
        <w:t xml:space="preserve"> </w:t>
      </w:r>
      <w:r w:rsidR="00483D7E">
        <w:rPr>
          <w:color w:val="000000"/>
          <w:lang w:val="en-GB"/>
        </w:rPr>
        <w:t>1</w:t>
      </w:r>
      <w:r w:rsidR="00C154EB" w:rsidRPr="00C154EB">
        <w:rPr>
          <w:color w:val="000000"/>
          <w:lang w:val="en-GB"/>
        </w:rPr>
        <w:t>×10</w:t>
      </w:r>
      <w:r w:rsidR="00C154EB">
        <w:rPr>
          <w:color w:val="000000"/>
          <w:vertAlign w:val="superscript"/>
          <w:lang w:val="en-GB"/>
        </w:rPr>
        <w:t>-</w:t>
      </w:r>
      <w:r w:rsidR="00483D7E">
        <w:rPr>
          <w:color w:val="000000"/>
          <w:vertAlign w:val="superscript"/>
          <w:lang w:val="en-GB"/>
        </w:rPr>
        <w:t>10</w:t>
      </w:r>
      <w:r w:rsidRPr="008C12C7">
        <w:rPr>
          <w:color w:val="000000"/>
          <w:lang w:val="en-GB"/>
        </w:rPr>
        <w:t xml:space="preserve">). Furthermore, consistent with the therapeutic effects of anakinra, a higher IL1Ra activity score was also associated with </w:t>
      </w:r>
      <w:r w:rsidRPr="008C12C7">
        <w:rPr>
          <w:lang w:val="en-GB"/>
        </w:rPr>
        <w:t xml:space="preserve">lower </w:t>
      </w:r>
      <w:r w:rsidRPr="008C12C7">
        <w:rPr>
          <w:color w:val="000000"/>
          <w:lang w:val="en-GB"/>
        </w:rPr>
        <w:t>risk of RA (OR</w:t>
      </w:r>
      <w:r w:rsidR="001B24B8">
        <w:rPr>
          <w:color w:val="000000"/>
          <w:lang w:val="en-GB"/>
        </w:rPr>
        <w:t xml:space="preserve"> </w:t>
      </w:r>
      <w:r w:rsidRPr="008C12C7">
        <w:rPr>
          <w:color w:val="000000"/>
          <w:lang w:val="en-GB"/>
        </w:rPr>
        <w:t>=</w:t>
      </w:r>
      <w:r w:rsidR="001B24B8">
        <w:rPr>
          <w:color w:val="000000"/>
          <w:lang w:val="en-GB"/>
        </w:rPr>
        <w:t xml:space="preserve"> </w:t>
      </w:r>
      <w:r w:rsidRPr="008C12C7">
        <w:rPr>
          <w:color w:val="000000"/>
          <w:lang w:val="en-GB"/>
        </w:rPr>
        <w:t>0.</w:t>
      </w:r>
      <w:r w:rsidR="00E77DB9">
        <w:rPr>
          <w:color w:val="000000"/>
          <w:lang w:val="en-GB"/>
        </w:rPr>
        <w:t>26</w:t>
      </w:r>
      <w:r w:rsidRPr="008C12C7">
        <w:rPr>
          <w:color w:val="000000"/>
          <w:lang w:val="en-GB"/>
        </w:rPr>
        <w:t xml:space="preserve">, </w:t>
      </w:r>
      <w:r w:rsidRPr="00C31E8B">
        <w:rPr>
          <w:color w:val="000000" w:themeColor="text1"/>
          <w:lang w:val="en-GB"/>
        </w:rPr>
        <w:t>95% CI 0.</w:t>
      </w:r>
      <w:r w:rsidR="00BB2D23" w:rsidRPr="00C31E8B">
        <w:rPr>
          <w:color w:val="000000" w:themeColor="text1"/>
          <w:lang w:val="en-GB"/>
        </w:rPr>
        <w:t>07</w:t>
      </w:r>
      <w:r w:rsidRPr="00C31E8B">
        <w:rPr>
          <w:color w:val="000000" w:themeColor="text1"/>
          <w:lang w:val="en-GB"/>
        </w:rPr>
        <w:t xml:space="preserve"> to 0.</w:t>
      </w:r>
      <w:r w:rsidR="00BB2D23" w:rsidRPr="00C31E8B">
        <w:rPr>
          <w:color w:val="000000" w:themeColor="text1"/>
          <w:lang w:val="en-GB"/>
        </w:rPr>
        <w:t>94</w:t>
      </w:r>
      <w:r w:rsidRPr="00C31E8B">
        <w:rPr>
          <w:color w:val="000000" w:themeColor="text1"/>
          <w:lang w:val="en-GB"/>
        </w:rPr>
        <w:t>,</w:t>
      </w:r>
      <w:r w:rsidR="00C564C8" w:rsidRPr="00C564C8">
        <w:t xml:space="preserve"> </w:t>
      </w:r>
      <w:r w:rsidR="00C564C8" w:rsidRPr="00C564C8">
        <w:rPr>
          <w:i/>
          <w:iCs/>
          <w:color w:val="000000" w:themeColor="text1"/>
          <w:lang w:val="en-GB"/>
        </w:rPr>
        <w:t>P</w:t>
      </w:r>
      <w:r w:rsidR="00C564C8">
        <w:rPr>
          <w:color w:val="000000" w:themeColor="text1"/>
          <w:lang w:val="en-GB"/>
        </w:rPr>
        <w:t xml:space="preserve"> </w:t>
      </w:r>
      <w:r w:rsidR="00C564C8" w:rsidRPr="00C564C8">
        <w:rPr>
          <w:color w:val="000000" w:themeColor="text1"/>
          <w:lang w:val="en-GB"/>
        </w:rPr>
        <w:t>=</w:t>
      </w:r>
      <w:r w:rsidR="00C564C8">
        <w:rPr>
          <w:color w:val="000000" w:themeColor="text1"/>
          <w:lang w:val="en-GB"/>
        </w:rPr>
        <w:t xml:space="preserve"> </w:t>
      </w:r>
      <w:r w:rsidR="00C564C8" w:rsidRPr="00C564C8">
        <w:rPr>
          <w:color w:val="000000" w:themeColor="text1"/>
          <w:lang w:val="en-GB"/>
        </w:rPr>
        <w:t>0.04</w:t>
      </w:r>
      <w:r w:rsidRPr="00C31E8B">
        <w:rPr>
          <w:color w:val="000000" w:themeColor="text1"/>
          <w:lang w:val="en-GB"/>
        </w:rPr>
        <w:t>) and gout (OR</w:t>
      </w:r>
      <w:r w:rsidR="005E76D7">
        <w:rPr>
          <w:color w:val="000000" w:themeColor="text1"/>
          <w:lang w:val="en-GB"/>
        </w:rPr>
        <w:t xml:space="preserve"> </w:t>
      </w:r>
      <w:r w:rsidRPr="00C31E8B">
        <w:rPr>
          <w:color w:val="000000" w:themeColor="text1"/>
          <w:lang w:val="en-GB"/>
        </w:rPr>
        <w:t>=</w:t>
      </w:r>
      <w:r w:rsidR="005E76D7">
        <w:rPr>
          <w:color w:val="000000" w:themeColor="text1"/>
          <w:lang w:val="en-GB"/>
        </w:rPr>
        <w:t xml:space="preserve"> </w:t>
      </w:r>
      <w:r w:rsidRPr="00C31E8B">
        <w:rPr>
          <w:color w:val="000000" w:themeColor="text1"/>
          <w:lang w:val="en-GB"/>
        </w:rPr>
        <w:t>0.33, 95% CI 0.23 to 0.4</w:t>
      </w:r>
      <w:r w:rsidR="00483D7E">
        <w:rPr>
          <w:color w:val="000000" w:themeColor="text1"/>
          <w:lang w:val="en-GB"/>
        </w:rPr>
        <w:t>6</w:t>
      </w:r>
      <w:r w:rsidRPr="00C31E8B">
        <w:rPr>
          <w:color w:val="000000" w:themeColor="text1"/>
          <w:lang w:val="en-GB"/>
        </w:rPr>
        <w:t>,</w:t>
      </w:r>
      <w:r w:rsidR="005E76D7" w:rsidRPr="005E76D7">
        <w:t xml:space="preserve"> </w:t>
      </w:r>
      <w:r w:rsidR="005E76D7" w:rsidRPr="005E76D7">
        <w:rPr>
          <w:i/>
          <w:iCs/>
          <w:color w:val="000000" w:themeColor="text1"/>
          <w:lang w:val="en-GB"/>
        </w:rPr>
        <w:t>P</w:t>
      </w:r>
      <w:r w:rsidR="005E76D7">
        <w:rPr>
          <w:color w:val="000000" w:themeColor="text1"/>
          <w:lang w:val="en-GB"/>
        </w:rPr>
        <w:t xml:space="preserve"> </w:t>
      </w:r>
      <w:r w:rsidR="005E76D7" w:rsidRPr="005E76D7">
        <w:rPr>
          <w:color w:val="000000" w:themeColor="text1"/>
          <w:lang w:val="en-GB"/>
        </w:rPr>
        <w:t>=</w:t>
      </w:r>
      <w:r w:rsidR="005E76D7">
        <w:rPr>
          <w:color w:val="000000" w:themeColor="text1"/>
          <w:lang w:val="en-GB"/>
        </w:rPr>
        <w:t xml:space="preserve"> </w:t>
      </w:r>
      <w:r w:rsidR="00483D7E">
        <w:rPr>
          <w:color w:val="000000" w:themeColor="text1"/>
          <w:lang w:val="en-GB"/>
        </w:rPr>
        <w:t>3</w:t>
      </w:r>
      <w:r w:rsidR="005E76D7" w:rsidRPr="005E76D7">
        <w:rPr>
          <w:color w:val="000000" w:themeColor="text1"/>
          <w:lang w:val="en-GB"/>
        </w:rPr>
        <w:t>×10</w:t>
      </w:r>
      <w:r w:rsidR="005E76D7">
        <w:rPr>
          <w:color w:val="000000" w:themeColor="text1"/>
          <w:vertAlign w:val="superscript"/>
          <w:lang w:val="en-GB"/>
        </w:rPr>
        <w:t>-10</w:t>
      </w:r>
      <w:r w:rsidRPr="00C31E8B">
        <w:rPr>
          <w:color w:val="000000" w:themeColor="text1"/>
          <w:lang w:val="en-GB"/>
        </w:rPr>
        <w:t>) (</w:t>
      </w:r>
      <w:bookmarkStart w:id="85" w:name="1w50dxxyr0ph" w:colFirst="0" w:colLast="0"/>
      <w:bookmarkEnd w:id="85"/>
      <w:r w:rsidR="00471C96">
        <w:t>Figure 4D</w:t>
      </w:r>
      <w:r w:rsidR="006331F3" w:rsidRPr="00C31E8B">
        <w:rPr>
          <w:color w:val="000000" w:themeColor="text1"/>
          <w:lang w:val="en-GB"/>
        </w:rPr>
        <w:t xml:space="preserve">, </w:t>
      </w:r>
      <w:r w:rsidR="008B3F0D" w:rsidRPr="00C31E8B">
        <w:rPr>
          <w:color w:val="000000" w:themeColor="text1"/>
          <w:lang w:val="en-GB"/>
        </w:rPr>
        <w:t>Supplementary Table 11)</w:t>
      </w:r>
      <w:r w:rsidR="00A35D56" w:rsidRPr="00C31E8B">
        <w:rPr>
          <w:color w:val="000000" w:themeColor="text1"/>
          <w:lang w:val="en-GB"/>
        </w:rPr>
        <w:t>.</w:t>
      </w:r>
    </w:p>
    <w:p w14:paraId="546B8459" w14:textId="5BFFF077" w:rsidR="006D380D" w:rsidRPr="00C31E8B" w:rsidRDefault="00000000">
      <w:pPr>
        <w:pBdr>
          <w:top w:val="nil"/>
          <w:left w:val="nil"/>
          <w:bottom w:val="nil"/>
          <w:right w:val="nil"/>
          <w:between w:val="nil"/>
        </w:pBdr>
        <w:ind w:firstLine="300"/>
        <w:rPr>
          <w:color w:val="000000" w:themeColor="text1"/>
          <w:lang w:val="en-GB"/>
        </w:rPr>
      </w:pPr>
      <w:r w:rsidRPr="00C31E8B">
        <w:rPr>
          <w:color w:val="000000" w:themeColor="text1"/>
          <w:lang w:val="en-GB"/>
        </w:rPr>
        <w:t xml:space="preserve">To characterise the broader inflammatory pathways associated with the NLRP3 activity score, we performed proteome-wide MR. </w:t>
      </w:r>
      <w:r w:rsidR="006331F3" w:rsidRPr="00C31E8B">
        <w:rPr>
          <w:color w:val="000000" w:themeColor="text1"/>
          <w:lang w:val="en-GB"/>
        </w:rPr>
        <w:t>A lower genetically proxied NLRP3 activity score was associated with lower levels of 2</w:t>
      </w:r>
      <w:r w:rsidR="00E77DB9" w:rsidRPr="00C31E8B">
        <w:rPr>
          <w:color w:val="000000" w:themeColor="text1"/>
          <w:lang w:val="en-GB"/>
        </w:rPr>
        <w:t>7</w:t>
      </w:r>
      <w:r w:rsidR="006331F3" w:rsidRPr="00C31E8B">
        <w:rPr>
          <w:color w:val="000000" w:themeColor="text1"/>
          <w:lang w:val="en-GB"/>
        </w:rPr>
        <w:t xml:space="preserve"> </w:t>
      </w:r>
      <w:r w:rsidR="004B2038" w:rsidRPr="00C31E8B">
        <w:rPr>
          <w:color w:val="000000" w:themeColor="text1"/>
          <w:lang w:val="en-GB"/>
        </w:rPr>
        <w:t xml:space="preserve">and higher levels of 7 </w:t>
      </w:r>
      <w:r w:rsidR="006331F3" w:rsidRPr="00C31E8B">
        <w:rPr>
          <w:color w:val="000000" w:themeColor="text1"/>
          <w:lang w:val="en-GB"/>
        </w:rPr>
        <w:t>circulating proteins after multiple-testing</w:t>
      </w:r>
      <w:r w:rsidRPr="00C31E8B">
        <w:rPr>
          <w:color w:val="000000" w:themeColor="text1"/>
          <w:lang w:val="en-GB"/>
        </w:rPr>
        <w:t xml:space="preserve"> </w:t>
      </w:r>
      <w:bookmarkStart w:id="86" w:name="pw76knbnd3lg" w:colFirst="0" w:colLast="0"/>
      <w:bookmarkEnd w:id="86"/>
      <w:r w:rsidRPr="00C31E8B">
        <w:rPr>
          <w:color w:val="000000" w:themeColor="text1"/>
          <w:lang w:val="en-GB"/>
        </w:rPr>
        <w:t>(</w:t>
      </w:r>
      <w:r w:rsidR="007A269A" w:rsidRPr="00C31E8B">
        <w:rPr>
          <w:color w:val="000000" w:themeColor="text1"/>
          <w:lang w:val="en-GB"/>
        </w:rPr>
        <w:t>Supplementary Table 12</w:t>
      </w:r>
      <w:r w:rsidRPr="00C31E8B">
        <w:rPr>
          <w:color w:val="000000" w:themeColor="text1"/>
          <w:lang w:val="en-GB"/>
        </w:rPr>
        <w:t xml:space="preserve">). Over-representation analysis of </w:t>
      </w:r>
      <w:r w:rsidR="00F65C5B" w:rsidRPr="00C31E8B">
        <w:rPr>
          <w:color w:val="000000" w:themeColor="text1"/>
          <w:lang w:val="en-GB"/>
        </w:rPr>
        <w:t>the downregulated</w:t>
      </w:r>
      <w:r w:rsidRPr="00C31E8B">
        <w:rPr>
          <w:color w:val="000000" w:themeColor="text1"/>
          <w:lang w:val="en-GB"/>
        </w:rPr>
        <w:t xml:space="preserve"> proteins showed enrichment for acute-phase and complement-activation pathways (</w:t>
      </w:r>
      <w:r w:rsidR="008D13FE">
        <w:t>Figure 4E</w:t>
      </w:r>
      <w:r w:rsidRPr="00C31E8B">
        <w:rPr>
          <w:color w:val="000000" w:themeColor="text1"/>
          <w:lang w:val="en-GB"/>
        </w:rPr>
        <w:t>), consistent with the hepatic acute-phase response downstream of NLRP3-driven IL</w:t>
      </w:r>
      <w:r w:rsidR="00F65C5B" w:rsidRPr="00C31E8B">
        <w:rPr>
          <w:color w:val="000000" w:themeColor="text1"/>
          <w:lang w:val="en-GB"/>
        </w:rPr>
        <w:t>-</w:t>
      </w:r>
      <w:r w:rsidRPr="00C31E8B">
        <w:rPr>
          <w:color w:val="000000" w:themeColor="text1"/>
          <w:lang w:val="en-GB"/>
        </w:rPr>
        <w:t>1β and IL</w:t>
      </w:r>
      <w:r w:rsidR="00F65C5B" w:rsidRPr="00C31E8B">
        <w:rPr>
          <w:color w:val="000000" w:themeColor="text1"/>
          <w:lang w:val="en-GB"/>
        </w:rPr>
        <w:t>-</w:t>
      </w:r>
      <w:r w:rsidRPr="00C31E8B">
        <w:rPr>
          <w:color w:val="000000" w:themeColor="text1"/>
          <w:lang w:val="en-GB"/>
        </w:rPr>
        <w:t>6 signalling.</w:t>
      </w:r>
      <w:r w:rsidR="00C321D3" w:rsidRPr="00C31E8B">
        <w:rPr>
          <w:color w:val="000000" w:themeColor="text1"/>
          <w:lang w:val="en-GB"/>
        </w:rPr>
        <w:t xml:space="preserve"> </w:t>
      </w:r>
      <w:r w:rsidR="00212ED3" w:rsidRPr="00C31E8B">
        <w:rPr>
          <w:color w:val="000000" w:themeColor="text1"/>
          <w:lang w:val="en-GB"/>
        </w:rPr>
        <w:t xml:space="preserve">In contrast, the seven proteins raised by inhibition were enriched only for amino-acid metabolic processes, driven by three proteins </w:t>
      </w:r>
      <w:r w:rsidR="00FD09A3" w:rsidRPr="00C31E8B">
        <w:rPr>
          <w:color w:val="000000" w:themeColor="text1"/>
          <w:lang w:val="en-GB"/>
        </w:rPr>
        <w:t>(Supplementary Table 13)</w:t>
      </w:r>
      <w:r w:rsidR="00260E74" w:rsidRPr="00C31E8B">
        <w:rPr>
          <w:color w:val="000000" w:themeColor="text1"/>
          <w:lang w:val="en-GB"/>
        </w:rPr>
        <w:t>.</w:t>
      </w:r>
    </w:p>
    <w:p w14:paraId="3BC126B8" w14:textId="22E11289" w:rsidR="006D380D" w:rsidRPr="00C31E8B" w:rsidRDefault="00000000">
      <w:pPr>
        <w:pBdr>
          <w:top w:val="nil"/>
          <w:left w:val="nil"/>
          <w:bottom w:val="nil"/>
          <w:right w:val="nil"/>
          <w:between w:val="nil"/>
        </w:pBdr>
        <w:ind w:firstLine="300"/>
        <w:rPr>
          <w:color w:val="000000" w:themeColor="text1"/>
          <w:lang w:val="en-GB"/>
        </w:rPr>
      </w:pPr>
      <w:r w:rsidRPr="00C31E8B">
        <w:rPr>
          <w:color w:val="000000" w:themeColor="text1"/>
          <w:lang w:val="en-GB"/>
        </w:rPr>
        <w:t xml:space="preserve">Finally, the association between the NLRP3 activity score and CAD was </w:t>
      </w:r>
      <w:r w:rsidR="002C583B" w:rsidRPr="00C31E8B">
        <w:rPr>
          <w:color w:val="000000" w:themeColor="text1"/>
          <w:lang w:val="en-GB"/>
        </w:rPr>
        <w:t>directionally consistent</w:t>
      </w:r>
      <w:r w:rsidRPr="00C31E8B">
        <w:rPr>
          <w:color w:val="000000" w:themeColor="text1"/>
          <w:lang w:val="en-GB"/>
        </w:rPr>
        <w:t xml:space="preserve"> across LD clumping thresholds (</w:t>
      </w:r>
      <w:bookmarkStart w:id="87" w:name="_Hlk240969016"/>
      <w:r w:rsidR="001645D6" w:rsidRPr="001645D6">
        <w:rPr>
          <w:i/>
          <w:iCs/>
          <w:color w:val="000000" w:themeColor="text1"/>
          <w:lang w:val="en-GB"/>
        </w:rPr>
        <w:t>r</w:t>
      </w:r>
      <w:r w:rsidR="001645D6">
        <w:rPr>
          <w:color w:val="000000" w:themeColor="text1"/>
          <w:vertAlign w:val="superscript"/>
          <w:lang w:val="en-GB"/>
        </w:rPr>
        <w:t xml:space="preserve">2 </w:t>
      </w:r>
      <w:r w:rsidR="001645D6" w:rsidRPr="001645D6">
        <w:rPr>
          <w:color w:val="000000" w:themeColor="text1"/>
          <w:lang w:val="en-GB"/>
        </w:rPr>
        <w:t>=</w:t>
      </w:r>
      <w:r w:rsidR="001645D6">
        <w:rPr>
          <w:color w:val="000000" w:themeColor="text1"/>
          <w:lang w:val="en-GB"/>
        </w:rPr>
        <w:t xml:space="preserve"> </w:t>
      </w:r>
      <w:r w:rsidR="001645D6" w:rsidRPr="001645D6">
        <w:rPr>
          <w:color w:val="000000" w:themeColor="text1"/>
          <w:lang w:val="en-GB"/>
        </w:rPr>
        <w:t>0.1</w:t>
      </w:r>
      <w:r w:rsidR="001645D6">
        <w:rPr>
          <w:color w:val="000000" w:themeColor="text1"/>
          <w:lang w:val="en-GB"/>
        </w:rPr>
        <w:t xml:space="preserve"> </w:t>
      </w:r>
      <w:bookmarkEnd w:id="87"/>
      <w:r w:rsidRPr="00C31E8B">
        <w:rPr>
          <w:color w:val="000000" w:themeColor="text1"/>
          <w:lang w:val="en-GB"/>
        </w:rPr>
        <w:t>to</w:t>
      </w:r>
      <w:r w:rsidR="001645D6" w:rsidRPr="001645D6">
        <w:rPr>
          <w:i/>
          <w:iCs/>
          <w:color w:val="000000" w:themeColor="text1"/>
          <w:lang w:val="en-GB"/>
        </w:rPr>
        <w:t xml:space="preserve"> </w:t>
      </w:r>
      <w:r w:rsidR="001645D6" w:rsidRPr="001645D6">
        <w:rPr>
          <w:i/>
          <w:iCs/>
          <w:color w:val="000000" w:themeColor="text1"/>
          <w:lang w:val="en-GB"/>
        </w:rPr>
        <w:t>r</w:t>
      </w:r>
      <w:r w:rsidR="001645D6">
        <w:rPr>
          <w:color w:val="000000" w:themeColor="text1"/>
          <w:vertAlign w:val="superscript"/>
          <w:lang w:val="en-GB"/>
        </w:rPr>
        <w:t xml:space="preserve">2 </w:t>
      </w:r>
      <w:r w:rsidR="001645D6" w:rsidRPr="001645D6">
        <w:rPr>
          <w:color w:val="000000" w:themeColor="text1"/>
          <w:lang w:val="en-GB"/>
        </w:rPr>
        <w:t>=</w:t>
      </w:r>
      <w:r w:rsidR="001645D6">
        <w:rPr>
          <w:color w:val="000000" w:themeColor="text1"/>
          <w:lang w:val="en-GB"/>
        </w:rPr>
        <w:t xml:space="preserve"> </w:t>
      </w:r>
      <w:r w:rsidR="001645D6" w:rsidRPr="001645D6">
        <w:rPr>
          <w:color w:val="000000" w:themeColor="text1"/>
          <w:lang w:val="en-GB"/>
        </w:rPr>
        <w:t>0.</w:t>
      </w:r>
      <w:r w:rsidR="001645D6">
        <w:rPr>
          <w:color w:val="000000" w:themeColor="text1"/>
          <w:lang w:val="en-GB"/>
        </w:rPr>
        <w:t>6</w:t>
      </w:r>
      <w:r w:rsidRPr="00C31E8B">
        <w:rPr>
          <w:color w:val="000000" w:themeColor="text1"/>
          <w:lang w:val="en-GB"/>
        </w:rPr>
        <w:t>), in leave-one-out analyses, and in a single-variant analysis restricted to the shared colocalising variant (rs12239046) (</w:t>
      </w:r>
      <w:r w:rsidR="0075693A">
        <w:rPr>
          <w:color w:val="000000" w:themeColor="text1"/>
          <w:lang w:val="en-GB"/>
        </w:rPr>
        <w:t>Figure 4F</w:t>
      </w:r>
      <w:r w:rsidRPr="00C31E8B">
        <w:rPr>
          <w:color w:val="000000" w:themeColor="text1"/>
          <w:lang w:val="en-GB"/>
        </w:rPr>
        <w:t>,</w:t>
      </w:r>
      <w:r w:rsidR="00DA3EB1" w:rsidRPr="00C31E8B">
        <w:rPr>
          <w:color w:val="000000" w:themeColor="text1"/>
          <w:lang w:val="en-GB"/>
        </w:rPr>
        <w:t xml:space="preserve"> Supplementary Figure 4,</w:t>
      </w:r>
      <w:r w:rsidRPr="00C31E8B">
        <w:rPr>
          <w:color w:val="000000" w:themeColor="text1"/>
          <w:lang w:val="en-GB"/>
        </w:rPr>
        <w:t xml:space="preserve"> </w:t>
      </w:r>
      <w:bookmarkStart w:id="88" w:name="m3wgli4bh2tv" w:colFirst="0" w:colLast="0"/>
      <w:bookmarkStart w:id="89" w:name="_Hlk240906564"/>
      <w:bookmarkEnd w:id="88"/>
      <w:r w:rsidR="00A54B30" w:rsidRPr="00C31E8B">
        <w:rPr>
          <w:color w:val="000000" w:themeColor="text1"/>
          <w:lang w:val="en-GB"/>
        </w:rPr>
        <w:t>Supplementary Table 1</w:t>
      </w:r>
      <w:r w:rsidR="00FD09A3" w:rsidRPr="00C31E8B">
        <w:rPr>
          <w:color w:val="000000" w:themeColor="text1"/>
          <w:lang w:val="en-GB"/>
        </w:rPr>
        <w:t>4</w:t>
      </w:r>
      <w:bookmarkEnd w:id="89"/>
      <w:r w:rsidRPr="00C31E8B">
        <w:rPr>
          <w:color w:val="000000" w:themeColor="text1"/>
          <w:lang w:val="en-GB"/>
        </w:rPr>
        <w:t>).</w:t>
      </w:r>
    </w:p>
    <w:p w14:paraId="2CD4534A" w14:textId="52EA5114" w:rsidR="00154067" w:rsidRPr="00C31E8B" w:rsidRDefault="00154067">
      <w:pPr>
        <w:pBdr>
          <w:top w:val="nil"/>
          <w:left w:val="nil"/>
          <w:bottom w:val="nil"/>
          <w:right w:val="nil"/>
          <w:between w:val="nil"/>
        </w:pBdr>
        <w:ind w:firstLine="300"/>
        <w:rPr>
          <w:color w:val="000000" w:themeColor="text1"/>
          <w:lang w:val="en-GB"/>
        </w:rPr>
      </w:pPr>
      <w:r w:rsidRPr="00C31E8B">
        <w:rPr>
          <w:color w:val="000000" w:themeColor="text1"/>
          <w:lang w:val="en-GB"/>
        </w:rPr>
        <w:t xml:space="preserve">Collectively, these findings identify </w:t>
      </w:r>
      <w:r w:rsidRPr="00C31E8B">
        <w:rPr>
          <w:rStyle w:val="Emphasis"/>
          <w:color w:val="000000" w:themeColor="text1"/>
          <w:lang w:val="en-GB"/>
        </w:rPr>
        <w:t>NLRP3</w:t>
      </w:r>
      <w:r w:rsidRPr="00C31E8B">
        <w:rPr>
          <w:color w:val="000000" w:themeColor="text1"/>
          <w:lang w:val="en-GB"/>
        </w:rPr>
        <w:t xml:space="preserve"> as the gene underlying the inflammatory signal at this </w:t>
      </w:r>
      <w:proofErr w:type="gramStart"/>
      <w:r w:rsidRPr="00C31E8B">
        <w:rPr>
          <w:color w:val="000000" w:themeColor="text1"/>
          <w:lang w:val="en-GB"/>
        </w:rPr>
        <w:t>locus,</w:t>
      </w:r>
      <w:r w:rsidR="0026298D" w:rsidRPr="00C31E8B">
        <w:rPr>
          <w:color w:val="000000" w:themeColor="text1"/>
          <w:lang w:val="en-GB"/>
        </w:rPr>
        <w:t xml:space="preserve"> </w:t>
      </w:r>
      <w:r w:rsidRPr="00C31E8B">
        <w:rPr>
          <w:color w:val="000000" w:themeColor="text1"/>
          <w:lang w:val="en-GB"/>
        </w:rPr>
        <w:t>and</w:t>
      </w:r>
      <w:proofErr w:type="gramEnd"/>
      <w:r w:rsidRPr="00C31E8B">
        <w:rPr>
          <w:color w:val="000000" w:themeColor="text1"/>
          <w:lang w:val="en-GB"/>
        </w:rPr>
        <w:t xml:space="preserve"> show that the CAD association is directionally consistent across sensitivity analyses.</w:t>
      </w:r>
    </w:p>
    <w:p w14:paraId="565C7FB4" w14:textId="2C991049" w:rsidR="006D380D" w:rsidRPr="008C12C7" w:rsidRDefault="00000000">
      <w:pPr>
        <w:pStyle w:val="Heading2"/>
        <w:rPr>
          <w:lang w:val="en-GB"/>
        </w:rPr>
      </w:pPr>
      <w:bookmarkStart w:id="90" w:name="z1u7hmhyvtla" w:colFirst="0" w:colLast="0"/>
      <w:bookmarkStart w:id="91" w:name="_j0exgtajezgn" w:colFirst="0" w:colLast="0"/>
      <w:bookmarkEnd w:id="82"/>
      <w:bookmarkEnd w:id="90"/>
      <w:bookmarkEnd w:id="91"/>
      <w:r w:rsidRPr="008C12C7">
        <w:rPr>
          <w:lang w:val="en-GB"/>
        </w:rPr>
        <w:t xml:space="preserve">4.6. Genetic associations of the NLRP3 activity score across </w:t>
      </w:r>
      <w:r w:rsidR="006073A7" w:rsidRPr="008C12C7">
        <w:rPr>
          <w:lang w:val="en-GB"/>
        </w:rPr>
        <w:t>diseases under investigation</w:t>
      </w:r>
      <w:r w:rsidRPr="008C12C7">
        <w:rPr>
          <w:lang w:val="en-GB"/>
        </w:rPr>
        <w:t xml:space="preserve"> for NLRP3 inhibitors</w:t>
      </w:r>
    </w:p>
    <w:p w14:paraId="537E0E73" w14:textId="23BFC946" w:rsidR="006D380D" w:rsidRPr="008C12C7" w:rsidRDefault="00000000" w:rsidP="001E6FDD">
      <w:pPr>
        <w:pBdr>
          <w:top w:val="nil"/>
          <w:left w:val="nil"/>
          <w:bottom w:val="nil"/>
          <w:right w:val="nil"/>
          <w:between w:val="nil"/>
        </w:pBdr>
        <w:rPr>
          <w:lang w:val="en-GB"/>
        </w:rPr>
      </w:pPr>
      <w:r w:rsidRPr="008C12C7">
        <w:rPr>
          <w:color w:val="000000"/>
          <w:lang w:val="en-GB"/>
        </w:rPr>
        <w:t xml:space="preserve">Beyond CAD, we explored whether the NLRP3 activity score was associated with </w:t>
      </w:r>
      <w:r w:rsidRPr="008C12C7">
        <w:rPr>
          <w:lang w:val="en-GB"/>
        </w:rPr>
        <w:t>1</w:t>
      </w:r>
      <w:r w:rsidR="000F0D5F">
        <w:rPr>
          <w:lang w:val="en-GB"/>
        </w:rPr>
        <w:t>5</w:t>
      </w:r>
      <w:r w:rsidRPr="008C12C7">
        <w:rPr>
          <w:color w:val="000000"/>
          <w:lang w:val="en-GB"/>
        </w:rPr>
        <w:t xml:space="preserve"> other diseases for which NLRP3 inhibitors have been or are under clinical investigation. </w:t>
      </w:r>
      <w:r w:rsidR="00C12A7C" w:rsidRPr="008C12C7">
        <w:rPr>
          <w:color w:val="000000"/>
          <w:lang w:val="en-GB"/>
        </w:rPr>
        <w:t xml:space="preserve">A </w:t>
      </w:r>
      <w:r w:rsidRPr="008C12C7">
        <w:rPr>
          <w:color w:val="000000"/>
          <w:lang w:val="en-GB"/>
        </w:rPr>
        <w:t xml:space="preserve">lower genetically proxied NLRP3 activity score was </w:t>
      </w:r>
      <w:r w:rsidR="00453D26" w:rsidRPr="008C12C7">
        <w:rPr>
          <w:color w:val="000000"/>
          <w:lang w:val="en-GB"/>
        </w:rPr>
        <w:t xml:space="preserve">nominally </w:t>
      </w:r>
      <w:r w:rsidRPr="008C12C7">
        <w:rPr>
          <w:color w:val="000000"/>
          <w:lang w:val="en-GB"/>
        </w:rPr>
        <w:t xml:space="preserve">associated with </w:t>
      </w:r>
      <w:r w:rsidRPr="008C12C7">
        <w:rPr>
          <w:lang w:val="en-GB"/>
        </w:rPr>
        <w:t xml:space="preserve">lower </w:t>
      </w:r>
      <w:r w:rsidRPr="008C12C7">
        <w:rPr>
          <w:color w:val="000000"/>
          <w:lang w:val="en-GB"/>
        </w:rPr>
        <w:t xml:space="preserve">risk of </w:t>
      </w:r>
      <w:r w:rsidR="000F0D5F" w:rsidRPr="008C12C7">
        <w:rPr>
          <w:color w:val="000000"/>
          <w:lang w:val="en-GB"/>
        </w:rPr>
        <w:t>gout (OR</w:t>
      </w:r>
      <w:r w:rsidR="00E17B3C">
        <w:rPr>
          <w:color w:val="000000"/>
          <w:lang w:val="en-GB"/>
        </w:rPr>
        <w:t xml:space="preserve"> </w:t>
      </w:r>
      <w:r w:rsidR="000F0D5F" w:rsidRPr="008C12C7">
        <w:rPr>
          <w:color w:val="000000"/>
          <w:lang w:val="en-GB"/>
        </w:rPr>
        <w:t>=</w:t>
      </w:r>
      <w:r w:rsidR="00E17B3C">
        <w:rPr>
          <w:color w:val="000000"/>
          <w:lang w:val="en-GB"/>
        </w:rPr>
        <w:t xml:space="preserve"> </w:t>
      </w:r>
      <w:r w:rsidR="000F0D5F" w:rsidRPr="008C12C7">
        <w:rPr>
          <w:color w:val="000000"/>
          <w:lang w:val="en-GB"/>
        </w:rPr>
        <w:t>0.64, 95% CI 0.47 to 0.8</w:t>
      </w:r>
      <w:r w:rsidR="006C7049">
        <w:rPr>
          <w:color w:val="000000"/>
          <w:lang w:val="en-GB"/>
        </w:rPr>
        <w:t>7</w:t>
      </w:r>
      <w:r w:rsidR="000F0D5F" w:rsidRPr="008C12C7">
        <w:rPr>
          <w:color w:val="000000"/>
          <w:lang w:val="en-GB"/>
        </w:rPr>
        <w:t xml:space="preserve">, </w:t>
      </w:r>
      <m:oMath>
        <m:r>
          <w:rPr>
            <w:rFonts w:ascii="Cambria Math" w:eastAsia="Cambria Math" w:hAnsi="Cambria Math" w:cs="Cambria Math"/>
            <w:color w:val="000000"/>
            <w:lang w:val="en-GB"/>
          </w:rPr>
          <m:t>P=0.0052</m:t>
        </m:r>
      </m:oMath>
      <w:r w:rsidR="000F0D5F" w:rsidRPr="008C12C7">
        <w:rPr>
          <w:color w:val="000000"/>
          <w:lang w:val="en-GB"/>
        </w:rPr>
        <w:t>)</w:t>
      </w:r>
      <w:r w:rsidRPr="008C12C7">
        <w:rPr>
          <w:color w:val="000000"/>
          <w:lang w:val="en-GB"/>
        </w:rPr>
        <w:t xml:space="preserve">, </w:t>
      </w:r>
      <w:r w:rsidR="000F0D5F" w:rsidRPr="000F0D5F">
        <w:rPr>
          <w:color w:val="000000"/>
          <w:lang w:val="en-GB"/>
        </w:rPr>
        <w:t>pericarditis (OR</w:t>
      </w:r>
      <w:r w:rsidR="00AB7422">
        <w:rPr>
          <w:color w:val="000000"/>
          <w:lang w:val="en-GB"/>
        </w:rPr>
        <w:t xml:space="preserve"> </w:t>
      </w:r>
      <w:r w:rsidR="000F0D5F" w:rsidRPr="000F0D5F">
        <w:rPr>
          <w:color w:val="000000"/>
          <w:lang w:val="en-GB"/>
        </w:rPr>
        <w:t>=</w:t>
      </w:r>
      <w:r w:rsidR="00AB7422">
        <w:rPr>
          <w:color w:val="000000"/>
          <w:lang w:val="en-GB"/>
        </w:rPr>
        <w:t xml:space="preserve"> </w:t>
      </w:r>
      <w:r w:rsidR="000F0D5F" w:rsidRPr="000F0D5F">
        <w:rPr>
          <w:color w:val="000000"/>
          <w:lang w:val="en-GB"/>
        </w:rPr>
        <w:t>0.22, 95% CI 0.0</w:t>
      </w:r>
      <w:r w:rsidR="006C7049">
        <w:rPr>
          <w:color w:val="000000"/>
          <w:lang w:val="en-GB"/>
        </w:rPr>
        <w:t>6</w:t>
      </w:r>
      <w:r w:rsidR="000F0D5F" w:rsidRPr="000F0D5F">
        <w:rPr>
          <w:color w:val="000000"/>
          <w:lang w:val="en-GB"/>
        </w:rPr>
        <w:t xml:space="preserve"> to 0.72, </w:t>
      </w:r>
      <w:r w:rsidR="000F0D5F" w:rsidRPr="00AB7422">
        <w:rPr>
          <w:i/>
          <w:iCs/>
          <w:color w:val="000000"/>
          <w:lang w:val="en-GB"/>
        </w:rPr>
        <w:t>P</w:t>
      </w:r>
      <w:r w:rsidR="00AB7422">
        <w:rPr>
          <w:color w:val="000000"/>
          <w:lang w:val="en-GB"/>
        </w:rPr>
        <w:t xml:space="preserve"> </w:t>
      </w:r>
      <w:r w:rsidR="000F0D5F" w:rsidRPr="000F0D5F">
        <w:rPr>
          <w:color w:val="000000"/>
          <w:lang w:val="en-GB"/>
        </w:rPr>
        <w:t>=</w:t>
      </w:r>
      <w:r w:rsidR="00AB7422">
        <w:rPr>
          <w:color w:val="000000"/>
          <w:lang w:val="en-GB"/>
        </w:rPr>
        <w:t xml:space="preserve"> </w:t>
      </w:r>
      <w:r w:rsidR="000F0D5F" w:rsidRPr="000F0D5F">
        <w:rPr>
          <w:color w:val="000000"/>
          <w:lang w:val="en-GB"/>
        </w:rPr>
        <w:t>0.012),</w:t>
      </w:r>
      <w:r w:rsidRPr="008C12C7">
        <w:rPr>
          <w:color w:val="000000"/>
          <w:lang w:val="en-GB"/>
        </w:rPr>
        <w:t xml:space="preserve"> and</w:t>
      </w:r>
      <w:r w:rsidR="000F0D5F">
        <w:rPr>
          <w:color w:val="000000"/>
          <w:lang w:val="en-GB"/>
        </w:rPr>
        <w:t xml:space="preserve"> </w:t>
      </w:r>
      <w:r w:rsidR="000F0D5F" w:rsidRPr="008C12C7">
        <w:rPr>
          <w:color w:val="000000"/>
          <w:lang w:val="en-GB"/>
        </w:rPr>
        <w:t>Parkinson’s disease (PD) (OR</w:t>
      </w:r>
      <w:r w:rsidR="00AC54A0">
        <w:rPr>
          <w:color w:val="000000"/>
          <w:lang w:val="en-GB"/>
        </w:rPr>
        <w:t xml:space="preserve"> </w:t>
      </w:r>
      <w:r w:rsidR="000F0D5F" w:rsidRPr="008C12C7">
        <w:rPr>
          <w:color w:val="000000"/>
          <w:lang w:val="en-GB"/>
        </w:rPr>
        <w:t>=</w:t>
      </w:r>
      <w:r w:rsidR="00AC54A0">
        <w:rPr>
          <w:color w:val="000000"/>
          <w:lang w:val="en-GB"/>
        </w:rPr>
        <w:t xml:space="preserve"> </w:t>
      </w:r>
      <w:r w:rsidR="000F0D5F" w:rsidRPr="008C12C7">
        <w:rPr>
          <w:color w:val="000000"/>
          <w:lang w:val="en-GB"/>
        </w:rPr>
        <w:t>0.48, 95% CI 0.24 to 0.95,</w:t>
      </w:r>
      <w:r w:rsidR="00755756" w:rsidRPr="00755756">
        <w:t xml:space="preserve"> </w:t>
      </w:r>
      <w:r w:rsidR="00755756" w:rsidRPr="00755756">
        <w:rPr>
          <w:i/>
          <w:iCs/>
          <w:color w:val="000000"/>
          <w:lang w:val="en-GB"/>
        </w:rPr>
        <w:t>P</w:t>
      </w:r>
      <w:r w:rsidR="00755756">
        <w:rPr>
          <w:color w:val="000000"/>
          <w:lang w:val="en-GB"/>
        </w:rPr>
        <w:t xml:space="preserve"> </w:t>
      </w:r>
      <w:r w:rsidR="00755756" w:rsidRPr="00755756">
        <w:rPr>
          <w:color w:val="000000"/>
          <w:lang w:val="en-GB"/>
        </w:rPr>
        <w:t>=</w:t>
      </w:r>
      <w:r w:rsidR="00755756">
        <w:rPr>
          <w:color w:val="000000"/>
          <w:lang w:val="en-GB"/>
        </w:rPr>
        <w:t xml:space="preserve"> </w:t>
      </w:r>
      <w:r w:rsidR="00755756" w:rsidRPr="00755756">
        <w:rPr>
          <w:color w:val="000000"/>
          <w:lang w:val="en-GB"/>
        </w:rPr>
        <w:t>0.036</w:t>
      </w:r>
      <w:r w:rsidR="000F0D5F">
        <w:rPr>
          <w:color w:val="000000"/>
          <w:lang w:val="en-GB"/>
        </w:rPr>
        <w:t>)</w:t>
      </w:r>
      <w:r w:rsidRPr="008C12C7">
        <w:rPr>
          <w:color w:val="000000"/>
          <w:lang w:val="en-GB"/>
        </w:rPr>
        <w:t xml:space="preserve"> (</w:t>
      </w:r>
      <w:hyperlink w:anchor="kc7v47skevd7">
        <w:r w:rsidR="00813508">
          <w:rPr>
            <w:color w:val="000000"/>
            <w:lang w:val="en-GB"/>
          </w:rPr>
          <w:t>Figure</w:t>
        </w:r>
      </w:hyperlink>
      <w:r w:rsidR="00813508">
        <w:rPr>
          <w:lang w:val="en-GB"/>
        </w:rPr>
        <w:t xml:space="preserve"> 5</w:t>
      </w:r>
      <w:r w:rsidRPr="008C12C7">
        <w:rPr>
          <w:color w:val="000000"/>
          <w:lang w:val="en-GB"/>
        </w:rPr>
        <w:t xml:space="preserve">). </w:t>
      </w:r>
      <w:bookmarkStart w:id="92" w:name="ipsqrsrnovp6" w:colFirst="0" w:colLast="0"/>
      <w:bookmarkStart w:id="93" w:name="_Hlk240910409"/>
      <w:bookmarkEnd w:id="92"/>
      <w:r w:rsidR="00E3369E" w:rsidRPr="00E3369E">
        <w:rPr>
          <w:color w:val="000000"/>
          <w:lang w:val="en-GB"/>
        </w:rPr>
        <w:t xml:space="preserve">Among the remaining indications, a suggestive association in the same direction was observed for RA. Type 2 diabetes was the one indication where lower genetically proxied NLRP3 activity was associated with higher risk, and this estimate is reported above as a mediator of the </w:t>
      </w:r>
      <w:r w:rsidR="00E3369E" w:rsidRPr="00C31E8B">
        <w:rPr>
          <w:color w:val="000000" w:themeColor="text1"/>
          <w:lang w:val="en-GB"/>
        </w:rPr>
        <w:t xml:space="preserve">CAD association. No clear associations were observed for the other indications examined </w:t>
      </w:r>
      <w:r w:rsidRPr="00C31E8B">
        <w:rPr>
          <w:color w:val="000000" w:themeColor="text1"/>
          <w:lang w:val="en-GB"/>
        </w:rPr>
        <w:t>(</w:t>
      </w:r>
      <w:bookmarkStart w:id="94" w:name="_Hlk240906525"/>
      <w:r w:rsidR="00CB02FA" w:rsidRPr="00C31E8B">
        <w:rPr>
          <w:color w:val="000000" w:themeColor="text1"/>
          <w:lang w:val="en-GB"/>
        </w:rPr>
        <w:t>Supplementary Table 1</w:t>
      </w:r>
      <w:bookmarkEnd w:id="94"/>
      <w:r w:rsidR="00102C60" w:rsidRPr="00C31E8B">
        <w:rPr>
          <w:color w:val="000000" w:themeColor="text1"/>
          <w:lang w:val="en-GB"/>
        </w:rPr>
        <w:t>5</w:t>
      </w:r>
      <w:r w:rsidRPr="00C31E8B">
        <w:rPr>
          <w:color w:val="000000" w:themeColor="text1"/>
          <w:lang w:val="en-GB"/>
        </w:rPr>
        <w:t xml:space="preserve">). </w:t>
      </w:r>
      <w:bookmarkEnd w:id="93"/>
      <w:r w:rsidR="00453D26" w:rsidRPr="00C31E8B">
        <w:rPr>
          <w:color w:val="000000" w:themeColor="text1"/>
          <w:lang w:val="en-GB"/>
        </w:rPr>
        <w:t>Together</w:t>
      </w:r>
      <w:r w:rsidR="00453D26" w:rsidRPr="008C12C7">
        <w:rPr>
          <w:lang w:val="en-GB"/>
        </w:rPr>
        <w:t>, these exploratory findings provide human genetic evidence consistent with potential benefit of lower NLRP3 activity in selected inflammatory indications.</w:t>
      </w:r>
      <w:bookmarkEnd w:id="57"/>
      <w:r w:rsidRPr="008C12C7">
        <w:rPr>
          <w:lang w:val="en-GB"/>
        </w:rPr>
        <w:br w:type="page"/>
      </w:r>
    </w:p>
    <w:p w14:paraId="25FD2600" w14:textId="77777777" w:rsidR="006D380D" w:rsidRPr="008C12C7" w:rsidRDefault="00000000">
      <w:pPr>
        <w:pStyle w:val="Heading1"/>
        <w:rPr>
          <w:lang w:val="en-GB"/>
        </w:rPr>
      </w:pPr>
      <w:bookmarkStart w:id="95" w:name="t0vb09c9a2yg" w:colFirst="0" w:colLast="0"/>
      <w:bookmarkStart w:id="96" w:name="_mpcul5der36m" w:colFirst="0" w:colLast="0"/>
      <w:bookmarkEnd w:id="95"/>
      <w:bookmarkEnd w:id="96"/>
      <w:r w:rsidRPr="008C12C7">
        <w:rPr>
          <w:lang w:val="en-GB"/>
        </w:rPr>
        <w:lastRenderedPageBreak/>
        <w:t>5. Discussion</w:t>
      </w:r>
    </w:p>
    <w:p w14:paraId="7BA787C4" w14:textId="60BEBAD2" w:rsidR="006D380D" w:rsidRPr="008C12C7" w:rsidRDefault="00000000" w:rsidP="006C1B13">
      <w:pPr>
        <w:pBdr>
          <w:top w:val="nil"/>
          <w:left w:val="nil"/>
          <w:bottom w:val="nil"/>
          <w:right w:val="nil"/>
          <w:between w:val="nil"/>
        </w:pBdr>
        <w:rPr>
          <w:color w:val="000000"/>
          <w:lang w:val="en-GB"/>
        </w:rPr>
      </w:pPr>
      <w:bookmarkStart w:id="97" w:name="_Hlk240396828"/>
      <w:r w:rsidRPr="008C12C7">
        <w:rPr>
          <w:color w:val="000000"/>
          <w:lang w:val="en-GB"/>
        </w:rPr>
        <w:t>In this drug-target MR study, we investigated whether genetically proxied lower NLRP3 activity</w:t>
      </w:r>
      <w:r w:rsidR="006C1B13" w:rsidRPr="008C12C7">
        <w:rPr>
          <w:color w:val="000000"/>
          <w:lang w:val="en-GB"/>
        </w:rPr>
        <w:t xml:space="preserve"> </w:t>
      </w:r>
      <w:r w:rsidRPr="008C12C7">
        <w:rPr>
          <w:color w:val="000000"/>
          <w:lang w:val="en-GB"/>
        </w:rPr>
        <w:t xml:space="preserve">is associated with CAD risk. </w:t>
      </w:r>
      <w:r w:rsidR="006C1B13" w:rsidRPr="008C12C7">
        <w:rPr>
          <w:color w:val="000000"/>
          <w:lang w:val="en-GB"/>
        </w:rPr>
        <w:t xml:space="preserve">Because NLRP3 activity cannot be measured directly in large </w:t>
      </w:r>
      <w:r w:rsidRPr="008C12C7">
        <w:rPr>
          <w:color w:val="000000"/>
          <w:lang w:val="en-GB"/>
        </w:rPr>
        <w:t>population datasets</w:t>
      </w:r>
      <w:r w:rsidR="00146ECD" w:rsidRPr="008C12C7">
        <w:rPr>
          <w:lang w:val="en-GB"/>
        </w:rPr>
        <w:fldChar w:fldCharType="begin"/>
      </w:r>
      <w:r w:rsidR="003902DB">
        <w:rPr>
          <w:lang w:val="en-GB"/>
        </w:rPr>
        <w:instrText xml:space="preserve"> ADDIN ZOTERO_ITEM CSL_CITATION {"citationID":"vcsmYce1","properties":{"unsorted":false,"formattedCitation":"\\super 44\\nosupersub{}","plainCitation":"44","noteIndex":0},"citationItems":[{"id":341,"uris":["http://zotero.org/users/12564564/items/5YV98G2H"],"itemData":{"id":341,"type":"article-journal","abstract":"The NOD-, LRR-, and pyrin-domain-containing protein 3 (NLRP3) inflammasome is a node of intracellular stress pathways and a druggable target which integrates mitochondrial stress and inflammatory cascades. While a body of evidence suggests the involvement of the NLRP3 inflammasome in numerous diseases, a lack of reliable measurement techniques highlights the need for a robust assay using small quantities of biological samples. We present a literature overview on peripheral activation of the NLRP3 inflammasome in mood disorders, then outline a process to develop and validate a robust assay to measure baseline and activated intracellular levels of “apoptosis-associated speck-like protein containing a CARD” (ASC) as a key component of an inflammatory profile in peripheral blood mononuclear cells (PBMC). A consistent association between high NLRP3 mRNA levels and relevant cytokines was seen in the literature. Using our method to measure ASC, stimulation of PBMC with lipopolysaccharide and nigericin or adenosine triphosphate resulted in microscopic identification of intracellular ASC specks, as well as interleukin 1 (IL-1) beta and caspase-1 p10 in the periphery. This was abolished by dose-dependent pre-treatment with 100 nM MCC950. We also report the use of this technique in a small pilot sample from patients with bipolar disorder and depressive disorders. The results show that levels of intracellular ASC and IL-1 beta are sensitive to change upon activation and maintained over time, which may be used to improve the detection of NLRP3 activation and guide personalized therapeutic strategy in the treatment of patients.","container-title":"International Journal of Molecular Sciences","DOI":"10.3390/ijms222212513","ISSN":"1422-0067","issue":"22","journalAbbreviation":"Int J Mol Sci","note":"PMID: 34830395\nPMCID: PMC8618969","page":"12513","source":"PubMed Central","title":"Characterizing the NLRP3 Inflammasome in Mood Disorders: Overview, Technical Development, and Measures of Peripheral Activation in Adolescent Patients","title-short":"Characterizing the NLRP3 Inflammasome in Mood Disorders","volume":"22","author":[{"family":"Zhou","given":"Xinyang"},{"family":"Fernando","given":"Shehan M."},{"family":"Pan","given":"Alexander Y."},{"family":"Laposa","given":"Rebecca"},{"family":"Cullen","given":"Kathryn R."},{"family":"Klimes-Dougan","given":"Bonnie"},{"family":"Andreazza","given":"Ana C."}],"issued":{"date-parts":[["2021",11,19]]}}}],"schema":"https://github.com/citation-style-language/schema/raw/master/csl-citation.json"} </w:instrText>
      </w:r>
      <w:r w:rsidR="00146ECD" w:rsidRPr="008C12C7">
        <w:rPr>
          <w:lang w:val="en-GB"/>
        </w:rPr>
        <w:fldChar w:fldCharType="separate"/>
      </w:r>
      <w:r w:rsidR="003902DB" w:rsidRPr="003902DB">
        <w:rPr>
          <w:szCs w:val="24"/>
          <w:vertAlign w:val="superscript"/>
          <w:lang w:val="en-GB"/>
        </w:rPr>
        <w:t>44</w:t>
      </w:r>
      <w:r w:rsidR="00146ECD" w:rsidRPr="008C12C7">
        <w:rPr>
          <w:lang w:val="en-GB"/>
        </w:rPr>
        <w:fldChar w:fldCharType="end"/>
      </w:r>
      <w:r w:rsidRPr="008C12C7">
        <w:rPr>
          <w:color w:val="000000"/>
          <w:lang w:val="en-GB"/>
        </w:rPr>
        <w:t xml:space="preserve">, </w:t>
      </w:r>
      <w:r w:rsidR="001F6A6E" w:rsidRPr="008C12C7">
        <w:rPr>
          <w:lang w:val="en-GB"/>
        </w:rPr>
        <w:t xml:space="preserve">we constructed a composite genetic score combining </w:t>
      </w:r>
      <w:r w:rsidR="001F6A6E" w:rsidRPr="008C12C7">
        <w:rPr>
          <w:rStyle w:val="Emphasis"/>
          <w:lang w:val="en-GB"/>
        </w:rPr>
        <w:t>NLRP3</w:t>
      </w:r>
      <w:r w:rsidR="001F6A6E" w:rsidRPr="008C12C7">
        <w:rPr>
          <w:lang w:val="en-GB"/>
        </w:rPr>
        <w:t xml:space="preserve"> expression with downstream inflammatory biomarkers</w:t>
      </w:r>
      <w:r w:rsidRPr="008C12C7">
        <w:rPr>
          <w:color w:val="000000"/>
          <w:lang w:val="en-GB"/>
        </w:rPr>
        <w:t xml:space="preserve">. A lower genetically proxied NLRP3 activity score was associated with lower </w:t>
      </w:r>
      <w:bookmarkStart w:id="98" w:name="_Hlk240450575"/>
      <w:r w:rsidRPr="008C12C7">
        <w:rPr>
          <w:color w:val="000000"/>
          <w:lang w:val="en-GB"/>
        </w:rPr>
        <w:t>circulating IL</w:t>
      </w:r>
      <w:r w:rsidR="00DD4645" w:rsidRPr="008C12C7">
        <w:rPr>
          <w:color w:val="000000"/>
          <w:lang w:val="en-GB"/>
        </w:rPr>
        <w:t>-</w:t>
      </w:r>
      <w:bookmarkStart w:id="99" w:name="_Hlk240450582"/>
      <w:r w:rsidRPr="008C12C7">
        <w:rPr>
          <w:color w:val="000000"/>
          <w:lang w:val="en-GB"/>
        </w:rPr>
        <w:t>1β</w:t>
      </w:r>
      <w:bookmarkEnd w:id="98"/>
      <w:bookmarkEnd w:id="99"/>
      <w:r w:rsidRPr="008C12C7">
        <w:rPr>
          <w:color w:val="000000"/>
          <w:lang w:val="en-GB"/>
        </w:rPr>
        <w:t>, IL</w:t>
      </w:r>
      <w:r w:rsidR="00DD4645" w:rsidRPr="008C12C7">
        <w:rPr>
          <w:color w:val="000000"/>
          <w:lang w:val="en-GB"/>
        </w:rPr>
        <w:t>-</w:t>
      </w:r>
      <w:r w:rsidRPr="008C12C7">
        <w:rPr>
          <w:color w:val="000000"/>
          <w:lang w:val="en-GB"/>
        </w:rPr>
        <w:t>18, and IL</w:t>
      </w:r>
      <w:r w:rsidR="00DD4645" w:rsidRPr="008C12C7">
        <w:rPr>
          <w:color w:val="000000"/>
          <w:lang w:val="en-GB"/>
        </w:rPr>
        <w:t>-</w:t>
      </w:r>
      <w:r w:rsidRPr="008C12C7">
        <w:rPr>
          <w:color w:val="000000"/>
          <w:lang w:val="en-GB"/>
        </w:rPr>
        <w:t xml:space="preserve">6, consistent with the expected downstream effects of reduced NLRP3 activity. </w:t>
      </w:r>
      <w:r w:rsidR="00DD4645" w:rsidRPr="008C12C7">
        <w:rPr>
          <w:color w:val="000000"/>
          <w:lang w:val="en-GB"/>
        </w:rPr>
        <w:t>Despite these lower inflammatory readouts, a lower NLRP3 activity score was associated with higher CAD risk, and with greater coronary artery calcification and coronary plaque burden</w:t>
      </w:r>
      <w:r w:rsidRPr="008C12C7">
        <w:rPr>
          <w:color w:val="000000"/>
          <w:lang w:val="en-GB"/>
        </w:rPr>
        <w:t xml:space="preserve">. </w:t>
      </w:r>
      <w:r w:rsidR="00A50E5C" w:rsidRPr="008C12C7">
        <w:rPr>
          <w:color w:val="000000"/>
          <w:lang w:val="en-GB"/>
        </w:rPr>
        <w:t xml:space="preserve">Mediation analyses suggested that this association </w:t>
      </w:r>
      <w:r w:rsidR="00712262" w:rsidRPr="008C12C7">
        <w:rPr>
          <w:color w:val="000000"/>
          <w:lang w:val="en-GB"/>
        </w:rPr>
        <w:t xml:space="preserve">was </w:t>
      </w:r>
      <w:r w:rsidR="00B80F6F">
        <w:rPr>
          <w:color w:val="000000"/>
          <w:lang w:val="en-GB"/>
        </w:rPr>
        <w:t>largely accounted</w:t>
      </w:r>
      <w:r w:rsidR="00712262" w:rsidRPr="008C12C7">
        <w:rPr>
          <w:color w:val="000000"/>
          <w:lang w:val="en-GB"/>
        </w:rPr>
        <w:t xml:space="preserve"> for </w:t>
      </w:r>
      <w:r w:rsidRPr="008C12C7">
        <w:rPr>
          <w:color w:val="000000"/>
          <w:lang w:val="en-GB"/>
        </w:rPr>
        <w:t>by adverse cardiometabolic effects, including higher SBP, higher levels of proatherogenic lipids including ApoB, and greater T2D risk</w:t>
      </w:r>
      <w:r w:rsidR="00432A17" w:rsidRPr="008C12C7">
        <w:rPr>
          <w:color w:val="000000"/>
          <w:lang w:val="en-GB"/>
        </w:rPr>
        <w:t xml:space="preserve">, with no </w:t>
      </w:r>
      <w:r w:rsidR="003E14C5" w:rsidRPr="008C12C7">
        <w:rPr>
          <w:color w:val="000000"/>
          <w:lang w:val="en-GB"/>
        </w:rPr>
        <w:t xml:space="preserve">evidence of a residual direct association </w:t>
      </w:r>
      <w:r w:rsidR="00432A17" w:rsidRPr="008C12C7">
        <w:rPr>
          <w:color w:val="000000"/>
          <w:lang w:val="en-GB"/>
        </w:rPr>
        <w:t>after accounting for these pathways.</w:t>
      </w:r>
      <w:r w:rsidRPr="008C12C7">
        <w:rPr>
          <w:color w:val="000000"/>
          <w:lang w:val="en-GB"/>
        </w:rPr>
        <w:t xml:space="preserve"> </w:t>
      </w:r>
      <w:r w:rsidR="00712262" w:rsidRPr="008C12C7">
        <w:rPr>
          <w:color w:val="000000"/>
          <w:lang w:val="en-GB"/>
        </w:rPr>
        <w:t xml:space="preserve">In contrast, a lower </w:t>
      </w:r>
      <w:r w:rsidR="00425120" w:rsidRPr="008C12C7">
        <w:rPr>
          <w:color w:val="000000"/>
          <w:lang w:val="en-GB"/>
        </w:rPr>
        <w:t>NLRP3</w:t>
      </w:r>
      <w:r w:rsidR="00712262" w:rsidRPr="008C12C7">
        <w:rPr>
          <w:color w:val="000000"/>
          <w:lang w:val="en-GB"/>
        </w:rPr>
        <w:t xml:space="preserve"> activity score was</w:t>
      </w:r>
      <w:r w:rsidR="00B30194">
        <w:rPr>
          <w:color w:val="000000"/>
          <w:lang w:val="en-GB"/>
        </w:rPr>
        <w:t xml:space="preserve"> </w:t>
      </w:r>
      <w:bookmarkStart w:id="100" w:name="_Hlk241069857"/>
      <w:r w:rsidR="00B30194">
        <w:rPr>
          <w:color w:val="000000"/>
          <w:lang w:val="en-GB"/>
        </w:rPr>
        <w:t>nominally</w:t>
      </w:r>
      <w:r w:rsidR="00712262" w:rsidRPr="008C12C7">
        <w:rPr>
          <w:color w:val="000000"/>
          <w:lang w:val="en-GB"/>
        </w:rPr>
        <w:t xml:space="preserve"> </w:t>
      </w:r>
      <w:bookmarkEnd w:id="100"/>
      <w:r w:rsidR="00712262" w:rsidRPr="008C12C7">
        <w:rPr>
          <w:color w:val="000000"/>
          <w:lang w:val="en-GB"/>
        </w:rPr>
        <w:t xml:space="preserve">associated with lower risk of gout, pericarditis and Parkinson’s disease. </w:t>
      </w:r>
      <w:r w:rsidRPr="008C12C7">
        <w:rPr>
          <w:color w:val="000000"/>
          <w:lang w:val="en-GB"/>
        </w:rPr>
        <w:t xml:space="preserve">Overall, our data do not provide genetic support for a direct, inflammation-mediated protective effect of </w:t>
      </w:r>
      <w:r w:rsidR="00737626" w:rsidRPr="008C12C7">
        <w:rPr>
          <w:color w:val="000000"/>
          <w:lang w:val="en-GB"/>
        </w:rPr>
        <w:t xml:space="preserve">lifelong </w:t>
      </w:r>
      <w:r w:rsidR="00CD78E9" w:rsidRPr="008C12C7">
        <w:rPr>
          <w:color w:val="000000"/>
          <w:lang w:val="en-GB"/>
        </w:rPr>
        <w:t xml:space="preserve">lower </w:t>
      </w:r>
      <w:r w:rsidR="00A50E5C" w:rsidRPr="008C12C7">
        <w:rPr>
          <w:color w:val="000000"/>
          <w:lang w:val="en-GB"/>
        </w:rPr>
        <w:t>NLRP3</w:t>
      </w:r>
      <w:r w:rsidR="00CD78E9" w:rsidRPr="008C12C7">
        <w:rPr>
          <w:color w:val="000000"/>
          <w:lang w:val="en-GB"/>
        </w:rPr>
        <w:t xml:space="preserve"> activity on CAD risk</w:t>
      </w:r>
      <w:r w:rsidRPr="008C12C7">
        <w:rPr>
          <w:color w:val="000000"/>
          <w:lang w:val="en-GB"/>
        </w:rPr>
        <w:t>.</w:t>
      </w:r>
    </w:p>
    <w:p w14:paraId="0E059621" w14:textId="7518CFB7" w:rsidR="004625A5" w:rsidRPr="008C12C7" w:rsidRDefault="00CB5373" w:rsidP="005D38B2">
      <w:pPr>
        <w:pBdr>
          <w:top w:val="nil"/>
          <w:left w:val="nil"/>
          <w:bottom w:val="nil"/>
          <w:right w:val="nil"/>
          <w:between w:val="nil"/>
        </w:pBdr>
        <w:ind w:firstLine="720"/>
        <w:rPr>
          <w:lang w:val="en-GB"/>
        </w:rPr>
      </w:pPr>
      <w:bookmarkStart w:id="101" w:name="_Hlk240450845"/>
      <w:r w:rsidRPr="008C12C7">
        <w:rPr>
          <w:color w:val="000000"/>
          <w:lang w:val="en-GB"/>
        </w:rPr>
        <w:t>Our findings contrast with the CANTOS trial, where canakinumab reduced recurrent cardiovascular events through inhibition of IL-1β</w:t>
      </w:r>
      <w:r w:rsidR="008004EC" w:rsidRPr="008C12C7">
        <w:rPr>
          <w:color w:val="000000"/>
          <w:lang w:val="en-GB"/>
        </w:rPr>
        <w:t>, a downstream effector of NLRP3 inflammasome activation</w:t>
      </w:r>
      <w:r w:rsidR="009F2639" w:rsidRPr="008C12C7">
        <w:rPr>
          <w:color w:val="000000"/>
          <w:lang w:val="en-GB"/>
        </w:rPr>
        <w:fldChar w:fldCharType="begin"/>
      </w:r>
      <w:r w:rsidR="003902DB">
        <w:rPr>
          <w:color w:val="000000"/>
          <w:lang w:val="en-GB"/>
        </w:rPr>
        <w:instrText xml:space="preserve"> ADDIN ZOTERO_ITEM CSL_CITATION {"citationID":"1xlUPnTR","properties":{"unsorted":false,"formattedCitation":"\\super 2,45\\nosupersub{}","plainCitation":"2,45","noteIndex":0},"citationItems":[{"id":481,"uris":["http://zotero.org/users/12564564/items/VB35AAIX"],"itemData":{"id":481,"type":"article-journal","abstract":"Patients with myocardial infarction and a high-sensitivity CRP level of 2 mg or more per liter were assigned to one of three canakinumab doses or placebo. The 150-mg dose, but not the 50-mg or 300-mg dose, led to a lower incidence of recurrent cardiovascular events.","container-title":"New England Journal of Medicine","DOI":"10.1056/NEJMoa1707914","ISSN":"0028-4793","issue":"12","note":"publisher: Massachusetts Medical Society\n_eprint: https://www.nejm.org/doi/pdf/10.1056/NEJMoa1707914","page":"1119-1131","source":"Taylor and Francis+NEJM","title":"Antiinflammatory Therapy with Canakinumab for Atherosclerotic Disease","volume":"377","author":[{"family":"Ridker","given":"Paul M."},{"family":"Everett","given":"Brendan M."},{"family":"Thuren","given":"Tom"},{"family":"MacFadyen","given":"Jean G."},{"family":"Chang","given":"William H."},{"family":"Ballantyne","given":"Christie"},{"family":"Fonseca","given":"Francisco"},{"family":"Nicolau","given":"Jose"},{"family":"Koenig","given":"Wolfgang"},{"family":"Anker","given":"Stefan D."},{"family":"Kastelein","given":"John J. P."},{"family":"Cornel","given":"Jan H."},{"family":"Pais","given":"Prem"},{"family":"Pella","given":"Daniel"},{"family":"Genest","given":"Jacques"},{"family":"Cifkova","given":"Renata"},{"family":"Lorenzatti","given":"Alberto"},{"family":"Forster","given":"Tamas"},{"family":"Kobalava","given":"Zhanna"},{"family":"Vida-Simiti","given":"Luminita"},{"family":"Flather","given":"Marcus"},{"family":"Shimokawa","given":"Hiroaki"},{"family":"Ogawa","given":"Hisao"},{"family":"Dellborg","given":"Mikael"},{"family":"Rossi","given":"Paulo R. F."},{"family":"Troquay","given":"Roland P. T."},{"family":"Libby","given":"Peter"},{"family":"Glynn","given":"Robert J."}],"issued":{"date-parts":[["2017",9,21]]}}},{"id":408,"uris":["http://zotero.org/users/12564564/items/B3JT2A53"],"itemData":{"id":408,"type":"article-journal","abstract":"Inflammatory pathways drive atherogenesis and link conventional risk factors to atherosclerosis and its complications. One inflammatory mediator has come to the fore as a therapeutic target in cardiovascular disease. The experimental and clinical evidence reviewed here support interleukin-1 beta (IL-1β) as both a local vascular and systemic contributor in this regard. Intrinsic vascular wall cells and lesional leukocytes alike can produce this cytokine. Local stimuli in the plaque favor the generation of active IL-1β through the action of a molecular assembly known as the inflammasome. Clinically applicable interventions that interfere with IL-1 action can improve cardiovascular outcomes, ushering in a new era of anti-inflammatory therapies for atherosclerosis. The translational path described here illustrates how advances in basic vascular biology may transform therapy. Biomarker-directed application of anti-inflammatory interventions promises to help us achieve a more precise and personalized allocation of therapy for our cardiovascular patients.","container-title":"Journal of the American College of Cardiology","DOI":"10.1016/j.jacc.2017.09.028","ISSN":"1558-3597","issue":"18","journalAbbreviation":"J Am Coll Cardiol","language":"eng","note":"PMID: 29073957\nPMCID: PMC5687846","page":"2278-2289","source":"PubMed","title":"Interleukin-1 Beta as a Target for Atherosclerosis Therapy: Biological Basis of CANTOS and Beyond","title-short":"Interleukin-1 Beta as a Target for Atherosclerosis Therapy","volume":"70","author":[{"family":"Libby","given":"Peter"}],"issued":{"date-parts":[["2017",10,31]]}}}],"schema":"https://github.com/citation-style-language/schema/raw/master/csl-citation.json"} </w:instrText>
      </w:r>
      <w:r w:rsidR="009F2639" w:rsidRPr="008C12C7">
        <w:rPr>
          <w:color w:val="000000"/>
          <w:lang w:val="en-GB"/>
        </w:rPr>
        <w:fldChar w:fldCharType="separate"/>
      </w:r>
      <w:r w:rsidR="003902DB" w:rsidRPr="003902DB">
        <w:rPr>
          <w:color w:val="000000"/>
          <w:szCs w:val="24"/>
          <w:vertAlign w:val="superscript"/>
          <w:lang w:val="en-GB"/>
        </w:rPr>
        <w:t>2,45</w:t>
      </w:r>
      <w:r w:rsidR="009F2639" w:rsidRPr="008C12C7">
        <w:rPr>
          <w:color w:val="000000"/>
          <w:lang w:val="en-GB"/>
        </w:rPr>
        <w:fldChar w:fldCharType="end"/>
      </w:r>
      <w:r w:rsidR="008004EC" w:rsidRPr="008C12C7">
        <w:rPr>
          <w:color w:val="000000"/>
          <w:lang w:val="en-GB"/>
        </w:rPr>
        <w:t xml:space="preserve">. </w:t>
      </w:r>
      <w:r w:rsidR="009F2639" w:rsidRPr="008C12C7">
        <w:rPr>
          <w:color w:val="000000"/>
          <w:lang w:val="en-GB"/>
        </w:rPr>
        <w:t>Post hoc analyses of CANTOS showed that canakinumab lowered IL-6 but not IL-18, and that residual levels of both cytokines predicted recurrent events</w:t>
      </w:r>
      <w:r w:rsidR="009F2639" w:rsidRPr="008C12C7">
        <w:rPr>
          <w:color w:val="000000"/>
          <w:lang w:val="en-GB"/>
        </w:rPr>
        <w:fldChar w:fldCharType="begin"/>
      </w:r>
      <w:r w:rsidR="003902DB">
        <w:rPr>
          <w:color w:val="000000"/>
          <w:lang w:val="en-GB"/>
        </w:rPr>
        <w:instrText xml:space="preserve"> ADDIN ZOTERO_ITEM CSL_CITATION {"citationID":"3ASsA97U","properties":{"unsorted":false,"formattedCitation":"\\super 46\\nosupersub{}","plainCitation":"46","noteIndex":0},"citationItems":[{"id":342,"uris":["http://zotero.org/users/12564564/items/2AQUJB2J"],"itemData":{"id":342,"type":"article-journal","abstract":"AIMS: The Canakinumab Antiinflammatory Thrombosis Outcomes Study (CANTOS) established that targeting inflammation with interleukin-1β (IL-1β) inhibition can significantly reduce cardiovascular (CV) event rates in the absence of any beneficial effects on cholesterol. Yet, CANTOS participants treated with both high-intensity statins and canakinumab remain at considerable risk for recurrent CV events. Both interleukin-18 (IL-18, which like IL-1β requires the NLRP3 inflammasome for activation) and interleukin-6 (IL-6, a pro-inflammatory cytokine downstream of IL-1) may contribute to the recurrent events that occur even on canakinumab therapy, and thus represent novel targets for treating atherothrombosis.\nMETHODS AND RESULTS: Plasma samples from 4848 stable post-myocardial infarction patients who were assigned to active IL-1β inhibition or placebo within CANTOS underwent measurement of IL-18 and IL-6 both before and after initiation of canakinumab using validated ELISA. All participants were followed over a median 3.7-year period (maximum 5 years) for recurrent major adverse cardiovascular events (MACE) and for all-cause mortality. Compared to placebo, canakinumab significantly reduced IL-6 levels in a dose-dependent manner yielding placebo-subtracted median percent reductions in IL-6 at 3 months of 24.8%, 36.3%, and 43.2% for the 50, 150, and 300 mg doses, respectively (all P-values &lt;0.001). By contrast, no dose of canakinumab significantly altered IL-18 levels measured at 3 months (all effects &lt;1%, all P-values &gt; 0.05). Yet, despite these differential plasma effects, either baseline and on-treatment levels of IL-18 or IL-6 associated with rates of future CV events. For example, for MACE, each tertile increase in IL-18 measured 3 months after canakinumab initiation associated with a 15% increase in risk [95% confidence interval (CI) 3-29%, P = 0.016], while each tertile increase in IL-6 measured 3 months after canakinumab initiation associated with a 42% increase in risk (95% CI 26-59%, P &lt; 0.0001). Similar effects were observed for MACE-plus, CV death, all-cause mortality, and the for the combination endpoint of all vascular events inclusive of revascularization procedures and hospitalization for congestive heart failure. In baseline as well as on-treatment analyses, risks were highest among those with the highest levels of both IL-18 and IL-6.\nCONCLUSION: There remains substantial residual inflammatory risk related to both IL-18 and IL-6 after IL-1β inhibition with canakinumab These data support further pharmacologic development of therapies for atherothrombosis that target IL-18 or IL-6 signalling, or that can simultaneously inhibit both IL-1β and IL-18 (such as NLRP3 inflammasome inhibitors).\nCLINICAL TRIAL REGISTRATION: ClinicalTrials.gov NCT01327846.","container-title":"European Heart Journal","DOI":"10.1093/eurheartj/ehz542","ISSN":"1522-9645","issue":"23","journalAbbreviation":"Eur Heart J","language":"eng","note":"PMID: 31504417","page":"2153-2163","source":"PubMed","title":"Residual inflammatory risk associated with interleukin-18 and interleukin-6 after successful interleukin-1β inhibition with canakinumab: further rationale for the development of targeted anti-cytokine therapies for the treatment of atherothrombosis","title-short":"Residual inflammatory risk associated with interleukin-18 and interleukin-6 after successful interleukin-1β inhibition with canakinumab","volume":"41","author":[{"family":"Ridker","given":"Paul M."},{"family":"MacFadyen","given":"Jean G."},{"family":"Thuren","given":"Tom"},{"family":"Libby","given":"Peter"}],"issued":{"date-parts":[["2020",6,14]]}}}],"schema":"https://github.com/citation-style-language/schema/raw/master/csl-citation.json"} </w:instrText>
      </w:r>
      <w:r w:rsidR="009F2639" w:rsidRPr="008C12C7">
        <w:rPr>
          <w:color w:val="000000"/>
          <w:lang w:val="en-GB"/>
        </w:rPr>
        <w:fldChar w:fldCharType="separate"/>
      </w:r>
      <w:r w:rsidR="003902DB" w:rsidRPr="003902DB">
        <w:rPr>
          <w:color w:val="000000"/>
          <w:szCs w:val="24"/>
          <w:vertAlign w:val="superscript"/>
          <w:lang w:val="en-GB"/>
        </w:rPr>
        <w:t>46</w:t>
      </w:r>
      <w:r w:rsidR="009F2639" w:rsidRPr="008C12C7">
        <w:rPr>
          <w:color w:val="000000"/>
          <w:lang w:val="en-GB"/>
        </w:rPr>
        <w:fldChar w:fldCharType="end"/>
      </w:r>
      <w:r w:rsidR="009F2639" w:rsidRPr="008C12C7">
        <w:rPr>
          <w:color w:val="000000"/>
          <w:lang w:val="en-GB"/>
        </w:rPr>
        <w:t xml:space="preserve">. </w:t>
      </w:r>
      <w:r w:rsidR="009F2639" w:rsidRPr="008C12C7">
        <w:rPr>
          <w:lang w:val="en-GB"/>
        </w:rPr>
        <w:t>On this basis, NLRP3 inhibition was proposed to offer greater benefit than IL-1β blockade alone, because it would lower IL-18 in addition to IL-1β, and direct IL-6 inhibition was proposed as an alternative strategy</w:t>
      </w:r>
      <w:r w:rsidR="009F2639" w:rsidRPr="008C12C7">
        <w:rPr>
          <w:lang w:val="en-GB"/>
        </w:rPr>
        <w:fldChar w:fldCharType="begin"/>
      </w:r>
      <w:r w:rsidR="003902DB">
        <w:rPr>
          <w:lang w:val="en-GB"/>
        </w:rPr>
        <w:instrText xml:space="preserve"> ADDIN ZOTERO_ITEM CSL_CITATION {"citationID":"6ZQAdBAW","properties":{"unsorted":false,"formattedCitation":"\\super 46\\nosupersub{}","plainCitation":"46","noteIndex":0},"citationItems":[{"id":342,"uris":["http://zotero.org/users/12564564/items/2AQUJB2J"],"itemData":{"id":342,"type":"article-journal","abstract":"AIMS: The Canakinumab Antiinflammatory Thrombosis Outcomes Study (CANTOS) established that targeting inflammation with interleukin-1β (IL-1β) inhibition can significantly reduce cardiovascular (CV) event rates in the absence of any beneficial effects on cholesterol. Yet, CANTOS participants treated with both high-intensity statins and canakinumab remain at considerable risk for recurrent CV events. Both interleukin-18 (IL-18, which like IL-1β requires the NLRP3 inflammasome for activation) and interleukin-6 (IL-6, a pro-inflammatory cytokine downstream of IL-1) may contribute to the recurrent events that occur even on canakinumab therapy, and thus represent novel targets for treating atherothrombosis.\nMETHODS AND RESULTS: Plasma samples from 4848 stable post-myocardial infarction patients who were assigned to active IL-1β inhibition or placebo within CANTOS underwent measurement of IL-18 and IL-6 both before and after initiation of canakinumab using validated ELISA. All participants were followed over a median 3.7-year period (maximum 5 years) for recurrent major adverse cardiovascular events (MACE) and for all-cause mortality. Compared to placebo, canakinumab significantly reduced IL-6 levels in a dose-dependent manner yielding placebo-subtracted median percent reductions in IL-6 at 3 months of 24.8%, 36.3%, and 43.2% for the 50, 150, and 300 mg doses, respectively (all P-values &lt;0.001). By contrast, no dose of canakinumab significantly altered IL-18 levels measured at 3 months (all effects &lt;1%, all P-values &gt; 0.05). Yet, despite these differential plasma effects, either baseline and on-treatment levels of IL-18 or IL-6 associated with rates of future CV events. For example, for MACE, each tertile increase in IL-18 measured 3 months after canakinumab initiation associated with a 15% increase in risk [95% confidence interval (CI) 3-29%, P = 0.016], while each tertile increase in IL-6 measured 3 months after canakinumab initiation associated with a 42% increase in risk (95% CI 26-59%, P &lt; 0.0001). Similar effects were observed for MACE-plus, CV death, all-cause mortality, and the for the combination endpoint of all vascular events inclusive of revascularization procedures and hospitalization for congestive heart failure. In baseline as well as on-treatment analyses, risks were highest among those with the highest levels of both IL-18 and IL-6.\nCONCLUSION: There remains substantial residual inflammatory risk related to both IL-18 and IL-6 after IL-1β inhibition with canakinumab These data support further pharmacologic development of therapies for atherothrombosis that target IL-18 or IL-6 signalling, or that can simultaneously inhibit both IL-1β and IL-18 (such as NLRP3 inflammasome inhibitors).\nCLINICAL TRIAL REGISTRATION: ClinicalTrials.gov NCT01327846.","container-title":"European Heart Journal","DOI":"10.1093/eurheartj/ehz542","ISSN":"1522-9645","issue":"23","journalAbbreviation":"Eur Heart J","language":"eng","note":"PMID: 31504417","page":"2153-2163","source":"PubMed","title":"Residual inflammatory risk associated with interleukin-18 and interleukin-6 after successful interleukin-1β inhibition with canakinumab: further rationale for the development of targeted anti-cytokine therapies for the treatment of atherothrombosis","title-short":"Residual inflammatory risk associated with interleukin-18 and interleukin-6 after successful interleukin-1β inhibition with canakinumab","volume":"41","author":[{"family":"Ridker","given":"Paul M."},{"family":"MacFadyen","given":"Jean G."},{"family":"Thuren","given":"Tom"},{"family":"Libby","given":"Peter"}],"issued":{"date-parts":[["2020",6,14]]}}}],"schema":"https://github.com/citation-style-language/schema/raw/master/csl-citation.json"} </w:instrText>
      </w:r>
      <w:r w:rsidR="009F2639" w:rsidRPr="008C12C7">
        <w:rPr>
          <w:lang w:val="en-GB"/>
        </w:rPr>
        <w:fldChar w:fldCharType="separate"/>
      </w:r>
      <w:r w:rsidR="003902DB" w:rsidRPr="003902DB">
        <w:rPr>
          <w:szCs w:val="24"/>
          <w:vertAlign w:val="superscript"/>
          <w:lang w:val="en-GB"/>
        </w:rPr>
        <w:t>46</w:t>
      </w:r>
      <w:r w:rsidR="009F2639" w:rsidRPr="008C12C7">
        <w:rPr>
          <w:lang w:val="en-GB"/>
        </w:rPr>
        <w:fldChar w:fldCharType="end"/>
      </w:r>
      <w:r w:rsidR="009F2639" w:rsidRPr="008C12C7">
        <w:rPr>
          <w:lang w:val="en-GB"/>
        </w:rPr>
        <w:t>. The IL-6 arm of this hypothesis has since been tested in the ZEUS trial, which found no reduction in cardiovascular events</w:t>
      </w:r>
      <w:r w:rsidR="009F2639" w:rsidRPr="008C12C7">
        <w:rPr>
          <w:lang w:val="en-GB"/>
        </w:rPr>
        <w:fldChar w:fldCharType="begin"/>
      </w:r>
      <w:r w:rsidR="009F2639" w:rsidRPr="008C12C7">
        <w:rPr>
          <w:lang w:val="en-GB"/>
        </w:rPr>
        <w:instrText xml:space="preserve"> ADDIN ZOTERO_ITEM CSL_CITATION {"citationID":"DJV2aFqC","properties":{"unsorted":false,"formattedCitation":"\\super 5\\nosupersub{}","plainCitation":"5","noteIndex":0},"citationItems":[{"id":2247,"uris":["http://zotero.org/users/12564564/items/CPAT7RG5"],"itemData":{"id":2247,"type":"article-journal","container-title":"American Journal of Preventive Cardiology","DOI":"10.1016/j.ajpc.2026.101799","ISSN":"2666-6677","journalAbbreviation":"American Journal of Preventive Cardiology","page":"101799","source":"ScienceDirect","title":"Preparing for the Full ZEUS Results and the Unfinished Question of IL-6 Inhibition","author":[{"family":"Yao","given":"Zhiqi"},{"family":"Blaha","given":"Michael J."},{"family":"Zahid","given":"Sohail"}],"issued":{"date-parts":[["2026",8,21]]}}}],"schema":"https://github.com/citation-style-language/schema/raw/master/csl-citation.json"} </w:instrText>
      </w:r>
      <w:r w:rsidR="009F2639" w:rsidRPr="008C12C7">
        <w:rPr>
          <w:lang w:val="en-GB"/>
        </w:rPr>
        <w:fldChar w:fldCharType="separate"/>
      </w:r>
      <w:r w:rsidR="00CC5B78" w:rsidRPr="00CC5B78">
        <w:rPr>
          <w:szCs w:val="24"/>
          <w:vertAlign w:val="superscript"/>
          <w:lang w:val="en-GB"/>
        </w:rPr>
        <w:t>5</w:t>
      </w:r>
      <w:r w:rsidR="009F2639" w:rsidRPr="008C12C7">
        <w:rPr>
          <w:lang w:val="en-GB"/>
        </w:rPr>
        <w:fldChar w:fldCharType="end"/>
      </w:r>
      <w:r w:rsidR="009F2639" w:rsidRPr="008C12C7">
        <w:rPr>
          <w:lang w:val="en-GB"/>
        </w:rPr>
        <w:t>. In our analysis, a lower NLRP3 activity score was associated with lower IL-1β, IL-18 and IL-6, yet with higher CAD risk, suggesting that the cardiovascular consequences of lower NLRP3 activity cannot be inferred from its anti-inflammatory effects alone.</w:t>
      </w:r>
      <w:bookmarkEnd w:id="101"/>
    </w:p>
    <w:p w14:paraId="7EF62577" w14:textId="4D698DFE" w:rsidR="002B422D" w:rsidRPr="008C12C7" w:rsidRDefault="002B422D" w:rsidP="006C1B13">
      <w:pPr>
        <w:pBdr>
          <w:top w:val="nil"/>
          <w:left w:val="nil"/>
          <w:bottom w:val="nil"/>
          <w:right w:val="nil"/>
          <w:between w:val="nil"/>
        </w:pBdr>
        <w:rPr>
          <w:lang w:val="en-GB"/>
        </w:rPr>
      </w:pPr>
      <w:r w:rsidRPr="008C12C7">
        <w:rPr>
          <w:lang w:val="en-GB"/>
        </w:rPr>
        <w:tab/>
      </w:r>
      <w:bookmarkStart w:id="102" w:name="_Hlk240465727"/>
      <w:r w:rsidRPr="008C12C7">
        <w:rPr>
          <w:lang w:val="en-GB"/>
        </w:rPr>
        <w:t>A likely explanation for the higher CAD risk is the adverse cardiometabolic profile associated with lower NLRP3 activity. Mediation analyses suggested that higher SBP, ApoB</w:t>
      </w:r>
      <w:r w:rsidR="003C4FC5" w:rsidRPr="008C12C7">
        <w:rPr>
          <w:lang w:val="en-GB"/>
        </w:rPr>
        <w:t xml:space="preserve"> levels</w:t>
      </w:r>
      <w:r w:rsidRPr="008C12C7">
        <w:rPr>
          <w:lang w:val="en-GB"/>
        </w:rPr>
        <w:t xml:space="preserve">, and T2D risk together accounted for almost </w:t>
      </w:r>
      <w:proofErr w:type="gramStart"/>
      <w:r w:rsidRPr="008C12C7">
        <w:rPr>
          <w:lang w:val="en-GB"/>
        </w:rPr>
        <w:t>all of</w:t>
      </w:r>
      <w:proofErr w:type="gramEnd"/>
      <w:r w:rsidRPr="008C12C7">
        <w:rPr>
          <w:lang w:val="en-GB"/>
        </w:rPr>
        <w:t xml:space="preserve"> the association with CAD. There is biological precedent linking inflammatory pathways to each of these traits. Pharmacological perturbation of inflammatory pathways, including IL-6 receptor blockade and TNF inhibition, can alter circulating lipid profiles in inflammatory disease</w:t>
      </w:r>
      <w:r w:rsidRPr="008C12C7">
        <w:rPr>
          <w:lang w:val="en-GB"/>
        </w:rPr>
        <w:fldChar w:fldCharType="begin"/>
      </w:r>
      <w:r w:rsidR="001865ED">
        <w:rPr>
          <w:lang w:val="en-GB"/>
        </w:rPr>
        <w:instrText xml:space="preserve"> ADDIN ZOTERO_ITEM CSL_CITATION {"citationID":"YDYAepSI","properties":{"unsorted":false,"formattedCitation":"\\super 47\\nosupersub{}","plainCitation":"47","noteIndex":0},"citationItems":[{"id":370,"uris":["http://zotero.org/users/12564564/items/QD9VI65Z"],"itemData":{"id":370,"type":"article-journal","container-title":"The Journal of Clinical Investigation","DOI":"10.1172/JCI148552","ISSN":"0021-9738","issue":"2","journalAbbreviation":"J Clin Invest","language":"en","note":"publisher: American Society for Clinical Investigation\nPMID: 0","page":"e148552","source":"www.jci.org","title":"Lipid metabolism in autoimmune rheumatic disease: implications for modern and conventional therapies","title-short":"Lipid metabolism in autoimmune rheumatic disease","volume":"132","author":[{"family":"Robinson","given":"George"},{"family":"Pineda-Torra","given":"Ines"},{"family":"Ciurtin","given":"Coziana"},{"family":"Jury","given":"Elizabeth C."}],"issued":{"date-parts":[["2022",1,18]]}}}],"schema":"https://github.com/citation-style-language/schema/raw/master/csl-citation.json"} </w:instrText>
      </w:r>
      <w:r w:rsidRPr="008C12C7">
        <w:rPr>
          <w:lang w:val="en-GB"/>
        </w:rPr>
        <w:fldChar w:fldCharType="separate"/>
      </w:r>
      <w:r w:rsidR="003902DB" w:rsidRPr="003902DB">
        <w:rPr>
          <w:szCs w:val="24"/>
          <w:vertAlign w:val="superscript"/>
          <w:lang w:val="en-GB"/>
        </w:rPr>
        <w:t>47</w:t>
      </w:r>
      <w:r w:rsidRPr="008C12C7">
        <w:rPr>
          <w:lang w:val="en-GB"/>
        </w:rPr>
        <w:fldChar w:fldCharType="end"/>
      </w:r>
      <w:r w:rsidRPr="008C12C7">
        <w:rPr>
          <w:lang w:val="en-GB"/>
        </w:rPr>
        <w:t xml:space="preserve">. A similar pattern has been reported for genetic proxies of IL-1α/β inhibition, which were associated with lower IL-6 and CRP but higher </w:t>
      </w:r>
      <w:r w:rsidR="00CF57AB" w:rsidRPr="008C12C7">
        <w:rPr>
          <w:lang w:val="en-GB"/>
        </w:rPr>
        <w:t xml:space="preserve">levels </w:t>
      </w:r>
      <w:r w:rsidR="00B17CF4">
        <w:rPr>
          <w:lang w:val="en-GB"/>
        </w:rPr>
        <w:t xml:space="preserve">of </w:t>
      </w:r>
      <w:r w:rsidRPr="008C12C7">
        <w:rPr>
          <w:lang w:val="en-GB"/>
        </w:rPr>
        <w:t>atherogenic lipids and higher coronary heart disease risk</w:t>
      </w:r>
      <w:r w:rsidR="007F1199" w:rsidRPr="008C12C7">
        <w:rPr>
          <w:lang w:val="en-GB"/>
        </w:rPr>
        <w:fldChar w:fldCharType="begin"/>
      </w:r>
      <w:r w:rsidR="003902DB">
        <w:rPr>
          <w:lang w:val="en-GB"/>
        </w:rPr>
        <w:instrText xml:space="preserve"> ADDIN ZOTERO_ITEM CSL_CITATION {"citationID":"KnMmwkz0","properties":{"unsorted":false,"formattedCitation":"\\super 48\\nosupersub{}","plainCitation":"48","noteIndex":0},"citationItems":[{"id":319,"uris":["http://zotero.org/users/12564564/items/E4KDFQ9Y"],"itemData":{"id":319,"type":"article-journal","abstract":"Background To investigate potential cardiovascular and other effects of long-term pharmacological interleukin 1 (IL-1) inhibition, we studied genetic variants that produce inhibition of IL-1, a master regulator of inflammation. Methods We created a genetic score combining the effects of alleles of two common variants (rs6743376 and rs1542176) that are located upstream of IL1RN, the gene encoding the IL-1 receptor antagonist (IL-1Ra; an endogenous inhibitor of both IL-1α and IL-1β); both alleles increase soluble IL-1Ra protein concentration. We compared effects on inflammation biomarkers of this genetic score with those of anakinra, the recombinant form of IL-1Ra, which has previously been studied in randomised trials of rheumatoid arthritis and other inflammatory disorders. In primary analyses, we investigated the score in relation to rheumatoid arthritis and four cardiometabolic diseases (type 2 diabetes, coronary heart disease, ischaemic stroke, and abdominal aortic aneurysm; 453 411 total participants). In exploratory analyses, we studied the relation of the score to many disease traits and to 24 other disorders of proposed relevance to IL-1 signalling (746 171 total participants). Findings For each IL1RN minor allele inherited, serum concentrations of IL-1Ra increased by 0·22 SD (95% CI 0·18–0·25; 12·5%; p=9·3 × 10−33), concentrations of interleukin 6 decreased by 0·02 SD (−0·04 to −0·01; −1·7%; p=3·5 × 10−3), and concentrations of C-reactive protein decreased by 0·03 SD (−0·04 to −0·02; −3·4%; p=7·7 × 10−14). We noted the effects of the genetic score on these inflammation biomarkers to be directionally concordant with those of anakinra. The allele count of the genetic score had roughly log-linear, dose-dependent associations with both IL-1Ra concentration and risk of coronary heart disease. For people who carried four IL-1Ra-raising alleles, the odds ratio for coronary heart disease was 1·15 (1·08–1·22; p=1·8 × 10−6) compared with people who carried no IL-1Ra-raising alleles; the per-allele odds ratio for coronary heart disease was 1·03 (1·02–1·04; p=3·9 × 10−10). Per-allele odds ratios were 0·97 (0·95–0·99; p=9·9 × 10−4) for rheumatoid arthritis, 0·99 (0·97–1·01; p=0·47) for type 2 diabetes, 1·00 (0·98–1·02; p=0·92) for ischaemic stroke, and 1·08 (1·04–1·12; p=1·8 × 10−5) for abdominal aortic aneurysm. In exploratory analyses, we observed per-allele increases in concentrations of proatherogenic lipids, including LDL-cholesterol, but no clear evidence of association for blood pressure, glycaemic traits, or any of the 24 other disorders studied. Modelling suggested that the observed increase in LDL-cholesterol could account for about a third of the association observed between the genetic score and increased coronary risk. Interpretation Human genetic data suggest that long-term dual IL-1α/β inhibition could increase cardiovascular risk and, conversely, reduce the risk of development of rheumatoid arthritis. The cardiovascular risk might, in part, be mediated through an increase in proatherogenic lipid concentrations. Funding UK Medical Research Council, British Heart Foundation, UK National Institute for Health Research, National Institute for Health Research Cambridge Biomedical Research Centre, European Research Council, and European Commission Framework Programme 7.","container-title":"The Lancet. Diabetes &amp; Endocrinology","DOI":"10.1016/S2213-8587(15)00034-0","ISSN":"2213-8587","issue":"4","page":"243–253","PMID":"25726324","PMCID":"PMC4648058","title":"Cardiometabolic effects of genetic upregulation of the interleukin 1 receptor antagonist: a Mendelian randomisation analysis","title-short":"Cardiometabolic effects of genetic upregulation of the interleukin 1 receptor antagonist","volume":"3","author":[{"literal":"The Interleukin 1 Genetics Consortium"}],"issued":{"date-parts":[["2015",4]]}}}],"schema":"https://github.com/citation-style-language/schema/raw/master/csl-citation.json"} </w:instrText>
      </w:r>
      <w:r w:rsidR="007F1199" w:rsidRPr="008C12C7">
        <w:rPr>
          <w:lang w:val="en-GB"/>
        </w:rPr>
        <w:fldChar w:fldCharType="separate"/>
      </w:r>
      <w:r w:rsidR="003902DB" w:rsidRPr="003902DB">
        <w:rPr>
          <w:szCs w:val="24"/>
          <w:vertAlign w:val="superscript"/>
          <w:lang w:val="en-GB"/>
        </w:rPr>
        <w:t>48</w:t>
      </w:r>
      <w:r w:rsidR="007F1199" w:rsidRPr="008C12C7">
        <w:rPr>
          <w:lang w:val="en-GB"/>
        </w:rPr>
        <w:fldChar w:fldCharType="end"/>
      </w:r>
      <w:r w:rsidRPr="008C12C7">
        <w:rPr>
          <w:lang w:val="en-GB"/>
        </w:rPr>
        <w:t xml:space="preserve">. </w:t>
      </w:r>
      <w:bookmarkStart w:id="103" w:name="_Hlk240465160"/>
      <w:r w:rsidRPr="008C12C7">
        <w:rPr>
          <w:lang w:val="en-GB"/>
        </w:rPr>
        <w:t xml:space="preserve">IL-18 has metabolic functions beyond inflammation, with experimental loss of IL-18 signalling </w:t>
      </w:r>
      <w:r w:rsidR="00233049" w:rsidRPr="008C12C7">
        <w:rPr>
          <w:lang w:val="en-GB"/>
        </w:rPr>
        <w:t>impairing insulin sensitivity and energy homeostasis</w:t>
      </w:r>
      <w:r w:rsidR="00233049" w:rsidRPr="008C12C7">
        <w:rPr>
          <w:lang w:val="en-GB"/>
        </w:rPr>
        <w:fldChar w:fldCharType="begin"/>
      </w:r>
      <w:r w:rsidR="003902DB">
        <w:rPr>
          <w:lang w:val="en-GB"/>
        </w:rPr>
        <w:instrText xml:space="preserve"> ADDIN ZOTERO_ITEM CSL_CITATION {"citationID":"v3zombFf","properties":{"unsorted":false,"formattedCitation":"\\super 49\\nosupersub{}","plainCitation":"49","noteIndex":0},"citationItems":[{"id":3023,"uris":["http://zotero.org/users/12564564/items/5JZVNK6N"],"itemData":{"id":3023,"type":"article-journal","abstract":"Here we report the presence of hyperphagia, obesity and insulin resistance in knockout mice deficient in IL-18 or IL-18 receptor, and in mice transgenic for expression of IL-18 binding protein. Obesity of Il18−/− mice resulted from accumulation of fat tissue based on increased food intake. Il18−/− mice also had hyperinsulinemia, consistent with insulin resistance and hyperglycemia. Insulin resistance was secondary to obesity induced by increased food intake and occurred at the liver level as well as at the muscle and fat-tissue level. The molecular mechanisms responsible for the hepatic insulin resistance in the Il18−/− mice involved an enhanced expression of genes associated with gluconeogenesis in the liver of Il18−/− mice, resulting from defective phosphorylation of STAT3. Recombinant IL-18 (rIL-18) administered intracerebrally inhibited food intake. In addition, rIL-18 reversed hyperglycemia in Il18−/− mice through activation of STAT3 phosphorylation. These findings indicate a new role of IL-18 in the homeostasis of energy intake and insulin sensitivity.","container-title":"Nature Medicine","DOI":"10.1038/nm1415","ISSN":"1546-170X","issue":"6","journalAbbreviation":"Nat Med","language":"en","license":"2006 Springer Nature America, Inc.","page":"650-656","publisher":"Nature Publishing Group","source":"www.nature.com","title":"Deficiency of interleukin-18 in mice leads to hyperphagia, obesity and insulin resistance","volume":"12","author":[{"family":"Netea","given":"Mihai G."},{"family":"Joosten","given":"Leo A. B."},{"family":"Lewis","given":"Eli"},{"family":"Jensen","given":"Dalan R."},{"family":"Voshol","given":"Peter J."},{"family":"Kullberg","given":"Bart Jan"},{"family":"Tack","given":"Cees J."},{"family":"Krieken","given":"Han","non-dropping-particle":"van"},{"family":"Kim","given":"Soo-Hyun"},{"family":"Stalenhoef","given":"Anton F."},{"family":"Loo","given":"Fons A.","non-dropping-particle":"van de"},{"family":"Verschueren","given":"Ineke"},{"family":"Pulawa","given":"Leslie"},{"family":"Akira","given":"Shizuo"},{"family":"Eckel","given":"Robert H."},{"family":"Dinarello","given":"Charles A."},{"family":"Berg","given":"Wim","non-dropping-particle":"van den"},{"family":"Meer","given":"Jos W. M.","non-dropping-particle":"van der"}],"issued":{"date-parts":[["2006",6]]}}}],"schema":"https://github.com/citation-style-language/schema/raw/master/csl-citation.json"} </w:instrText>
      </w:r>
      <w:r w:rsidR="00233049" w:rsidRPr="008C12C7">
        <w:rPr>
          <w:lang w:val="en-GB"/>
        </w:rPr>
        <w:fldChar w:fldCharType="separate"/>
      </w:r>
      <w:r w:rsidR="003902DB" w:rsidRPr="003902DB">
        <w:rPr>
          <w:szCs w:val="24"/>
          <w:vertAlign w:val="superscript"/>
          <w:lang w:val="en-GB"/>
        </w:rPr>
        <w:t>49</w:t>
      </w:r>
      <w:r w:rsidR="00233049" w:rsidRPr="008C12C7">
        <w:rPr>
          <w:lang w:val="en-GB"/>
        </w:rPr>
        <w:fldChar w:fldCharType="end"/>
      </w:r>
      <w:r w:rsidR="00233049" w:rsidRPr="008C12C7">
        <w:rPr>
          <w:lang w:val="en-GB"/>
        </w:rPr>
        <w:t>.</w:t>
      </w:r>
      <w:r w:rsidRPr="008C12C7">
        <w:rPr>
          <w:lang w:val="en-GB"/>
        </w:rPr>
        <w:t xml:space="preserve"> </w:t>
      </w:r>
      <w:bookmarkStart w:id="104" w:name="_Hlk240465618"/>
      <w:bookmarkEnd w:id="103"/>
      <w:r w:rsidRPr="008C12C7">
        <w:rPr>
          <w:lang w:val="en-GB"/>
        </w:rPr>
        <w:t>NLRP3 has also been implicated in blood-pressure regulation through renal inflammatory mechanisms, although experimental inhibition generally lowers rather than raises blood pressure</w:t>
      </w:r>
      <w:r w:rsidR="00233049" w:rsidRPr="008C12C7">
        <w:rPr>
          <w:lang w:val="en-GB"/>
        </w:rPr>
        <w:fldChar w:fldCharType="begin"/>
      </w:r>
      <w:r w:rsidR="003902DB">
        <w:rPr>
          <w:lang w:val="en-GB"/>
        </w:rPr>
        <w:instrText xml:space="preserve"> ADDIN ZOTERO_ITEM CSL_CITATION {"citationID":"Xt1JRyA5","properties":{"unsorted":false,"formattedCitation":"\\super 50\\nosupersub{}","plainCitation":"50","noteIndex":0},"citationItems":[{"id":3025,"uris":["http://zotero.org/users/12564564/items/4D6XWU7S"],"itemData":{"id":3025,"type":"article-journal","abstract":"Aims\nRenal inflammation, leading to fibrosis and impaired function is a major contributor to the development of hypertension. The NLRP3 inflammasome mediates inflammation in several chronic diseases by processing the cytokines pro-interleukin (IL)-1β and pro-IL-18. In this study, we investigated whether MCC950, a recently-identified inhibitor of NLRP3 activity, reduces blood pressure (BP), renal inflammation, fibrosis and dysfunction in mice with established hypertension.\n\nMethods and results\nC57BL6/J mice were made hypertensive by uninephrectomy and treatment with deoxycorticosterone acetate (2.4 mg/day, s.c.) and 0.9% NaCl in the drinking water (1K/DOCA/salt). Normotensive controls were uninephrectomized and received normal drinking water. Ten days later, mice were treated with MCC950 (10 mg/kg/day, s.c.) or vehicle (saline, s.c.) for up to 25 days. BP was monitored by tail-cuff or radiotelemetry; renal function by biochemical analysis of 24-h urine collections; and kidney inflammation/pathology was assessed by real-time PCR for inflammatory gene expression, flow cytometry for leucocyte influx, and Picrosirius red histology for collagen. Over the 10 days post-surgery, 1K/DOCA/salt-treated mice became hypertensive, developed impaired renal function, and displayed elevated renal levels of inflammatory markers, collagen and immune cells. MCC950 treatment from day 10 attenuated 1K/DOCA/salt-induced increases in renal expression of inflammasome subunits (NLRP3, ASC, pro-caspase-1) and inflammatory/injury markers (pro-IL-18, pro-IL-1β, IL-17A, TNF-α, osteopontin, ICAM-1, VCAM-1, CCL2, vimentin), each by 25–40%. MCC950 reduced interstitial collagen and accumulation of certain leucocyte subsets in kidneys of 1K/DOCA/salt-treated mice, including CD206+ (M2-like) macrophages and interferon-gamma-producing T cells. Finally, MCC950 partially reversed 1K/DOCA/salt-induced elevations in BP, urine output, osmolality, [Na+], and albuminuria (each by 20–25%). None of the above parameters were altered by MCC950 in normotensive mice.\n\nConclusion\nMCC950 was effective at reducing BP and limiting renal inflammation, fibrosis and dysfunction in mice with established hypertension. This study provides proof-of-concept that pharmacological inhibition of the NLRP3 inflammasome is a viable anti-hypertensive strategy.","container-title":"Cardiovascular Research","DOI":"10.1093/cvr/cvy252","ISSN":"0008-6363","issue":"4","journalAbbreviation":"Cardiovasc Res","page":"776-787","PMID":"30357309","PMCID":"PMC6432065","source":"PubMed Central","title":"Pharmacological inhibition of the NLRP3 inflammasome reduces blood pressure, renal damage, and dysfunction in salt-sensitive hypertension","volume":"115","author":[{"family":"Krishnan","given":"Shalini M"},{"family":"Ling","given":"Yeong H"},{"family":"Huuskes","given":"Brooke M"},{"family":"Ferens","given":"Dorota M"},{"family":"Saini","given":"Narbada"},{"family":"Chan","given":"Christopher T"},{"family":"Diep","given":"Henry"},{"family":"Kett","given":"Michelle M"},{"family":"Samuel","given":"Chrishan S"},{"family":"Kemp-Harper","given":"Barbara K"},{"family":"Robertson","given":"Avril A B"},{"family":"Cooper","given":"Matthew A"},{"family":"Peter","given":"Karlheinz"},{"family":"Latz","given":"Eicke"},{"family":"Mansell","given":"Ashley S"},{"family":"Sobey","given":"Christopher G"},{"family":"Drummond","given":"Grant R"},{"family":"Vinh","given":"Antony"}],"issued":{"date-parts":[["2019",4,1]]}}}],"schema":"https://github.com/citation-style-language/schema/raw/master/csl-citation.json"} </w:instrText>
      </w:r>
      <w:r w:rsidR="00233049" w:rsidRPr="008C12C7">
        <w:rPr>
          <w:lang w:val="en-GB"/>
        </w:rPr>
        <w:fldChar w:fldCharType="separate"/>
      </w:r>
      <w:r w:rsidR="003902DB" w:rsidRPr="003902DB">
        <w:rPr>
          <w:szCs w:val="24"/>
          <w:vertAlign w:val="superscript"/>
          <w:lang w:val="en-GB"/>
        </w:rPr>
        <w:t>50</w:t>
      </w:r>
      <w:r w:rsidR="00233049" w:rsidRPr="008C12C7">
        <w:rPr>
          <w:lang w:val="en-GB"/>
        </w:rPr>
        <w:fldChar w:fldCharType="end"/>
      </w:r>
      <w:r w:rsidRPr="008C12C7">
        <w:rPr>
          <w:lang w:val="en-GB"/>
        </w:rPr>
        <w:t xml:space="preserve">. </w:t>
      </w:r>
      <w:bookmarkEnd w:id="104"/>
      <w:r w:rsidRPr="008C12C7">
        <w:rPr>
          <w:lang w:val="en-GB"/>
        </w:rPr>
        <w:t>The cardiometabolic effects associated with lifelong lower NLRP3 activity are therefore only partly anticipated by existing experimental and pharmacological evidence. Trials of NLRP3 inhibitors should monitor blood pressure, lipid, and glycaemic effects.</w:t>
      </w:r>
      <w:bookmarkEnd w:id="102"/>
    </w:p>
    <w:p w14:paraId="63745A8C" w14:textId="4F1CD30A" w:rsidR="002B39C9" w:rsidRPr="008C12C7" w:rsidRDefault="002B39C9" w:rsidP="006C1B13">
      <w:pPr>
        <w:pBdr>
          <w:top w:val="nil"/>
          <w:left w:val="nil"/>
          <w:bottom w:val="nil"/>
          <w:right w:val="nil"/>
          <w:between w:val="nil"/>
        </w:pBdr>
        <w:rPr>
          <w:lang w:val="en-GB"/>
        </w:rPr>
      </w:pPr>
      <w:r w:rsidRPr="008C12C7">
        <w:rPr>
          <w:lang w:val="en-GB"/>
        </w:rPr>
        <w:tab/>
        <w:t>Although our findings do not support cardioprotection from lifelong lower NLRP3 activity in the general population, benefit may still exist in selected subgroups with inflammasome-driven cardiovascular risk. Clonal h</w:t>
      </w:r>
      <w:r w:rsidR="0040022A" w:rsidRPr="008C12C7">
        <w:rPr>
          <w:lang w:val="en-GB"/>
        </w:rPr>
        <w:t>a</w:t>
      </w:r>
      <w:r w:rsidRPr="008C12C7">
        <w:rPr>
          <w:lang w:val="en-GB"/>
        </w:rPr>
        <w:t>ematopoiesis provides one such setting, with experimental and human data implicating NLRP3-dependent IL-1β signal</w:t>
      </w:r>
      <w:r w:rsidR="0040022A" w:rsidRPr="008C12C7">
        <w:rPr>
          <w:lang w:val="en-GB"/>
        </w:rPr>
        <w:t>l</w:t>
      </w:r>
      <w:r w:rsidRPr="008C12C7">
        <w:rPr>
          <w:lang w:val="en-GB"/>
        </w:rPr>
        <w:t>ing in clonal h</w:t>
      </w:r>
      <w:r w:rsidR="0040022A" w:rsidRPr="008C12C7">
        <w:rPr>
          <w:lang w:val="en-GB"/>
        </w:rPr>
        <w:t>a</w:t>
      </w:r>
      <w:r w:rsidRPr="008C12C7">
        <w:rPr>
          <w:lang w:val="en-GB"/>
        </w:rPr>
        <w:t>ematopoiesis-associated cardiovascular disease</w:t>
      </w:r>
      <w:r w:rsidRPr="008C12C7">
        <w:rPr>
          <w:lang w:val="en-GB"/>
        </w:rPr>
        <w:fldChar w:fldCharType="begin"/>
      </w:r>
      <w:r w:rsidR="003902DB">
        <w:rPr>
          <w:lang w:val="en-GB"/>
        </w:rPr>
        <w:instrText xml:space="preserve"> ADDIN ZOTERO_ITEM CSL_CITATION {"citationID":"IoIXxe5j","properties":{"unsorted":false,"formattedCitation":"\\super 51\\nosupersub{}","plainCitation":"51","noteIndex":0},"citationItems":[{"id":339,"uris":["http://zotero.org/users/12564564/items/YYM5XUZG"],"itemData":{"id":339,"type":"article-journal","abstract":"Somatic mutations in hematopoietic stem cells are common with aging and can result in expansion of clones harboring mutations, termed clonal hematopoiesis. This results in an increased risk of blood cancers but has also been linked with chronic inflammatory disease states. In recent years, clonal hematopoiesis has been established to have a causative role in atherogenesis and cardiovascular disease. Additionally, as the effector cells have been identified to be immune cells, there is ongoing interest in assessing whether dysregulated immune function plays a role in other chronic inflammatory conditions such as rheumatologic disease. Here, we summarize current understanding of clonal hematopoiesis with a focus on cardiovascular disease and inflammation while outlining the potential, yet unexplored, relationship between clonal hematopoiesis and autoimmune disease. Hematopoietic stem cells (HSCs) continually regenerate blood cells. Acquisition of a somatic mutation that provides a selective advantage, a driver mutation, can result in clonal expansion. Clonal hematopoiesis of indeterminate potential, where somatic mutations in certain cancer-associated genes result in clonal expansion in the absence of overt malignancy, can result in atherosclerotic cardiovascular disease in multiple vascular beds, inflammation, and may also contribute to the pathogenesis of autoimmune disease. Many questions remain unanswered regarding the relationship between clonal hematopoiesis and inflammatory disorders.","container-title":"Seminars in Immunopathology","DOI":"10.1007/s00281-022-00913-z","ISSN":"1863-2300","issue":"3","journalAbbreviation":"Semin Immunopathol","language":"eng","note":"PMCID: PMC9064918\nPMID: 35122117","page":"303-308","source":"PubMed","title":"Clonal hematopoiesis and vascular disease","volume":"44","author":[{"family":"Amancherla","given":"Kaushik"},{"family":"Wells","given":"John A."},{"family":"Bick","given":"Alexander G."}],"issued":{"date-parts":[["2022",5]]}}}],"schema":"https://github.com/citation-style-language/schema/raw/master/csl-citation.json"} </w:instrText>
      </w:r>
      <w:r w:rsidRPr="008C12C7">
        <w:rPr>
          <w:lang w:val="en-GB"/>
        </w:rPr>
        <w:fldChar w:fldCharType="separate"/>
      </w:r>
      <w:r w:rsidR="003902DB" w:rsidRPr="003902DB">
        <w:rPr>
          <w:szCs w:val="24"/>
          <w:vertAlign w:val="superscript"/>
          <w:lang w:val="en-GB"/>
        </w:rPr>
        <w:t>51</w:t>
      </w:r>
      <w:r w:rsidRPr="008C12C7">
        <w:rPr>
          <w:lang w:val="en-GB"/>
        </w:rPr>
        <w:fldChar w:fldCharType="end"/>
      </w:r>
      <w:r w:rsidRPr="008C12C7">
        <w:rPr>
          <w:lang w:val="en-GB"/>
        </w:rPr>
        <w:t xml:space="preserve">. In an exploratory genomic substudy of CANTOS, participants harbouring </w:t>
      </w:r>
      <w:r w:rsidRPr="008C12C7">
        <w:rPr>
          <w:rStyle w:val="Emphasis"/>
          <w:lang w:val="en-GB"/>
        </w:rPr>
        <w:t>TET2</w:t>
      </w:r>
      <w:r w:rsidRPr="008C12C7">
        <w:rPr>
          <w:lang w:val="en-GB"/>
        </w:rPr>
        <w:t xml:space="preserve"> variants showed a greater reduction in major adverse cardiovascular events when treated with canakinumab</w:t>
      </w:r>
      <w:r w:rsidRPr="008C12C7">
        <w:rPr>
          <w:lang w:val="en-GB"/>
        </w:rPr>
        <w:fldChar w:fldCharType="begin"/>
      </w:r>
      <w:r w:rsidR="003902DB">
        <w:rPr>
          <w:lang w:val="en-GB"/>
        </w:rPr>
        <w:instrText xml:space="preserve"> ADDIN ZOTERO_ITEM CSL_CITATION {"citationID":"SupQRyJC","properties":{"unsorted":false,"formattedCitation":"\\super 52\\nosupersub{}","plainCitation":"52","noteIndex":0},"citationItems":[{"id":6,"uris":["http://zotero.org/users/12564564/items/9G23X95N"],"itemData":{"id":6,"type":"article-journal","abstract":"This genomic substudy of a randomized clinical trial assesses whether patients with clonal hematopoiesis of intermediate potential have greater cardiovascular event reduction in response to canakinumab.","container-title":"JAMA Cardiology","DOI":"10.1001/jamacardio.2022.0386","ISSN":"2380-6583","issue":"5","page":"521–528","PMID":"35385050","PMCID":"PMC8988022","title":"TET2-Driven Clonal Hematopoiesis and Response to Canakinumab","volume":"7","author":[{"family":"Svensson","given":"Eric C."},{"family":"Madar","given":"Aviv"},{"family":"Campbell","given":"Catarina D."},{"family":"He","given":"Yunsheng"},{"family":"Sultan","given":"Marc"},{"family":"Healey","given":"Margaret L."},{"family":"Xu","given":"Huilei"},{"family":"D’Aco","given":"Katie"},{"family":"Fernandez","given":"Anita"},{"family":"Wache-Mainier","given":"Clarisse"},{"family":"Libby","given":"Peter"},{"family":"Ridker","given":"Paul M."},{"family":"Beste","given":"Michael T."},{"family":"Basson","given":"Craig T."}],"issued":{"date-parts":[["2022",5]]}}}],"schema":"https://github.com/citation-style-language/schema/raw/master/csl-citation.json"} </w:instrText>
      </w:r>
      <w:r w:rsidRPr="008C12C7">
        <w:rPr>
          <w:lang w:val="en-GB"/>
        </w:rPr>
        <w:fldChar w:fldCharType="separate"/>
      </w:r>
      <w:r w:rsidR="003902DB" w:rsidRPr="003902DB">
        <w:rPr>
          <w:szCs w:val="24"/>
          <w:vertAlign w:val="superscript"/>
          <w:lang w:val="en-GB"/>
        </w:rPr>
        <w:t>52</w:t>
      </w:r>
      <w:r w:rsidRPr="008C12C7">
        <w:rPr>
          <w:lang w:val="en-GB"/>
        </w:rPr>
        <w:fldChar w:fldCharType="end"/>
      </w:r>
      <w:r w:rsidRPr="008C12C7">
        <w:rPr>
          <w:lang w:val="en-GB"/>
        </w:rPr>
        <w:t xml:space="preserve">. A phase 2a trial </w:t>
      </w:r>
      <w:r w:rsidR="00B6618E">
        <w:rPr>
          <w:lang w:val="en-GB"/>
        </w:rPr>
        <w:t xml:space="preserve">has since </w:t>
      </w:r>
      <w:r w:rsidR="005063C9">
        <w:rPr>
          <w:lang w:val="en-GB"/>
        </w:rPr>
        <w:t>evaluated</w:t>
      </w:r>
      <w:r w:rsidRPr="008C12C7">
        <w:rPr>
          <w:lang w:val="en-GB"/>
        </w:rPr>
        <w:t xml:space="preserve"> the NLRP3 inhibitor DFV890 in patients with coronary heart disease and </w:t>
      </w:r>
      <w:r w:rsidRPr="00337E53">
        <w:rPr>
          <w:i/>
          <w:iCs/>
          <w:lang w:val="en-GB"/>
        </w:rPr>
        <w:t>TET2</w:t>
      </w:r>
      <w:r w:rsidRPr="008C12C7">
        <w:rPr>
          <w:lang w:val="en-GB"/>
        </w:rPr>
        <w:t xml:space="preserve">- or </w:t>
      </w:r>
      <w:r w:rsidRPr="00337E53">
        <w:rPr>
          <w:i/>
          <w:iCs/>
          <w:lang w:val="en-GB"/>
        </w:rPr>
        <w:t>DNMT3A</w:t>
      </w:r>
      <w:r w:rsidRPr="00337E53">
        <w:rPr>
          <w:lang w:val="en-GB"/>
        </w:rPr>
        <w:t>-</w:t>
      </w:r>
      <w:r w:rsidRPr="008C12C7">
        <w:rPr>
          <w:lang w:val="en-GB"/>
        </w:rPr>
        <w:t>associated clonal h</w:t>
      </w:r>
      <w:r w:rsidR="0040022A" w:rsidRPr="008C12C7">
        <w:rPr>
          <w:lang w:val="en-GB"/>
        </w:rPr>
        <w:t>a</w:t>
      </w:r>
      <w:r w:rsidRPr="008C12C7">
        <w:rPr>
          <w:lang w:val="en-GB"/>
        </w:rPr>
        <w:t>ematopoiesis (NCT06097663).</w:t>
      </w:r>
    </w:p>
    <w:p w14:paraId="1065E004" w14:textId="77777777" w:rsidR="005909BC" w:rsidRPr="008C12C7" w:rsidRDefault="005909BC" w:rsidP="006C1B13">
      <w:pPr>
        <w:pBdr>
          <w:top w:val="nil"/>
          <w:left w:val="nil"/>
          <w:bottom w:val="nil"/>
          <w:right w:val="nil"/>
          <w:between w:val="nil"/>
        </w:pBdr>
        <w:rPr>
          <w:color w:val="000000"/>
          <w:lang w:val="en-GB"/>
        </w:rPr>
      </w:pPr>
    </w:p>
    <w:p w14:paraId="1E119EFD" w14:textId="77777777" w:rsidR="005909BC" w:rsidRPr="008C12C7" w:rsidRDefault="005909BC" w:rsidP="006C1B13">
      <w:pPr>
        <w:pBdr>
          <w:top w:val="nil"/>
          <w:left w:val="nil"/>
          <w:bottom w:val="nil"/>
          <w:right w:val="nil"/>
          <w:between w:val="nil"/>
        </w:pBdr>
        <w:rPr>
          <w:color w:val="000000"/>
          <w:lang w:val="en-GB"/>
        </w:rPr>
      </w:pPr>
    </w:p>
    <w:p w14:paraId="6F44C235" w14:textId="77777777" w:rsidR="005909BC" w:rsidRPr="008C12C7" w:rsidRDefault="005909BC" w:rsidP="006C1B13">
      <w:pPr>
        <w:pBdr>
          <w:top w:val="nil"/>
          <w:left w:val="nil"/>
          <w:bottom w:val="nil"/>
          <w:right w:val="nil"/>
          <w:between w:val="nil"/>
        </w:pBdr>
        <w:rPr>
          <w:color w:val="000000"/>
          <w:lang w:val="en-GB"/>
        </w:rPr>
      </w:pPr>
      <w:bookmarkStart w:id="105" w:name="_Hlk240464022"/>
    </w:p>
    <w:bookmarkEnd w:id="105"/>
    <w:p w14:paraId="3850B7E5" w14:textId="77777777" w:rsidR="001F50F1" w:rsidRPr="008C12C7" w:rsidRDefault="001F50F1" w:rsidP="006C1B13">
      <w:pPr>
        <w:pBdr>
          <w:top w:val="nil"/>
          <w:left w:val="nil"/>
          <w:bottom w:val="nil"/>
          <w:right w:val="nil"/>
          <w:between w:val="nil"/>
        </w:pBdr>
        <w:rPr>
          <w:color w:val="000000"/>
          <w:lang w:val="en-GB"/>
        </w:rPr>
      </w:pPr>
    </w:p>
    <w:p w14:paraId="18C6C885" w14:textId="77777777" w:rsidR="001F50F1" w:rsidRPr="008C12C7" w:rsidRDefault="001F50F1" w:rsidP="006C1B13">
      <w:pPr>
        <w:pBdr>
          <w:top w:val="nil"/>
          <w:left w:val="nil"/>
          <w:bottom w:val="nil"/>
          <w:right w:val="nil"/>
          <w:between w:val="nil"/>
        </w:pBdr>
        <w:rPr>
          <w:color w:val="000000"/>
          <w:lang w:val="en-GB"/>
        </w:rPr>
      </w:pPr>
    </w:p>
    <w:p w14:paraId="7D4F6878" w14:textId="768DF29C" w:rsidR="004C7475" w:rsidRPr="008C12C7" w:rsidRDefault="004C7475">
      <w:pPr>
        <w:pBdr>
          <w:top w:val="nil"/>
          <w:left w:val="nil"/>
          <w:bottom w:val="nil"/>
          <w:right w:val="nil"/>
          <w:between w:val="nil"/>
        </w:pBdr>
        <w:ind w:firstLine="300"/>
        <w:rPr>
          <w:lang w:val="en-GB"/>
        </w:rPr>
      </w:pPr>
      <w:bookmarkStart w:id="106" w:name="_Hlk240476380"/>
      <w:bookmarkEnd w:id="97"/>
      <w:r w:rsidRPr="008C12C7">
        <w:rPr>
          <w:lang w:val="en-GB"/>
        </w:rPr>
        <w:lastRenderedPageBreak/>
        <w:t xml:space="preserve">Our findings differ from those of Schunk </w:t>
      </w:r>
      <w:r w:rsidRPr="008C12C7">
        <w:rPr>
          <w:i/>
          <w:iCs/>
          <w:lang w:val="en-GB"/>
        </w:rPr>
        <w:t>et al</w:t>
      </w:r>
      <w:r w:rsidRPr="008C12C7">
        <w:rPr>
          <w:lang w:val="en-GB"/>
        </w:rPr>
        <w:t xml:space="preserve">., the largest previous human genetic study of the </w:t>
      </w:r>
      <w:r w:rsidRPr="008C12C7">
        <w:rPr>
          <w:i/>
          <w:iCs/>
          <w:lang w:val="en-GB"/>
        </w:rPr>
        <w:t>NLRP3</w:t>
      </w:r>
      <w:r w:rsidRPr="008C12C7">
        <w:rPr>
          <w:lang w:val="en-GB"/>
        </w:rPr>
        <w:t xml:space="preserve"> locus and cardiovascular outcomes</w:t>
      </w:r>
      <w:r w:rsidRPr="008C12C7">
        <w:rPr>
          <w:lang w:val="en-GB"/>
        </w:rPr>
        <w:fldChar w:fldCharType="begin"/>
      </w:r>
      <w:r w:rsidR="003902DB">
        <w:rPr>
          <w:lang w:val="en-GB"/>
        </w:rPr>
        <w:instrText xml:space="preserve"> ADDIN ZOTERO_ITEM CSL_CITATION {"citationID":"SpsxpLse","properties":{"unsorted":false,"formattedCitation":"\\super 53\\nosupersub{}","plainCitation":"53","noteIndex":0},"citationItems":[{"id":557,"uris":["http://zotero.org/users/12564564/items/YRHESFYZ"],"itemData":{"id":557,"type":"article-journal","abstract":"rs10754555 associates with higher NLRP3 mRNA expression and NLRP3 inflammasome activation, which induces the release of IL-1β and IL-18. This leads to systemic inflammation, higher risk for coronary artery disease, and cardiovascular mortality.","container-title":"European Heart Journal","DOI":"10.1093/eurheartj/ehab107","ISSN":"0195-668X","issue":"18","journalAbbreviation":"Eur Heart J","note":"PMID: 33748830\nPMCID: PMC8244638","page":"1742-1756","source":"PubMed Central","title":"Genetically determined NLRP3 inflammasome activation associates with systemic inflammation and cardiovascular mortality","volume":"42","author":[{"family":"Schunk","given":"Stefan J"},{"family":"Kleber","given":"Marcus E"},{"family":"März","given":"Winfried"},{"family":"Pang","given":"Shichao"},{"family":"Zewinger","given":"Stephen"},{"family":"Triem","given":"Sarah"},{"family":"Ege","given":"Philipp"},{"family":"Reichert","given":"Matthias C"},{"family":"Krawczyk","given":"Marcin"},{"family":"Weber","given":"Susanne N"},{"family":"Jaumann","given":"Isabella"},{"family":"Schmit","given":"David"},{"family":"Sarakpi","given":"Tamim"},{"family":"Wagenpfeil","given":"Stefan"},{"family":"Kramann","given":"Rafael"},{"family":"Boerwinkle","given":"Eric"},{"family":"Ballantyne","given":"Christie M"},{"family":"Grove","given":"Megan L"},{"family":"Tragante","given":"Vinicius"},{"family":"Pilbrow","given":"Anna P"},{"family":"Richards","given":"A Mark"},{"family":"Cameron","given":"Vicky A"},{"family":"Doughty","given":"Robert N"},{"family":"Dubé","given":"Marie-Pierre"},{"family":"Tardif","given":"Jean-Claude"},{"family":"Feroz-Zada","given":"Yassamin"},{"family":"Sun","given":"Maxine"},{"family":"Liu","given":"Chang"},{"family":"Ko","given":"Yi-An"},{"family":"Quyyumi","given":"Arshed A"},{"family":"Hartiala","given":"Jaana A"},{"family":"Tang","given":"W H Wilson"},{"family":"Hazen","given":"Stanley L"},{"family":"Allayee","given":"Hooman"},{"family":"McDonough","given":"Caitrin W"},{"family":"Gong","given":"Yan"},{"family":"Cooper-DeHoff","given":"Rhonda M"},{"family":"Johnson","given":"Julie A"},{"family":"Scholz","given":"Markus"},{"family":"Teren","given":"Andrej"},{"family":"Burkhardt","given":"Ralph"},{"family":"Martinsson","given":"Andreas"},{"family":"Smith","given":"J Gustav"},{"family":"Wallentin","given":"Lars"},{"family":"James","given":"Stefan K"},{"family":"Eriksson","given":"Niclas"},{"family":"White","given":"Harvey"},{"family":"Held","given":"Claes"},{"family":"Waterworth","given":"Dawn"},{"family":"Trompet","given":"Stella"},{"family":"Jukema","given":"J Wouter"},{"family":"Ford","given":"Ian"},{"family":"Stott","given":"David J"},{"family":"Sattar","given":"Naveed"},{"family":"Cresci","given":"Sharon"},{"family":"Spertus","given":"John A"},{"family":"Campbell","given":"Hannah"},{"family":"Tierling","given":"Sascha"},{"family":"Walter","given":"Jörn"},{"family":"Ampofo","given":"Emmanuel"},{"family":"Niemeyer","given":"Barbara A"},{"family":"Lipp","given":"Peter"},{"family":"Schunkert","given":"Heribert"},{"family":"Böhm","given":"Michael"},{"family":"Koenig","given":"Wolfgang"},{"family":"Fliser","given":"Danilo"},{"family":"Laufs","given":"Ulrich"},{"family":"Speer","given":"Thimoteus"}],"issued":{"date-parts":[["2021",3,22]]}}}],"schema":"https://github.com/citation-style-language/schema/raw/master/csl-citation.json"} </w:instrText>
      </w:r>
      <w:r w:rsidRPr="008C12C7">
        <w:rPr>
          <w:lang w:val="en-GB"/>
        </w:rPr>
        <w:fldChar w:fldCharType="separate"/>
      </w:r>
      <w:r w:rsidR="003902DB" w:rsidRPr="003902DB">
        <w:rPr>
          <w:szCs w:val="24"/>
          <w:vertAlign w:val="superscript"/>
          <w:lang w:val="en-GB"/>
        </w:rPr>
        <w:t>53</w:t>
      </w:r>
      <w:r w:rsidRPr="008C12C7">
        <w:rPr>
          <w:lang w:val="en-GB"/>
        </w:rPr>
        <w:fldChar w:fldCharType="end"/>
      </w:r>
      <w:r w:rsidRPr="008C12C7">
        <w:rPr>
          <w:lang w:val="en-GB"/>
        </w:rPr>
        <w:t xml:space="preserve">. Using a single intronic variant (rs10754555) associated with </w:t>
      </w:r>
      <w:r w:rsidRPr="008C12C7">
        <w:rPr>
          <w:i/>
          <w:iCs/>
          <w:lang w:val="en-GB"/>
        </w:rPr>
        <w:t>NLRP3</w:t>
      </w:r>
      <w:r w:rsidRPr="008C12C7">
        <w:rPr>
          <w:lang w:val="en-GB"/>
        </w:rPr>
        <w:t xml:space="preserve"> expression, they reported that higher NLRP3 activity was associated with higher CAD prevalence among people younger than 60 years of age and with higher cardiovascular mortality across primary- and secondary-prevention cohorts. The variant was associated with higher </w:t>
      </w:r>
      <w:r w:rsidRPr="008C12C7">
        <w:rPr>
          <w:i/>
          <w:iCs/>
          <w:lang w:val="en-GB"/>
        </w:rPr>
        <w:t>NLRP3</w:t>
      </w:r>
      <w:r w:rsidRPr="008C12C7">
        <w:rPr>
          <w:lang w:val="en-GB"/>
        </w:rPr>
        <w:t xml:space="preserve"> expression and inflammasome activation in functional experiments, but not with lipid parameters. </w:t>
      </w:r>
      <w:r w:rsidR="002741E9" w:rsidRPr="002741E9">
        <w:rPr>
          <w:lang w:val="en-GB"/>
        </w:rPr>
        <w:t xml:space="preserve">By contrast, our NLRP3 activity score integrates information across eight variants that tag rs10754555 only weakly, with a maximum </w:t>
      </w:r>
      <w:r w:rsidR="002741E9" w:rsidRPr="00B4613D">
        <w:rPr>
          <w:i/>
          <w:iCs/>
          <w:lang w:val="en-GB"/>
        </w:rPr>
        <w:t>r²</w:t>
      </w:r>
      <w:r w:rsidR="002741E9" w:rsidRPr="002741E9">
        <w:rPr>
          <w:lang w:val="en-GB"/>
        </w:rPr>
        <w:t xml:space="preserve"> of 0.26 in the INTERVAL reference panel</w:t>
      </w:r>
      <w:r w:rsidR="006657D8">
        <w:rPr>
          <w:lang w:val="en-GB"/>
        </w:rPr>
        <w:t xml:space="preserve"> </w:t>
      </w:r>
      <w:r w:rsidR="002741E9" w:rsidRPr="002741E9">
        <w:rPr>
          <w:lang w:val="en-GB"/>
        </w:rPr>
        <w:t>and was additionally associated with cardiometabolic traits.</w:t>
      </w:r>
      <w:r w:rsidRPr="008C12C7">
        <w:rPr>
          <w:lang w:val="en-GB"/>
        </w:rPr>
        <w:t xml:space="preserve"> Because these cardiometabolic associations act on CAD in the opposite direction to the inflammatory associations, they may explain the discordance. The age- and metabolic-context dependence reported by Schunk </w:t>
      </w:r>
      <w:r w:rsidRPr="008C12C7">
        <w:rPr>
          <w:i/>
          <w:iCs/>
          <w:lang w:val="en-GB"/>
        </w:rPr>
        <w:t>et al.</w:t>
      </w:r>
      <w:r w:rsidRPr="008C12C7">
        <w:rPr>
          <w:lang w:val="en-GB"/>
        </w:rPr>
        <w:t xml:space="preserve"> further suggests that the cardiovascular consequences of NLRP3-related genetic variation may depend on the population studied.</w:t>
      </w:r>
    </w:p>
    <w:p w14:paraId="2E64BA5E" w14:textId="52B2A24B" w:rsidR="004C7475" w:rsidRPr="008C12C7" w:rsidRDefault="007A255D">
      <w:pPr>
        <w:pBdr>
          <w:top w:val="nil"/>
          <w:left w:val="nil"/>
          <w:bottom w:val="nil"/>
          <w:right w:val="nil"/>
          <w:between w:val="nil"/>
        </w:pBdr>
        <w:ind w:firstLine="300"/>
        <w:rPr>
          <w:lang w:val="en-GB"/>
        </w:rPr>
      </w:pPr>
      <w:bookmarkStart w:id="107" w:name="_Hlk240488968"/>
      <w:r w:rsidRPr="008C12C7">
        <w:rPr>
          <w:lang w:val="en-GB"/>
        </w:rPr>
        <w:t>Although CAD was the primary focus of this study, we also examined diseases for which NLRP3 inhibitors are in clinical development. A lower genetically proxied NLRP3 activity score was</w:t>
      </w:r>
      <w:r w:rsidR="00B30194">
        <w:rPr>
          <w:lang w:val="en-GB"/>
        </w:rPr>
        <w:t xml:space="preserve"> </w:t>
      </w:r>
      <w:r w:rsidR="00B30194">
        <w:rPr>
          <w:color w:val="000000"/>
          <w:lang w:val="en-GB"/>
        </w:rPr>
        <w:t>nominally</w:t>
      </w:r>
      <w:r w:rsidRPr="008C12C7">
        <w:rPr>
          <w:lang w:val="en-GB"/>
        </w:rPr>
        <w:t xml:space="preserve"> associated with lower risk of gout, pericarditis, and PD. The associations with gout and pericarditis are consistent with established NLRP3–IL-1 biology, with monosodium urate crystals acting as canonical NLRP3 activators in gout and IL-1 signalling playing an established role in recurrent pericarditis</w:t>
      </w:r>
      <w:r w:rsidRPr="008C12C7">
        <w:rPr>
          <w:lang w:val="en-GB"/>
        </w:rPr>
        <w:fldChar w:fldCharType="begin"/>
      </w:r>
      <w:r w:rsidR="003902DB">
        <w:rPr>
          <w:lang w:val="en-GB"/>
        </w:rPr>
        <w:instrText xml:space="preserve"> ADDIN ZOTERO_ITEM CSL_CITATION {"citationID":"uKeMZ8OO","properties":{"unsorted":false,"formattedCitation":"\\super 54,55\\nosupersub{}","plainCitation":"54,55","noteIndex":0},"citationItems":[{"id":3074,"uris":["http://zotero.org/users/12564564/items/IG2ABRP3"],"itemData":{"id":3074,"type":"article-journal","abstract":"The inflammasome is a complex of proteins involved in the activation of the innate immune system, an evolutionarily ancient antimicrobial defence found in most multicelled animals. When activated the inflammasome sets in motion a cascade of events that leads to the production of active molecules including interleukins. Three papers in this issue report the identification of endogenous danger signals and bacterial components that activate inflammasomes containing cryopyrin (also known as NALP3). Mariathasan et al. show that cryopyrin activates the inflammasome in response to bacterial toxins and to ATP. Kanneganti et al. show that cryopyrin is activated by bacterial RNA and by the immune response modifiers R837 and R848. And Martinon et al. show that gout-associated uric acid crystals have a similar effect. In sum these results show that cryopyrin has a vital role in host antibacterial defences and may act as a sensor of cellular stress. In addition, this work provides insight into the mechanisms of autoinflammatory disorders in which abnormalities in the innate immune system have been implicated.","container-title":"Nature","DOI":"10.1038/nature04516","ISSN":"1476-4687","issue":"7081","language":"en","license":"2006 Springer Nature Limited","page":"237-241","publisher":"Nature Publishing Group","source":"www.nature.com","title":"Gout-associated uric acid crystals activate the NALP3 inflammasome","volume":"440","author":[{"family":"Martinon","given":"Fabio"},{"family":"Pétrilli","given":"Virginie"},{"family":"Mayor","given":"Annick"},{"family":"Tardivel","given":"Aubry"},{"family":"Tschopp","given":"Jürg"}],"issued":{"date-parts":[["2006",3]]}}},{"id":3076,"uris":["http://zotero.org/users/12564564/items/FGX9DMVE"],"itemData":{"id":3076,"type":"article-journal","abstract":"Patients with recurrent pericarditis were treated with the interleukin-1 trap rilonacept. Those who had a response were randomly assigned to receive continued rilonacept or placebo. Rilonacept led to a significantly lower risk of pericarditis recurrence than placebo.","container-title":"New England Journal of Medicine","DOI":"10.1056/NEJMoa2027892","ISSN":"0028-4793","issue":"1","page":"31-41","publisher":"Massachusetts Medical Society","source":"Taylor and Francis+NEJM","title":"Phase 3 Trial of Interleukin-1 Trap Rilonacept in Recurrent Pericarditis","volume":"384","author":[{"family":"Klein","given":"Allan L."},{"family":"Imazio","given":"Massimo"},{"family":"Cremer","given":"Paul"},{"family":"Brucato","given":"Antonio"},{"family":"Abbate","given":"Antonio"},{"family":"Fang","given":"Fang"},{"family":"Insalaco","given":"Antonella"},{"family":"LeWinter","given":"Martin"},{"family":"Lewis","given":"Basil S."},{"family":"Lin","given":"David"},{"family":"Luis","given":"Sushil A."},{"family":"Nicholls","given":"Stephen J."},{"family":"Pano","given":"Arian"},{"family":"Wheeler","given":"Alistair"},{"family":"Paolini","given":"John F."}],"issued":{"date-parts":[["2021",1,6]]}}}],"schema":"https://github.com/citation-style-language/schema/raw/master/csl-citation.json"} </w:instrText>
      </w:r>
      <w:r w:rsidRPr="008C12C7">
        <w:rPr>
          <w:lang w:val="en-GB"/>
        </w:rPr>
        <w:fldChar w:fldCharType="separate"/>
      </w:r>
      <w:r w:rsidR="003902DB" w:rsidRPr="003902DB">
        <w:rPr>
          <w:szCs w:val="24"/>
          <w:vertAlign w:val="superscript"/>
          <w:lang w:val="en-GB"/>
        </w:rPr>
        <w:t>54,55</w:t>
      </w:r>
      <w:r w:rsidRPr="008C12C7">
        <w:rPr>
          <w:lang w:val="en-GB"/>
        </w:rPr>
        <w:fldChar w:fldCharType="end"/>
      </w:r>
      <w:r w:rsidRPr="008C12C7">
        <w:rPr>
          <w:lang w:val="en-GB"/>
        </w:rPr>
        <w:t>. The PD association contrasts with a recent genetic study that used expression-based instruments for NLRP3 inflammasome-related genes and found no evidence for a role of the NLRP3 inflammasome in PD risk</w:t>
      </w:r>
      <w:r w:rsidR="001978CA" w:rsidRPr="008C12C7">
        <w:rPr>
          <w:lang w:val="en-GB"/>
        </w:rPr>
        <w:fldChar w:fldCharType="begin"/>
      </w:r>
      <w:r w:rsidR="003902DB">
        <w:rPr>
          <w:lang w:val="en-GB"/>
        </w:rPr>
        <w:instrText xml:space="preserve"> ADDIN ZOTERO_ITEM CSL_CITATION {"citationID":"WP4HmjpY","properties":{"unsorted":false,"formattedCitation":"\\super 56\\nosupersub{}","plainCitation":"56","noteIndex":0},"citationItems":[{"id":337,"uris":["http://zotero.org/users/12564564/items/9AIJ3YT4"],"itemData":{"id":337,"type":"article-journal","abstract":"Activation of the NLRP3 inflammasome has been implicated in Parkinson’s disease (PD) based on in vitro and in vivo studies. Clinical trials targeting the NLRP3 inflammasome in PD are ongoing. However, the evidence supporting NLRP3’s involvement in PD from human genetics data is limited. We analyzed common and rare variants in NLRP3 inflammasome-related genes in PD cohorts, performed pathway-specific polygenic risk score (PRS) analyses, and studied causal associations using Mendelian randomization (MR) with the NLRP3 components and the cytokines IL-1β and IL-18. Our findings showed no associations of common or rare variants, nor of the pathway PRS with PD. MR suggests that altering the expression of the NLRP3 inflammasome, IL-1β, or IL-18, does not affect PD risk or progression. Therefore, our results do not support a role for the NLRP3 inflammasome in PD pathogenesis or as a target for drug development.","container-title":"NPJ Parkinson's Disease","DOI":"10.1038/s41531-024-00744-9","ISSN":"2373-8057","journalAbbreviation":"NPJ Parkinsons Dis","note":"PMID: 39103393\nPMCID: PMC11300440","page":"145","source":"PubMed Central","title":"Lack of genetic evidence for NLRP3 inflammasome involvement in Parkinson’s disease pathogenesis","volume":"10","author":[{"family":"Senkevich","given":"Konstantin"},{"family":"Liu","given":"Lang"},{"family":"Alvarado","given":"Chelsea X."},{"family":"Leonard","given":"Hampton L."},{"family":"Nalls","given":"Mike A."},{"family":"Gan-Or","given":"Ziv"}],"issued":{"date-parts":[["2024",8,5]]}}}],"schema":"https://github.com/citation-style-language/schema/raw/master/csl-citation.json"} </w:instrText>
      </w:r>
      <w:r w:rsidR="001978CA" w:rsidRPr="008C12C7">
        <w:rPr>
          <w:lang w:val="en-GB"/>
        </w:rPr>
        <w:fldChar w:fldCharType="separate"/>
      </w:r>
      <w:r w:rsidR="003902DB" w:rsidRPr="003902DB">
        <w:rPr>
          <w:szCs w:val="24"/>
          <w:vertAlign w:val="superscript"/>
          <w:lang w:val="en-GB"/>
        </w:rPr>
        <w:t>56</w:t>
      </w:r>
      <w:r w:rsidR="001978CA" w:rsidRPr="008C12C7">
        <w:rPr>
          <w:lang w:val="en-GB"/>
        </w:rPr>
        <w:fldChar w:fldCharType="end"/>
      </w:r>
      <w:r w:rsidRPr="008C12C7">
        <w:rPr>
          <w:lang w:val="en-GB"/>
        </w:rPr>
        <w:t xml:space="preserve">. Our score integrates multiple variants at the NLRP3 locus with downstream inflammatory readouts, which may contribute to the differing findings. Overall, these exploratory disease associations are consistent with the biological relevance of the NLRP3 activity score beyond </w:t>
      </w:r>
      <w:proofErr w:type="gramStart"/>
      <w:r w:rsidRPr="008C12C7">
        <w:rPr>
          <w:lang w:val="en-GB"/>
        </w:rPr>
        <w:t>CAD</w:t>
      </w:r>
      <w:r w:rsidR="0095105D">
        <w:rPr>
          <w:lang w:val="en-GB"/>
        </w:rPr>
        <w:t>, but</w:t>
      </w:r>
      <w:proofErr w:type="gramEnd"/>
      <w:r w:rsidR="0095105D">
        <w:rPr>
          <w:lang w:val="en-GB"/>
        </w:rPr>
        <w:t xml:space="preserve"> require replication</w:t>
      </w:r>
      <w:r w:rsidRPr="008C12C7">
        <w:rPr>
          <w:lang w:val="en-GB"/>
        </w:rPr>
        <w:t>.</w:t>
      </w:r>
    </w:p>
    <w:bookmarkEnd w:id="107"/>
    <w:p w14:paraId="1ECBEF8A" w14:textId="7C26738F" w:rsidR="004C7475" w:rsidRPr="008C12C7" w:rsidRDefault="001070F6">
      <w:pPr>
        <w:pBdr>
          <w:top w:val="nil"/>
          <w:left w:val="nil"/>
          <w:bottom w:val="nil"/>
          <w:right w:val="nil"/>
          <w:between w:val="nil"/>
        </w:pBdr>
        <w:ind w:firstLine="300"/>
        <w:rPr>
          <w:lang w:val="en-GB"/>
        </w:rPr>
      </w:pPr>
      <w:r w:rsidRPr="008C12C7">
        <w:rPr>
          <w:lang w:val="en-GB"/>
        </w:rPr>
        <w:t>We acknowledge that our study has limitations. Although cis-restriction reduces the likelihood of horizontal pleiotropy, it cannot eliminate it, because variants may influence several biological processes through mechanisms not fully captured by the intended exposure</w:t>
      </w:r>
      <w:r w:rsidRPr="008C12C7">
        <w:rPr>
          <w:lang w:val="en-GB"/>
        </w:rPr>
        <w:fldChar w:fldCharType="begin"/>
      </w:r>
      <w:r w:rsidR="003902DB">
        <w:rPr>
          <w:lang w:val="en-GB"/>
        </w:rPr>
        <w:instrText xml:space="preserve"> ADDIN ZOTERO_ITEM CSL_CITATION {"citationID":"bibBS8VH","properties":{"unsorted":false,"formattedCitation":"\\super 57\\nosupersub{}","plainCitation":"57","noteIndex":0},"citationItems":[{"id":358,"uris":["http://zotero.org/users/12564564/items/HXA29FSG"],"itemData":{"id":358,"type":"article-journal","abstract":"Drug target Mendelian randomization describes the use of genetic variants as instrumental variables for studying the effects of pharmacological agents. The paradigm can be used to inform on all aspects of drug development and has become increasingly popular over the last decade, particularly given the time- and cost-efficiency with which it can be performed even before commencing clinical studies.","container-title":"BMC Medicine","DOI":"10.1186/s12916-024-03700-9","ISSN":"1741-7015","issue":"1","journalAbbreviation":"BMC Med","language":"en","page":"473","source":"Springer Link","title":"Common pitfalls in drug target Mendelian randomization and how to avoid them","volume":"22","author":[{"family":"Gill","given":"Dipender"},{"family":"Dib","given":"Marie-Joe"},{"family":"Cronjé","given":"Héléne T."},{"family":"Karhunen","given":"Ville"},{"family":"Woolf","given":"Benjamin"},{"family":"Gagnon","given":"Eloi"},{"family":"Daghlas","given":"Iyas"},{"family":"Nyberg","given":"Michael"},{"family":"Drakeman","given":"Donald"},{"family":"Burgess","given":"Stephen"}],"issued":{"date-parts":[["2024",10,15]]}}}],"schema":"https://github.com/citation-style-language/schema/raw/master/csl-citation.json"} </w:instrText>
      </w:r>
      <w:r w:rsidRPr="008C12C7">
        <w:rPr>
          <w:lang w:val="en-GB"/>
        </w:rPr>
        <w:fldChar w:fldCharType="separate"/>
      </w:r>
      <w:r w:rsidR="003902DB" w:rsidRPr="003902DB">
        <w:rPr>
          <w:szCs w:val="24"/>
          <w:vertAlign w:val="superscript"/>
          <w:lang w:val="en-GB"/>
        </w:rPr>
        <w:t>57</w:t>
      </w:r>
      <w:r w:rsidRPr="008C12C7">
        <w:rPr>
          <w:lang w:val="en-GB"/>
        </w:rPr>
        <w:fldChar w:fldCharType="end"/>
      </w:r>
      <w:r w:rsidRPr="008C12C7">
        <w:rPr>
          <w:lang w:val="en-GB"/>
        </w:rPr>
        <w:t xml:space="preserve">. The cardiometabolic associations could therefore reflect horizontal rather than vertical pleiotropy, a possibility consistent with the non-zero MR-Egger intercept. However, rare loss-of-function and gain-of-function variants in </w:t>
      </w:r>
      <w:r w:rsidRPr="008C12C7">
        <w:rPr>
          <w:i/>
          <w:iCs/>
          <w:lang w:val="en-GB"/>
        </w:rPr>
        <w:t xml:space="preserve">NLRP3 </w:t>
      </w:r>
      <w:r w:rsidRPr="008C12C7">
        <w:rPr>
          <w:lang w:val="en-GB"/>
        </w:rPr>
        <w:t>affected the inflammatory biomarkers in the expected directions, and no neighbo</w:t>
      </w:r>
      <w:r w:rsidR="00B95A1F" w:rsidRPr="008C12C7">
        <w:rPr>
          <w:lang w:val="en-GB"/>
        </w:rPr>
        <w:t>u</w:t>
      </w:r>
      <w:r w:rsidRPr="008C12C7">
        <w:rPr>
          <w:lang w:val="en-GB"/>
        </w:rPr>
        <w:t>ring gene</w:t>
      </w:r>
      <w:r w:rsidR="004D1A75">
        <w:rPr>
          <w:lang w:val="en-GB"/>
        </w:rPr>
        <w:t xml:space="preserve"> </w:t>
      </w:r>
      <w:r w:rsidRPr="008C12C7">
        <w:rPr>
          <w:lang w:val="en-GB"/>
        </w:rPr>
        <w:t xml:space="preserve">showed comparable associations, supporting </w:t>
      </w:r>
      <w:r w:rsidRPr="008C12C7">
        <w:rPr>
          <w:i/>
          <w:iCs/>
          <w:lang w:val="en-GB"/>
        </w:rPr>
        <w:t>NLRP3</w:t>
      </w:r>
      <w:r w:rsidRPr="008C12C7">
        <w:rPr>
          <w:lang w:val="en-GB"/>
        </w:rPr>
        <w:t xml:space="preserve"> as the causal gene at this locus. </w:t>
      </w:r>
      <w:r w:rsidR="002E39EA" w:rsidRPr="008C12C7">
        <w:rPr>
          <w:lang w:val="en-GB"/>
        </w:rPr>
        <w:t xml:space="preserve">Another limitation is that genetic variants capture small, lifelong differences in NLRP3 activity, whereas pharmacological inhibition produces a larger perturbation over a defined treatment period. Lifelong perturbation may also be buffered by compensatory </w:t>
      </w:r>
      <w:r w:rsidR="00F3138A" w:rsidRPr="008C12C7">
        <w:rPr>
          <w:lang w:val="en-GB"/>
        </w:rPr>
        <w:t>adaptation</w:t>
      </w:r>
      <w:r w:rsidR="002E39EA" w:rsidRPr="008C12C7">
        <w:rPr>
          <w:lang w:val="en-GB"/>
        </w:rPr>
        <w:t xml:space="preserve"> during development, and the adverse cardiometabolic associations observed here may not develop over the shorter timescale of pharmacological treatment</w:t>
      </w:r>
      <w:r w:rsidR="002E39EA" w:rsidRPr="008C12C7">
        <w:rPr>
          <w:lang w:val="en-GB"/>
        </w:rPr>
        <w:fldChar w:fldCharType="begin"/>
      </w:r>
      <w:r w:rsidR="001865ED">
        <w:rPr>
          <w:lang w:val="en-GB"/>
        </w:rPr>
        <w:instrText xml:space="preserve"> ADDIN ZOTERO_ITEM CSL_CITATION {"citationID":"kzsK1af4","properties":{"unsorted":false,"formattedCitation":"\\super 58\\nosupersub{}","plainCitation":"58","noteIndex":0},"citationItems":[{"id":340,"uris":["http://zotero.org/users/12564564/items/N26886US"],"itemData":{"id":340,"type":"article-journal","abstract":"Observational studies have contributed in a major way to understanding modifiable determinants of cardiovascular disease risk, but several examples exist of factors that were identified in observational studies as potentially protecting against coronary heart disease, that in randomized controlled trials had no such effect. The likely reason for misleading findings from observational epidemiological studies is that associations are influenced by confounding, bias, and reverse causation—where disease influences a risk factor, rather than vice versa. Mendelian randomization utilizes genetic variants that serve as proxy measures for modifiable risk factors to allow estimation of the causal influence of the modifiable risk factor in question. We present examples of the use of the Mendelian randomization approach and discuss both the limitations and potentials of this strategy.","container-title":"Annals of Medicine","DOI":"10.1080/07853890802010709","ISSN":"0785-3890","issue":"7","note":"publisher: Taylor &amp; Francis\n_eprint: https://doi.org/10.1080/07853890802010709","page":"524-541","source":"Taylor and Francis+NEJM","title":"Strengthening causal inference in cardiovascular epidemiology through Mendelian randomization","volume":"40","author":[{"family":"Davey Smith","given":"George"},{"family":"Timpson","given":"Nic"},{"family":"Ebrahim","given":"Shah"}],"issued":{"date-parts":[["2008",1,1]]}}}],"schema":"https://github.com/citation-style-language/schema/raw/master/csl-citation.json"} </w:instrText>
      </w:r>
      <w:r w:rsidR="002E39EA" w:rsidRPr="008C12C7">
        <w:rPr>
          <w:lang w:val="en-GB"/>
        </w:rPr>
        <w:fldChar w:fldCharType="separate"/>
      </w:r>
      <w:r w:rsidR="003902DB" w:rsidRPr="003902DB">
        <w:rPr>
          <w:szCs w:val="24"/>
          <w:vertAlign w:val="superscript"/>
          <w:lang w:val="en-GB"/>
        </w:rPr>
        <w:t>58</w:t>
      </w:r>
      <w:r w:rsidR="002E39EA" w:rsidRPr="008C12C7">
        <w:rPr>
          <w:lang w:val="en-GB"/>
        </w:rPr>
        <w:fldChar w:fldCharType="end"/>
      </w:r>
      <w:r w:rsidR="002E39EA" w:rsidRPr="008C12C7">
        <w:rPr>
          <w:lang w:val="en-GB"/>
        </w:rPr>
        <w:t xml:space="preserve">. </w:t>
      </w:r>
      <w:r w:rsidR="00645EF1" w:rsidRPr="00645EF1">
        <w:rPr>
          <w:lang w:val="en-GB"/>
        </w:rPr>
        <w:t>Our estimates also apply to a general population, whereas clinical studies of direct NLRP3 inhibition in CAD have focused on patients with established coronary disease, in whom the cardiometabolic pathways implicated here are routinely treated with lipid-lowering and antihypertensive therapy.</w:t>
      </w:r>
      <w:r w:rsidR="00645EF1">
        <w:rPr>
          <w:lang w:val="en-GB"/>
        </w:rPr>
        <w:t xml:space="preserve"> </w:t>
      </w:r>
      <w:r w:rsidR="00AB5D92" w:rsidRPr="008C12C7">
        <w:rPr>
          <w:lang w:val="en-GB"/>
        </w:rPr>
        <w:t xml:space="preserve">Statistical power is a </w:t>
      </w:r>
      <w:r w:rsidR="00B300DC">
        <w:rPr>
          <w:lang w:val="en-GB"/>
        </w:rPr>
        <w:t xml:space="preserve">further </w:t>
      </w:r>
      <w:r w:rsidR="00AB5D92" w:rsidRPr="008C12C7">
        <w:rPr>
          <w:lang w:val="en-GB"/>
        </w:rPr>
        <w:t>consideration. The residual direct effect on CAD, after accounting for SBP</w:t>
      </w:r>
      <w:r w:rsidR="0058686E" w:rsidRPr="008C12C7">
        <w:rPr>
          <w:lang w:val="en-GB"/>
        </w:rPr>
        <w:t xml:space="preserve">, </w:t>
      </w:r>
      <w:r w:rsidR="00AB5D92" w:rsidRPr="008C12C7">
        <w:rPr>
          <w:lang w:val="en-GB"/>
        </w:rPr>
        <w:t>ApoB</w:t>
      </w:r>
      <w:r w:rsidR="0058686E" w:rsidRPr="008C12C7">
        <w:rPr>
          <w:lang w:val="en-GB"/>
        </w:rPr>
        <w:t>,</w:t>
      </w:r>
      <w:r w:rsidR="00AB5D92" w:rsidRPr="008C12C7">
        <w:rPr>
          <w:lang w:val="en-GB"/>
        </w:rPr>
        <w:t xml:space="preserve"> and T2D, was close to the null, but its confidence interval remains compatible with a modest effect in either direction. Relatedly, for several disease outcomes the available case numbers may have been insufficient to detect modest causal effects, and null findings should therefore be interpreted with caution.</w:t>
      </w:r>
      <w:r w:rsidR="00F3138A" w:rsidRPr="008C12C7">
        <w:rPr>
          <w:lang w:val="en-GB"/>
        </w:rPr>
        <w:t xml:space="preserve"> </w:t>
      </w:r>
      <w:r w:rsidR="00AB5D92" w:rsidRPr="008C12C7">
        <w:rPr>
          <w:lang w:val="en-GB"/>
        </w:rPr>
        <w:t xml:space="preserve">Our instrument is also derived from inflammatory biomarkers measured in peripheral blood and may not reflect NLRP3 </w:t>
      </w:r>
      <w:r w:rsidR="00AB5D92" w:rsidRPr="008C12C7">
        <w:rPr>
          <w:rStyle w:val="Strong"/>
          <w:b w:val="0"/>
          <w:bCs w:val="0"/>
          <w:lang w:val="en-GB"/>
        </w:rPr>
        <w:t>activity</w:t>
      </w:r>
      <w:r w:rsidR="00AB5D92" w:rsidRPr="008C12C7">
        <w:rPr>
          <w:lang w:val="en-GB"/>
        </w:rPr>
        <w:t xml:space="preserve"> in disease-relevant tissues such as the coronary arteries or the brain. Establishing these tissue-specific effects will require complementary evidence, including tissue-specific molecular data and pharmacodynamic biomarker measurements in clinical studies.</w:t>
      </w:r>
      <w:r w:rsidR="001E6FDD" w:rsidRPr="001E6FDD">
        <w:t xml:space="preserve"> </w:t>
      </w:r>
      <w:r w:rsidR="001E6FDD" w:rsidRPr="001E6FDD">
        <w:rPr>
          <w:lang w:val="en-GB"/>
        </w:rPr>
        <w:t>Finally, the NLRP3 activity score and all disease outcome analyses were based on European-ancestry data, which limits generalisability.</w:t>
      </w:r>
    </w:p>
    <w:p w14:paraId="7C0B96A3" w14:textId="25318CBD" w:rsidR="006D380D" w:rsidRPr="008C12C7" w:rsidRDefault="004404E3" w:rsidP="0059237A">
      <w:pPr>
        <w:pBdr>
          <w:top w:val="nil"/>
          <w:left w:val="nil"/>
          <w:bottom w:val="nil"/>
          <w:right w:val="nil"/>
          <w:between w:val="nil"/>
        </w:pBdr>
        <w:ind w:firstLine="300"/>
        <w:rPr>
          <w:lang w:val="en-GB"/>
        </w:rPr>
      </w:pPr>
      <w:bookmarkStart w:id="108" w:name="_Hlk240541142"/>
      <w:r w:rsidRPr="008C12C7">
        <w:rPr>
          <w:lang w:val="en-GB"/>
        </w:rPr>
        <w:t xml:space="preserve">In conclusion, a lower genetically proxied NLRP3 activity score was associated with higher CAD risk, with mediation analyses suggesting that this association was largely accounted for by adverse cardiometabolic effects. These findings reflect lifelong genetic variation in the general population and do not preclude benefit from pharmacological inhibition in selected patients with inflammasome-driven cardiovascular risk. </w:t>
      </w:r>
      <w:r w:rsidR="00E25CBF" w:rsidRPr="008C12C7">
        <w:rPr>
          <w:lang w:val="en-GB"/>
        </w:rPr>
        <w:t xml:space="preserve">They provide no genetic support for cardioprotection from lower NLRP3 </w:t>
      </w:r>
      <w:proofErr w:type="gramStart"/>
      <w:r w:rsidR="00E25CBF" w:rsidRPr="008C12C7">
        <w:rPr>
          <w:lang w:val="en-GB"/>
        </w:rPr>
        <w:t>activity, and</w:t>
      </w:r>
      <w:proofErr w:type="gramEnd"/>
      <w:r w:rsidR="00E25CBF" w:rsidRPr="008C12C7">
        <w:rPr>
          <w:lang w:val="en-GB"/>
        </w:rPr>
        <w:t xml:space="preserve"> argue for monitoring cardiometabolic effects in trials of NLRP3 inhibitors.</w:t>
      </w:r>
      <w:r w:rsidR="006E2266" w:rsidRPr="008C12C7">
        <w:rPr>
          <w:lang w:val="en-GB"/>
        </w:rPr>
        <w:t xml:space="preserve"> </w:t>
      </w:r>
      <w:bookmarkStart w:id="109" w:name="_Hlk240540220"/>
      <w:bookmarkEnd w:id="106"/>
      <w:bookmarkEnd w:id="108"/>
    </w:p>
    <w:p w14:paraId="33B73D98" w14:textId="233F330A" w:rsidR="003E7B20" w:rsidRDefault="0006324E" w:rsidP="003E7B20">
      <w:pPr>
        <w:pStyle w:val="Heading1"/>
      </w:pPr>
      <w:bookmarkStart w:id="110" w:name="wl40gdiqxxec" w:colFirst="0" w:colLast="0"/>
      <w:bookmarkStart w:id="111" w:name="_jl82gr19kr7w" w:colFirst="0" w:colLast="0"/>
      <w:bookmarkStart w:id="112" w:name="_Hlk241057318"/>
      <w:bookmarkEnd w:id="109"/>
      <w:bookmarkEnd w:id="110"/>
      <w:bookmarkEnd w:id="111"/>
      <w:r>
        <w:lastRenderedPageBreak/>
        <w:t xml:space="preserve">6. </w:t>
      </w:r>
      <w:r w:rsidR="003E7B20">
        <w:t>Acknowledgements</w:t>
      </w:r>
    </w:p>
    <w:p w14:paraId="37407273" w14:textId="107BE762" w:rsidR="003E7B20" w:rsidRDefault="003E7B20" w:rsidP="009F6FC1">
      <w:pPr>
        <w:rPr>
          <w:lang w:val="en-GB"/>
        </w:rPr>
      </w:pPr>
      <w:r w:rsidRPr="000E5645">
        <w:rPr>
          <w:lang w:val="en-GB"/>
        </w:rPr>
        <w:t xml:space="preserve">This research has been conducted using the UK Biobank Resource under Application Number 608471. We gratefully acknowledge All of Us participants for their contributions, without whom this research would not have been possible. We also thank the National Institutes of Health's All of Us Research Program for making available the participant data examined in this study. We want to acknowledge the participants and investigators of the </w:t>
      </w:r>
      <w:proofErr w:type="spellStart"/>
      <w:r w:rsidRPr="000E5645">
        <w:rPr>
          <w:lang w:val="en-GB"/>
        </w:rPr>
        <w:t>FinnGen</w:t>
      </w:r>
      <w:proofErr w:type="spellEnd"/>
      <w:r w:rsidRPr="000E5645">
        <w:rPr>
          <w:lang w:val="en-GB"/>
        </w:rPr>
        <w:t xml:space="preserve"> study. </w:t>
      </w:r>
      <w:r w:rsidR="00124D30" w:rsidRPr="000E5645">
        <w:rPr>
          <w:lang w:val="en-GB"/>
        </w:rPr>
        <w:t xml:space="preserve">We thank the participants and investigators of UK Biobank, INTERVAL, the Million Veteran Program, SCAPIS and </w:t>
      </w:r>
      <w:proofErr w:type="spellStart"/>
      <w:r w:rsidR="00124D30" w:rsidRPr="000E5645">
        <w:rPr>
          <w:lang w:val="en-GB"/>
        </w:rPr>
        <w:t>deCODE</w:t>
      </w:r>
      <w:proofErr w:type="spellEnd"/>
      <w:r w:rsidR="00124D30" w:rsidRPr="000E5645">
        <w:rPr>
          <w:lang w:val="en-GB"/>
        </w:rPr>
        <w:t xml:space="preserve"> genetics, and all consortia that made their summary statistics publicly available.</w:t>
      </w:r>
      <w:r w:rsidR="00FA728E" w:rsidRPr="00FA728E">
        <w:t xml:space="preserve"> </w:t>
      </w:r>
      <w:r w:rsidR="00FA728E" w:rsidRPr="00FA728E">
        <w:rPr>
          <w:lang w:val="en-GB"/>
        </w:rPr>
        <w:t xml:space="preserve">This work was performed using resources provided by the Cambridge Service for Data Driven Discovery (CSD3) operated by the University of Cambridge Research Computing Service (www.csd3.cam.ac.uk), provided by Dell EMC and Intel using Tier-2 funding from the Engineering and Physical Sciences Research Council (capital grant EP/T022159/1), and </w:t>
      </w:r>
      <w:proofErr w:type="spellStart"/>
      <w:r w:rsidR="00FA728E" w:rsidRPr="00FA728E">
        <w:rPr>
          <w:lang w:val="en-GB"/>
        </w:rPr>
        <w:t>DiRAC</w:t>
      </w:r>
      <w:proofErr w:type="spellEnd"/>
      <w:r w:rsidR="00FA728E" w:rsidRPr="00FA728E">
        <w:rPr>
          <w:lang w:val="en-GB"/>
        </w:rPr>
        <w:t xml:space="preserve"> funding from the Science and Technology Facilities Council (www.dirac.ac.uk).</w:t>
      </w:r>
    </w:p>
    <w:p w14:paraId="3BD8E608" w14:textId="0DC009D4" w:rsidR="00934C93" w:rsidRDefault="0006324E" w:rsidP="00934C93">
      <w:pPr>
        <w:pStyle w:val="Heading1"/>
        <w:rPr>
          <w:lang w:val="en-GB"/>
        </w:rPr>
      </w:pPr>
      <w:r>
        <w:rPr>
          <w:lang w:val="en-GB"/>
        </w:rPr>
        <w:t xml:space="preserve">7. </w:t>
      </w:r>
      <w:r w:rsidR="00934C93">
        <w:rPr>
          <w:lang w:val="en-GB"/>
        </w:rPr>
        <w:t>Funding</w:t>
      </w:r>
    </w:p>
    <w:p w14:paraId="20D218BD" w14:textId="592F38BB" w:rsidR="00934C93" w:rsidRDefault="00934C93" w:rsidP="001717A1">
      <w:pPr>
        <w:pBdr>
          <w:top w:val="nil"/>
          <w:left w:val="nil"/>
          <w:bottom w:val="nil"/>
          <w:right w:val="nil"/>
          <w:between w:val="nil"/>
        </w:pBdr>
        <w:rPr>
          <w:color w:val="000000"/>
          <w:lang w:val="en-GB"/>
        </w:rPr>
      </w:pPr>
      <w:r w:rsidRPr="008C12C7">
        <w:rPr>
          <w:color w:val="000000"/>
          <w:lang w:val="en-GB"/>
        </w:rPr>
        <w:t xml:space="preserve">This work was funded by </w:t>
      </w:r>
      <w:r>
        <w:rPr>
          <w:color w:val="000000"/>
          <w:lang w:val="en-GB"/>
        </w:rPr>
        <w:t>…</w:t>
      </w:r>
    </w:p>
    <w:p w14:paraId="18FBC81C" w14:textId="3A59D2E2" w:rsidR="00934C93" w:rsidRDefault="0006324E" w:rsidP="00934C93">
      <w:pPr>
        <w:pStyle w:val="Heading1"/>
        <w:rPr>
          <w:lang w:val="en-GB"/>
        </w:rPr>
      </w:pPr>
      <w:r>
        <w:rPr>
          <w:lang w:val="en-GB"/>
        </w:rPr>
        <w:t xml:space="preserve">8. </w:t>
      </w:r>
      <w:r w:rsidR="00934C93">
        <w:rPr>
          <w:lang w:val="en-GB"/>
        </w:rPr>
        <w:t>Disclosure of interest</w:t>
      </w:r>
    </w:p>
    <w:p w14:paraId="5C54C1F9" w14:textId="412FB6C0" w:rsidR="00934C93" w:rsidRPr="008C12C7" w:rsidRDefault="00934C93" w:rsidP="00934C93">
      <w:pPr>
        <w:pBdr>
          <w:top w:val="nil"/>
          <w:left w:val="nil"/>
          <w:bottom w:val="nil"/>
          <w:right w:val="nil"/>
          <w:between w:val="nil"/>
        </w:pBdr>
        <w:rPr>
          <w:color w:val="000000"/>
          <w:lang w:val="en-GB"/>
        </w:rPr>
      </w:pPr>
      <w:r w:rsidRPr="008C12C7">
        <w:rPr>
          <w:color w:val="000000"/>
          <w:lang w:val="en-GB"/>
        </w:rPr>
        <w:t>N.H. holds a Non-Clinical PhD Studentship funded by AstraZeneca. S.B</w:t>
      </w:r>
      <w:r w:rsidR="00FA728E">
        <w:rPr>
          <w:color w:val="000000"/>
          <w:lang w:val="en-GB"/>
        </w:rPr>
        <w:t>.</w:t>
      </w:r>
      <w:r w:rsidRPr="008C12C7">
        <w:rPr>
          <w:color w:val="000000"/>
          <w:lang w:val="en-GB"/>
        </w:rPr>
        <w:t xml:space="preserve"> is an employee of Sequoia Genetics. D.S.P</w:t>
      </w:r>
      <w:r w:rsidR="00FA728E">
        <w:rPr>
          <w:color w:val="000000"/>
          <w:lang w:val="en-GB"/>
        </w:rPr>
        <w:t>.</w:t>
      </w:r>
      <w:r w:rsidRPr="008C12C7">
        <w:rPr>
          <w:color w:val="000000"/>
          <w:lang w:val="en-GB"/>
        </w:rPr>
        <w:t xml:space="preserve"> was an employee and shareholder of AstraZeneca during the duration of this work.</w:t>
      </w:r>
    </w:p>
    <w:p w14:paraId="74D636E1" w14:textId="77777777" w:rsidR="00934C93" w:rsidRPr="00934C93" w:rsidRDefault="00934C93" w:rsidP="00934C93">
      <w:pPr>
        <w:rPr>
          <w:lang w:val="en-GB"/>
        </w:rPr>
      </w:pPr>
    </w:p>
    <w:p w14:paraId="7902700F" w14:textId="4423F9BD" w:rsidR="00934C93" w:rsidRDefault="0006324E" w:rsidP="009F6FC1">
      <w:pPr>
        <w:pStyle w:val="Heading1"/>
        <w:rPr>
          <w:lang w:val="en-GB"/>
        </w:rPr>
      </w:pPr>
      <w:r>
        <w:rPr>
          <w:lang w:val="en-GB"/>
        </w:rPr>
        <w:t xml:space="preserve">9. </w:t>
      </w:r>
      <w:r w:rsidR="00934C93" w:rsidRPr="008C12C7">
        <w:rPr>
          <w:lang w:val="en-GB"/>
        </w:rPr>
        <w:t xml:space="preserve">Data </w:t>
      </w:r>
      <w:r w:rsidR="00934C93" w:rsidRPr="009F6FC1">
        <w:t>availability</w:t>
      </w:r>
    </w:p>
    <w:p w14:paraId="056ADBAE" w14:textId="390DBB54" w:rsidR="009F6FC1" w:rsidRPr="009F6FC1" w:rsidRDefault="009F6FC1" w:rsidP="009F6FC1">
      <w:pPr>
        <w:rPr>
          <w:lang w:val="en-GB"/>
        </w:rPr>
      </w:pPr>
      <w:r w:rsidRPr="009F6FC1">
        <w:rPr>
          <w:lang w:val="en-GB"/>
        </w:rPr>
        <w:t xml:space="preserve">All GWAS summary statistics analysed in this study are publicly available from the sources listed in Supplementary Tables 1–4. Individual-level data from UK Biobank and the other contributing studies are available to approved researchers through their respective access procedures. This study used data from the All of Us Research Program, available to authorized users on the Researcher Workbench. The code used for all analyses and figures is available at </w:t>
      </w:r>
      <w:hyperlink r:id="rId7" w:history="1">
        <w:r w:rsidRPr="00E244D0">
          <w:rPr>
            <w:rStyle w:val="Hyperlink"/>
            <w:lang w:val="en-GB"/>
          </w:rPr>
          <w:t>https://github.com/nickhir/NLRP3_MR_manuscript</w:t>
        </w:r>
      </w:hyperlink>
      <w:r>
        <w:rPr>
          <w:lang w:val="en-GB"/>
        </w:rPr>
        <w:t>.</w:t>
      </w:r>
    </w:p>
    <w:p w14:paraId="14729897" w14:textId="4DDC5E70" w:rsidR="00C165B1" w:rsidRDefault="0006324E">
      <w:pPr>
        <w:pStyle w:val="Heading1"/>
        <w:rPr>
          <w:lang w:val="en-GB"/>
        </w:rPr>
      </w:pPr>
      <w:r>
        <w:rPr>
          <w:lang w:val="en-GB"/>
        </w:rPr>
        <w:t xml:space="preserve">10. </w:t>
      </w:r>
      <w:r w:rsidR="00C165B1">
        <w:rPr>
          <w:lang w:val="en-GB"/>
        </w:rPr>
        <w:t>Ethical Approval</w:t>
      </w:r>
    </w:p>
    <w:p w14:paraId="78F11CD5" w14:textId="1521B9FD" w:rsidR="000E5645" w:rsidRDefault="00C165B1" w:rsidP="00465809">
      <w:pPr>
        <w:rPr>
          <w:lang w:val="en-GB"/>
        </w:rPr>
      </w:pPr>
      <w:r w:rsidRPr="000E5645">
        <w:rPr>
          <w:lang w:val="en-GB"/>
        </w:rPr>
        <w:t xml:space="preserve">This study used summary statistics from published genome-wide association studies, each of which obtained ethical approval and participants' informed consent as described in the original publications; no further approval was required for their use. Individual-level UK Biobank data were analysed under Application Number 608471. UK Biobank has Research Tissue Bank approval from the </w:t>
      </w:r>
      <w:proofErr w:type="gramStart"/>
      <w:r w:rsidRPr="000E5645">
        <w:rPr>
          <w:lang w:val="en-GB"/>
        </w:rPr>
        <w:t>North West</w:t>
      </w:r>
      <w:proofErr w:type="gramEnd"/>
      <w:r w:rsidRPr="000E5645">
        <w:rPr>
          <w:lang w:val="en-GB"/>
        </w:rPr>
        <w:t xml:space="preserve"> Multi-centre Research Ethics Committee (11/NW/0382, renewed as 16/NW/0274 and 21/NW/0157), and all participants gave written informed consent. The INTERVAL study was approved by the National Research Ethics Service (11/EE/0538), and all participants gave informed consent. All of Us participants provided informed consent, and analyses of de-identified data within the All of Us Researcher Workbench are not subject to separate institutional review board review. The study was conducted in accordance with the Declaration of Helsinki.</w:t>
      </w:r>
    </w:p>
    <w:p w14:paraId="3D02E89B" w14:textId="76CEEEFD" w:rsidR="000E5645" w:rsidRDefault="0006324E" w:rsidP="000E5645">
      <w:pPr>
        <w:pStyle w:val="Heading1"/>
      </w:pPr>
      <w:r>
        <w:lastRenderedPageBreak/>
        <w:t xml:space="preserve">11. </w:t>
      </w:r>
      <w:r w:rsidR="000E5645">
        <w:t>Pre-registered Clinical Trial Number</w:t>
      </w:r>
    </w:p>
    <w:p w14:paraId="36867100" w14:textId="65DE3509" w:rsidR="00934C93" w:rsidRPr="00415315" w:rsidRDefault="000E5645" w:rsidP="00415315">
      <w:r>
        <w:t xml:space="preserve">Not applicable. </w:t>
      </w:r>
      <w:bookmarkStart w:id="113" w:name="95682yewyt81" w:colFirst="0" w:colLast="0"/>
      <w:bookmarkStart w:id="114" w:name="_1fo3gy519m4n" w:colFirst="0" w:colLast="0"/>
      <w:bookmarkStart w:id="115" w:name="1196i3x3z68q" w:colFirst="0" w:colLast="0"/>
      <w:bookmarkStart w:id="116" w:name="_2rdp00hqm01p" w:colFirst="0" w:colLast="0"/>
      <w:bookmarkEnd w:id="112"/>
      <w:bookmarkEnd w:id="113"/>
      <w:bookmarkEnd w:id="114"/>
      <w:bookmarkEnd w:id="115"/>
      <w:bookmarkEnd w:id="116"/>
      <w:r w:rsidR="00934C93">
        <w:rPr>
          <w:lang w:val="en-GB"/>
        </w:rPr>
        <w:br w:type="page"/>
      </w:r>
    </w:p>
    <w:p w14:paraId="416DC4CD" w14:textId="6052937F" w:rsidR="006D380D" w:rsidRPr="008C12C7" w:rsidRDefault="0006324E">
      <w:pPr>
        <w:pStyle w:val="Heading1"/>
        <w:spacing w:before="0" w:after="440"/>
        <w:rPr>
          <w:lang w:val="en-GB"/>
        </w:rPr>
      </w:pPr>
      <w:r>
        <w:rPr>
          <w:lang w:val="en-GB"/>
        </w:rPr>
        <w:lastRenderedPageBreak/>
        <w:t>12</w:t>
      </w:r>
      <w:r w:rsidR="00000000" w:rsidRPr="008C12C7">
        <w:rPr>
          <w:lang w:val="en-GB"/>
        </w:rPr>
        <w:t>. Figures</w:t>
      </w:r>
    </w:p>
    <w:p w14:paraId="2B23BBAC" w14:textId="77777777" w:rsidR="006D380D" w:rsidRPr="008C12C7" w:rsidRDefault="00000000">
      <w:pPr>
        <w:keepNext/>
        <w:pBdr>
          <w:top w:val="nil"/>
          <w:left w:val="nil"/>
          <w:bottom w:val="nil"/>
          <w:right w:val="nil"/>
          <w:between w:val="nil"/>
        </w:pBdr>
        <w:spacing w:after="110"/>
        <w:jc w:val="center"/>
        <w:rPr>
          <w:color w:val="000000"/>
          <w:lang w:val="en-GB"/>
        </w:rPr>
      </w:pPr>
      <w:bookmarkStart w:id="117" w:name="ply28ugmsqdz" w:colFirst="0" w:colLast="0"/>
      <w:bookmarkEnd w:id="117"/>
      <w:r w:rsidRPr="008C12C7">
        <w:rPr>
          <w:noProof/>
          <w:color w:val="000000"/>
          <w:lang w:val="en-GB"/>
        </w:rPr>
        <w:drawing>
          <wp:inline distT="0" distB="0" distL="0" distR="0" wp14:anchorId="3C12CAF5" wp14:editId="785F4B64">
            <wp:extent cx="5956133" cy="3021744"/>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1" name="image8.png"/>
                    <pic:cNvPicPr preferRelativeResize="0"/>
                  </pic:nvPicPr>
                  <pic:blipFill>
                    <a:blip r:embed="rId8"/>
                    <a:stretch>
                      <a:fillRect/>
                    </a:stretch>
                  </pic:blipFill>
                  <pic:spPr>
                    <a:xfrm>
                      <a:off x="0" y="0"/>
                      <a:ext cx="5985000" cy="3036389"/>
                    </a:xfrm>
                    <a:prstGeom prst="rect">
                      <a:avLst/>
                    </a:prstGeom>
                    <a:ln/>
                  </pic:spPr>
                </pic:pic>
              </a:graphicData>
            </a:graphic>
          </wp:inline>
        </w:drawing>
      </w:r>
    </w:p>
    <w:p w14:paraId="14E38F1A" w14:textId="6DFF1B5A" w:rsidR="006D380D" w:rsidRPr="00E552FA" w:rsidRDefault="00000000" w:rsidP="00E552FA">
      <w:pPr>
        <w:pStyle w:val="Normalnoindent"/>
        <w:rPr>
          <w:b w:val="0"/>
          <w:bCs w:val="0"/>
        </w:rPr>
      </w:pPr>
      <w:bookmarkStart w:id="118" w:name="_Hlk240547856"/>
      <w:r w:rsidRPr="008C12C7">
        <w:t xml:space="preserve">Figure 1. The study design. </w:t>
      </w:r>
      <w:r w:rsidRPr="00E552FA">
        <w:rPr>
          <w:b w:val="0"/>
          <w:bCs w:val="0"/>
        </w:rPr>
        <w:t xml:space="preserve">A genetic </w:t>
      </w:r>
      <w:r w:rsidR="001F3D1D" w:rsidRPr="00E552FA">
        <w:rPr>
          <w:b w:val="0"/>
          <w:bCs w:val="0"/>
        </w:rPr>
        <w:t>score</w:t>
      </w:r>
      <w:r w:rsidRPr="00E552FA">
        <w:rPr>
          <w:b w:val="0"/>
          <w:bCs w:val="0"/>
        </w:rPr>
        <w:t xml:space="preserve"> for NLRP3 activity was constructed from variants at the </w:t>
      </w:r>
      <w:r w:rsidRPr="00E552FA">
        <w:rPr>
          <w:b w:val="0"/>
          <w:bCs w:val="0"/>
          <w:i/>
          <w:iCs/>
        </w:rPr>
        <w:t>NLRP3</w:t>
      </w:r>
      <w:r w:rsidRPr="00E552FA">
        <w:rPr>
          <w:b w:val="0"/>
          <w:bCs w:val="0"/>
        </w:rPr>
        <w:t xml:space="preserve"> locus associated with </w:t>
      </w:r>
      <w:r w:rsidRPr="00E552FA">
        <w:rPr>
          <w:b w:val="0"/>
          <w:bCs w:val="0"/>
          <w:i/>
          <w:iCs/>
        </w:rPr>
        <w:t>NLRP3</w:t>
      </w:r>
      <w:r w:rsidRPr="00E552FA">
        <w:rPr>
          <w:b w:val="0"/>
          <w:bCs w:val="0"/>
        </w:rPr>
        <w:t xml:space="preserve"> expression, CRP, </w:t>
      </w:r>
      <w:proofErr w:type="spellStart"/>
      <w:r w:rsidRPr="00E552FA">
        <w:rPr>
          <w:b w:val="0"/>
          <w:bCs w:val="0"/>
        </w:rPr>
        <w:t>GlycA</w:t>
      </w:r>
      <w:proofErr w:type="spellEnd"/>
      <w:r w:rsidRPr="00E552FA">
        <w:rPr>
          <w:b w:val="0"/>
          <w:bCs w:val="0"/>
        </w:rPr>
        <w:t xml:space="preserve">, and neutrophil count, whose effect sizes were combined by PCA into a single NLRP3 activity score. The </w:t>
      </w:r>
      <w:r w:rsidR="001F3D1D" w:rsidRPr="00E552FA">
        <w:rPr>
          <w:b w:val="0"/>
          <w:bCs w:val="0"/>
        </w:rPr>
        <w:t>score</w:t>
      </w:r>
      <w:r w:rsidRPr="00E552FA">
        <w:rPr>
          <w:b w:val="0"/>
          <w:bCs w:val="0"/>
        </w:rPr>
        <w:t xml:space="preserve"> was validated against the canonical inflammasome effectors IL</w:t>
      </w:r>
      <w:r w:rsidR="00E4546B" w:rsidRPr="00E552FA">
        <w:rPr>
          <w:b w:val="0"/>
          <w:bCs w:val="0"/>
        </w:rPr>
        <w:t>-</w:t>
      </w:r>
      <w:r w:rsidRPr="00E552FA">
        <w:rPr>
          <w:b w:val="0"/>
          <w:bCs w:val="0"/>
        </w:rPr>
        <w:t>1β and IL</w:t>
      </w:r>
      <w:r w:rsidR="00E4546B" w:rsidRPr="00E552FA">
        <w:rPr>
          <w:b w:val="0"/>
          <w:bCs w:val="0"/>
        </w:rPr>
        <w:t>-</w:t>
      </w:r>
      <w:r w:rsidRPr="00E552FA">
        <w:rPr>
          <w:b w:val="0"/>
          <w:bCs w:val="0"/>
        </w:rPr>
        <w:t xml:space="preserve">18. Using Mendelian randomization, the score was applied to estimate the effect of genetically proxied NLRP3 activity on CAD risk and, through mediation analysis, to quantify the extent to which this effect is mediated by cardiometabolic risk factors, namely ApoB, SBP, and T2D. The </w:t>
      </w:r>
      <w:r w:rsidR="00C262BA" w:rsidRPr="00E552FA">
        <w:rPr>
          <w:b w:val="0"/>
          <w:bCs w:val="0"/>
        </w:rPr>
        <w:t>score</w:t>
      </w:r>
      <w:r w:rsidRPr="00E552FA">
        <w:rPr>
          <w:b w:val="0"/>
          <w:bCs w:val="0"/>
        </w:rPr>
        <w:t xml:space="preserve"> was further applied across additional clinical indications, including gout</w:t>
      </w:r>
      <w:r w:rsidR="001F3D1D" w:rsidRPr="00E552FA">
        <w:rPr>
          <w:b w:val="0"/>
          <w:bCs w:val="0"/>
        </w:rPr>
        <w:t xml:space="preserve">, pericarditis, </w:t>
      </w:r>
      <w:r w:rsidRPr="00E552FA">
        <w:rPr>
          <w:b w:val="0"/>
          <w:bCs w:val="0"/>
        </w:rPr>
        <w:t xml:space="preserve">and Parkinson’s disease. </w:t>
      </w:r>
    </w:p>
    <w:bookmarkEnd w:id="118"/>
    <w:p w14:paraId="78F59536" w14:textId="1CECC84A" w:rsidR="006D380D" w:rsidRPr="008C12C7" w:rsidRDefault="00113EDC" w:rsidP="000C072B">
      <w:pPr>
        <w:keepNext/>
        <w:pBdr>
          <w:top w:val="nil"/>
          <w:left w:val="nil"/>
          <w:bottom w:val="nil"/>
          <w:right w:val="nil"/>
          <w:between w:val="nil"/>
        </w:pBdr>
        <w:spacing w:after="110"/>
        <w:ind w:left="720" w:hanging="720"/>
        <w:rPr>
          <w:color w:val="000000"/>
          <w:lang w:val="en-GB"/>
        </w:rPr>
      </w:pPr>
      <w:r w:rsidRPr="008C12C7">
        <w:rPr>
          <w:noProof/>
          <w:color w:val="000000"/>
          <w:lang w:val="en-GB"/>
        </w:rPr>
        <w:lastRenderedPageBreak/>
        <w:drawing>
          <wp:inline distT="0" distB="0" distL="0" distR="0" wp14:anchorId="7AA7878C" wp14:editId="69854A07">
            <wp:extent cx="5591403" cy="5224907"/>
            <wp:effectExtent l="0" t="0" r="0" b="0"/>
            <wp:docPr id="122730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05910" name="Picture 1"/>
                    <pic:cNvPicPr/>
                  </pic:nvPicPr>
                  <pic:blipFill>
                    <a:blip r:embed="rId9"/>
                    <a:stretch>
                      <a:fillRect/>
                    </a:stretch>
                  </pic:blipFill>
                  <pic:spPr>
                    <a:xfrm>
                      <a:off x="0" y="0"/>
                      <a:ext cx="5591403" cy="5224907"/>
                    </a:xfrm>
                    <a:prstGeom prst="rect">
                      <a:avLst/>
                    </a:prstGeom>
                    <a:ln>
                      <a:noFill/>
                    </a:ln>
                  </pic:spPr>
                </pic:pic>
              </a:graphicData>
            </a:graphic>
          </wp:inline>
        </w:drawing>
      </w:r>
    </w:p>
    <w:p w14:paraId="006A1E60" w14:textId="03044426" w:rsidR="006D380D" w:rsidRPr="008C12C7" w:rsidRDefault="00000000" w:rsidP="003C5805">
      <w:pPr>
        <w:pStyle w:val="Normalnoindent"/>
      </w:pPr>
      <w:r w:rsidRPr="008C12C7">
        <w:t xml:space="preserve">Figure 2. Construction and validation of </w:t>
      </w:r>
      <w:r w:rsidR="00A40202">
        <w:t>the genetic score for NLRP3 activity</w:t>
      </w:r>
      <w:r w:rsidRPr="008C12C7">
        <w:t xml:space="preserve">. </w:t>
      </w:r>
      <w:r w:rsidRPr="003C5805">
        <w:t>(A)</w:t>
      </w:r>
      <w:r w:rsidRPr="003C5805">
        <w:rPr>
          <w:b w:val="0"/>
          <w:bCs w:val="0"/>
        </w:rPr>
        <w:t xml:space="preserve"> Regional association plots for </w:t>
      </w:r>
      <w:r w:rsidRPr="003C5805">
        <w:rPr>
          <w:b w:val="0"/>
          <w:bCs w:val="0"/>
          <w:i/>
          <w:iCs/>
        </w:rPr>
        <w:t>NLRP3</w:t>
      </w:r>
      <w:r w:rsidRPr="003C5805">
        <w:rPr>
          <w:b w:val="0"/>
          <w:bCs w:val="0"/>
        </w:rPr>
        <w:t xml:space="preserve"> expression, CRP concentration, </w:t>
      </w:r>
      <w:proofErr w:type="spellStart"/>
      <w:r w:rsidRPr="003C5805">
        <w:rPr>
          <w:b w:val="0"/>
          <w:bCs w:val="0"/>
        </w:rPr>
        <w:t>GlycA</w:t>
      </w:r>
      <w:proofErr w:type="spellEnd"/>
      <w:r w:rsidRPr="003C5805">
        <w:rPr>
          <w:b w:val="0"/>
          <w:bCs w:val="0"/>
        </w:rPr>
        <w:t xml:space="preserve"> concentration, and neutrophil count at the </w:t>
      </w:r>
      <w:r w:rsidRPr="003C5805">
        <w:rPr>
          <w:b w:val="0"/>
          <w:bCs w:val="0"/>
          <w:i/>
          <w:iCs/>
        </w:rPr>
        <w:t>NLRP3</w:t>
      </w:r>
      <w:r w:rsidRPr="003C5805">
        <w:rPr>
          <w:b w:val="0"/>
          <w:bCs w:val="0"/>
        </w:rPr>
        <w:t xml:space="preserve"> locus. The eight variants taken forward as instruments are circled in gold. </w:t>
      </w:r>
      <w:r w:rsidRPr="003C5805">
        <w:t>(B)</w:t>
      </w:r>
      <w:r w:rsidRPr="003C5805">
        <w:rPr>
          <w:b w:val="0"/>
          <w:bCs w:val="0"/>
        </w:rPr>
        <w:t xml:space="preserve"> Per-allele effect sizes of each variant on individual </w:t>
      </w:r>
      <w:r w:rsidR="008D44C0" w:rsidRPr="003C5805">
        <w:rPr>
          <w:b w:val="0"/>
          <w:bCs w:val="0"/>
        </w:rPr>
        <w:t>traits</w:t>
      </w:r>
      <w:r w:rsidRPr="003C5805">
        <w:rPr>
          <w:b w:val="0"/>
          <w:bCs w:val="0"/>
        </w:rPr>
        <w:t xml:space="preserve"> and on the NLRP3 activity score. The latter represents the PC1-weighted composite of </w:t>
      </w:r>
      <w:r w:rsidR="008D44C0" w:rsidRPr="003C5805">
        <w:rPr>
          <w:b w:val="0"/>
          <w:bCs w:val="0"/>
        </w:rPr>
        <w:t>effect sizes across the four traits.</w:t>
      </w:r>
      <w:r w:rsidR="00810938" w:rsidRPr="003C5805">
        <w:rPr>
          <w:b w:val="0"/>
          <w:bCs w:val="0"/>
        </w:rPr>
        <w:t xml:space="preserve"> </w:t>
      </w:r>
      <w:r w:rsidR="009C2007" w:rsidRPr="003C5805">
        <w:rPr>
          <w:b w:val="0"/>
          <w:bCs w:val="0"/>
        </w:rPr>
        <w:t xml:space="preserve">The effect allele, shown after each </w:t>
      </w:r>
      <w:proofErr w:type="spellStart"/>
      <w:r w:rsidR="009C2007" w:rsidRPr="003C5805">
        <w:rPr>
          <w:b w:val="0"/>
          <w:bCs w:val="0"/>
        </w:rPr>
        <w:t>rsID</w:t>
      </w:r>
      <w:proofErr w:type="spellEnd"/>
      <w:r w:rsidR="009C2007" w:rsidRPr="003C5805">
        <w:rPr>
          <w:b w:val="0"/>
          <w:bCs w:val="0"/>
        </w:rPr>
        <w:t>, is the allele that lowers the NLRP3 activity score.</w:t>
      </w:r>
      <w:r w:rsidRPr="003C5805">
        <w:rPr>
          <w:b w:val="0"/>
          <w:bCs w:val="0"/>
        </w:rPr>
        <w:t xml:space="preserve"> </w:t>
      </w:r>
      <w:r w:rsidRPr="003C5805">
        <w:t xml:space="preserve">(C) </w:t>
      </w:r>
      <w:r w:rsidRPr="003C5805">
        <w:rPr>
          <w:b w:val="0"/>
          <w:bCs w:val="0"/>
        </w:rPr>
        <w:t xml:space="preserve">Forest plot of MR estimates for the effect of the NLRP3 activity score on the inflammatory biomarkers used in its construction (CRP, </w:t>
      </w:r>
      <w:proofErr w:type="spellStart"/>
      <w:r w:rsidRPr="003C5805">
        <w:rPr>
          <w:b w:val="0"/>
          <w:bCs w:val="0"/>
        </w:rPr>
        <w:t>GlycA</w:t>
      </w:r>
      <w:proofErr w:type="spellEnd"/>
      <w:r w:rsidRPr="003C5805">
        <w:rPr>
          <w:b w:val="0"/>
          <w:bCs w:val="0"/>
        </w:rPr>
        <w:t>, and neutrophil count) and on cytokines not used in its construction (IL</w:t>
      </w:r>
      <w:r w:rsidR="006A1B91" w:rsidRPr="003C5805">
        <w:rPr>
          <w:b w:val="0"/>
          <w:bCs w:val="0"/>
        </w:rPr>
        <w:t>-</w:t>
      </w:r>
      <w:r w:rsidRPr="003C5805">
        <w:rPr>
          <w:b w:val="0"/>
          <w:bCs w:val="0"/>
        </w:rPr>
        <w:t>1β, IL</w:t>
      </w:r>
      <w:r w:rsidR="006A1B91" w:rsidRPr="003C5805">
        <w:rPr>
          <w:b w:val="0"/>
          <w:bCs w:val="0"/>
        </w:rPr>
        <w:t>-</w:t>
      </w:r>
      <w:r w:rsidRPr="003C5805">
        <w:rPr>
          <w:b w:val="0"/>
          <w:bCs w:val="0"/>
        </w:rPr>
        <w:t>18, and IL</w:t>
      </w:r>
      <w:r w:rsidR="006A1B91" w:rsidRPr="003C5805">
        <w:rPr>
          <w:b w:val="0"/>
          <w:bCs w:val="0"/>
        </w:rPr>
        <w:t>-</w:t>
      </w:r>
      <w:r w:rsidRPr="003C5805">
        <w:rPr>
          <w:b w:val="0"/>
          <w:bCs w:val="0"/>
        </w:rPr>
        <w:t xml:space="preserve">6). </w:t>
      </w:r>
      <w:r w:rsidR="00A40965" w:rsidRPr="003C5805">
        <w:rPr>
          <w:b w:val="0"/>
          <w:bCs w:val="0"/>
        </w:rPr>
        <w:t xml:space="preserve">Estimates are reported as SD changes per one-unit lower NLRP3 activity score, from inverse-variance weighted and weighted median </w:t>
      </w:r>
      <w:r w:rsidR="00C40AA4" w:rsidRPr="003C5805">
        <w:rPr>
          <w:b w:val="0"/>
          <w:bCs w:val="0"/>
        </w:rPr>
        <w:t>MR</w:t>
      </w:r>
      <w:r w:rsidR="00A40965" w:rsidRPr="003C5805">
        <w:rPr>
          <w:b w:val="0"/>
          <w:bCs w:val="0"/>
        </w:rPr>
        <w:t>.</w:t>
      </w:r>
      <w:r w:rsidR="0085311A" w:rsidRPr="0085311A">
        <w:rPr>
          <w:b w:val="0"/>
          <w:bCs w:val="0"/>
        </w:rPr>
        <w:t xml:space="preserve"> </w:t>
      </w:r>
      <w:r w:rsidR="0085311A" w:rsidRPr="0085311A">
        <w:rPr>
          <w:b w:val="0"/>
          <w:bCs w:val="0"/>
        </w:rPr>
        <w:t>PC1, principal component</w:t>
      </w:r>
      <w:r w:rsidR="0085311A" w:rsidRPr="0085311A">
        <w:rPr>
          <w:b w:val="0"/>
          <w:bCs w:val="0"/>
        </w:rPr>
        <w:t>.</w:t>
      </w:r>
    </w:p>
    <w:p w14:paraId="021BEF9E" w14:textId="77777777" w:rsidR="006D380D" w:rsidRPr="008C12C7" w:rsidRDefault="00000000">
      <w:pPr>
        <w:keepNext/>
        <w:pBdr>
          <w:top w:val="nil"/>
          <w:left w:val="nil"/>
          <w:bottom w:val="nil"/>
          <w:right w:val="nil"/>
          <w:between w:val="nil"/>
        </w:pBdr>
        <w:spacing w:after="110"/>
        <w:jc w:val="center"/>
        <w:rPr>
          <w:color w:val="000000"/>
          <w:lang w:val="en-GB"/>
        </w:rPr>
      </w:pPr>
      <w:bookmarkStart w:id="119" w:name="v4t3rolmo6q9" w:colFirst="0" w:colLast="0"/>
      <w:bookmarkEnd w:id="119"/>
      <w:r w:rsidRPr="008C12C7">
        <w:rPr>
          <w:noProof/>
          <w:color w:val="000000"/>
          <w:lang w:val="en-GB"/>
        </w:rPr>
        <w:lastRenderedPageBreak/>
        <w:drawing>
          <wp:inline distT="0" distB="0" distL="0" distR="0" wp14:anchorId="54634045" wp14:editId="12E660E4">
            <wp:extent cx="5889497" cy="5077836"/>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10"/>
                    <a:stretch>
                      <a:fillRect/>
                    </a:stretch>
                  </pic:blipFill>
                  <pic:spPr>
                    <a:xfrm>
                      <a:off x="0" y="0"/>
                      <a:ext cx="5889497" cy="5077836"/>
                    </a:xfrm>
                    <a:prstGeom prst="rect">
                      <a:avLst/>
                    </a:prstGeom>
                    <a:ln/>
                  </pic:spPr>
                </pic:pic>
              </a:graphicData>
            </a:graphic>
          </wp:inline>
        </w:drawing>
      </w:r>
    </w:p>
    <w:p w14:paraId="4E7BB9FA" w14:textId="106BB0C0" w:rsidR="007F02A8" w:rsidRPr="000E111D" w:rsidRDefault="00000000" w:rsidP="000E111D">
      <w:pPr>
        <w:pStyle w:val="Normalnoindent"/>
        <w:rPr>
          <w:b w:val="0"/>
          <w:bCs w:val="0"/>
        </w:rPr>
      </w:pPr>
      <w:bookmarkStart w:id="120" w:name="_Hlk240556142"/>
      <w:r w:rsidRPr="008C12C7">
        <w:t>Figure 3. Association of the NLRP3 activity score with coronary artery disease risk and its mediation by cardiometabolic risk factors</w:t>
      </w:r>
      <w:r w:rsidRPr="000E111D">
        <w:rPr>
          <w:b w:val="0"/>
          <w:bCs w:val="0"/>
        </w:rPr>
        <w:t xml:space="preserve">. </w:t>
      </w:r>
      <w:r w:rsidRPr="000E111D">
        <w:t xml:space="preserve">(A) </w:t>
      </w:r>
      <w:r w:rsidR="007F02A8" w:rsidRPr="000E111D">
        <w:rPr>
          <w:b w:val="0"/>
          <w:bCs w:val="0"/>
        </w:rPr>
        <w:t xml:space="preserve">Forest plot of MR estimates for the effect of a lower NLRP3 activity score on CAD risk in each contributing GWAS (Aragam </w:t>
      </w:r>
      <w:r w:rsidR="007F02A8" w:rsidRPr="000E111D">
        <w:rPr>
          <w:b w:val="0"/>
          <w:bCs w:val="0"/>
          <w:i/>
          <w:iCs/>
        </w:rPr>
        <w:t>et al.</w:t>
      </w:r>
      <w:r w:rsidR="007F02A8" w:rsidRPr="000E111D">
        <w:rPr>
          <w:b w:val="0"/>
          <w:bCs w:val="0"/>
        </w:rPr>
        <w:t xml:space="preserve">, MVP, All of Us, and </w:t>
      </w:r>
      <w:proofErr w:type="spellStart"/>
      <w:r w:rsidR="007F02A8" w:rsidRPr="000E111D">
        <w:rPr>
          <w:b w:val="0"/>
          <w:bCs w:val="0"/>
        </w:rPr>
        <w:t>FinnGen</w:t>
      </w:r>
      <w:proofErr w:type="spellEnd"/>
      <w:r w:rsidR="007F02A8" w:rsidRPr="000E111D">
        <w:rPr>
          <w:b w:val="0"/>
          <w:bCs w:val="0"/>
        </w:rPr>
        <w:t>) and in their fixed-effect meta-analysis.</w:t>
      </w:r>
      <w:r w:rsidRPr="000E111D">
        <w:rPr>
          <w:b w:val="0"/>
          <w:bCs w:val="0"/>
        </w:rPr>
        <w:t xml:space="preserve"> </w:t>
      </w:r>
      <w:r w:rsidRPr="000E111D">
        <w:t>(B)</w:t>
      </w:r>
      <w:r w:rsidRPr="000E111D">
        <w:rPr>
          <w:b w:val="0"/>
          <w:bCs w:val="0"/>
        </w:rPr>
        <w:t xml:space="preserve"> </w:t>
      </w:r>
      <w:r w:rsidR="00EC554A" w:rsidRPr="000E111D">
        <w:rPr>
          <w:b w:val="0"/>
          <w:bCs w:val="0"/>
        </w:rPr>
        <w:t>MR estimates for the association of a lower NLRP3 activity score with coronary artery calcification, coronary plaque burden, and carotid plaque. Coronary artery calcification is reported as SD change, whereas coronary and carotid plaque outcomes are reported as proportional odds ratios.</w:t>
      </w:r>
      <w:r w:rsidR="008125DB" w:rsidRPr="000E111D">
        <w:rPr>
          <w:b w:val="0"/>
          <w:bCs w:val="0"/>
        </w:rPr>
        <w:t xml:space="preserve"> </w:t>
      </w:r>
      <w:r w:rsidR="008125DB" w:rsidRPr="000E111D">
        <w:t>(C)</w:t>
      </w:r>
      <w:r w:rsidR="00112FE3" w:rsidRPr="000E111D">
        <w:t xml:space="preserve"> </w:t>
      </w:r>
      <w:r w:rsidR="00112FE3" w:rsidRPr="000E111D">
        <w:rPr>
          <w:b w:val="0"/>
          <w:bCs w:val="0"/>
        </w:rPr>
        <w:t xml:space="preserve">Forest plot of MR estimates for the effect of a lower NLRP3 activity score on cardiometabolic risk factors, grouped into lipid, blood pressure, lifestyle, and metabolic traits. Estimates for continuous outcomes are reported in SD units and estimates for binary outcomes as log odds ratios. </w:t>
      </w:r>
      <w:r w:rsidR="00112FE3" w:rsidRPr="000E111D">
        <w:t xml:space="preserve">(D) </w:t>
      </w:r>
      <w:r w:rsidR="00BC0AAA" w:rsidRPr="000E111D">
        <w:rPr>
          <w:b w:val="0"/>
          <w:bCs w:val="0"/>
        </w:rPr>
        <w:t xml:space="preserve">Mediation diagram of the pathways from a lower NLRP3 activity score to CAD through ApoB, SBP, and T2D, with each mediator-to-CAD effect estimated in mutually adjusted MVMR. Effects of the score on ApoB and SBP are in SD units and on T2D in log odds. Mediator-to-CAD effects are log odds ratios for CAD per SD higher ApoB or SBP, and per one-unit higher log odds of T2D liability. </w:t>
      </w:r>
      <w:r w:rsidR="00112FE3" w:rsidRPr="000E111D">
        <w:t>(E)</w:t>
      </w:r>
      <w:r w:rsidR="00112FE3" w:rsidRPr="000E111D">
        <w:rPr>
          <w:b w:val="0"/>
          <w:bCs w:val="0"/>
        </w:rPr>
        <w:t xml:space="preserve"> Waterfall plot of the progressive attenuation of the total effect of a lower NLRP3 activity score on CAD risk as SBP, ApoB, and T2D are sequentially accounted for,</w:t>
      </w:r>
      <w:r w:rsidR="00BC3BA7" w:rsidRPr="000E111D">
        <w:rPr>
          <w:b w:val="0"/>
          <w:bCs w:val="0"/>
        </w:rPr>
        <w:t xml:space="preserve"> resulting in</w:t>
      </w:r>
      <w:r w:rsidR="00112FE3" w:rsidRPr="000E111D">
        <w:rPr>
          <w:b w:val="0"/>
          <w:bCs w:val="0"/>
        </w:rPr>
        <w:t xml:space="preserve"> the residual direct effect. </w:t>
      </w:r>
      <w:r w:rsidR="000C25F4" w:rsidRPr="000C25F4">
        <w:rPr>
          <w:b w:val="0"/>
          <w:bCs w:val="0"/>
        </w:rPr>
        <w:t xml:space="preserve">DBP, diastolic blood pressure; </w:t>
      </w:r>
      <w:proofErr w:type="spellStart"/>
      <w:r w:rsidR="000C25F4" w:rsidRPr="000C25F4">
        <w:rPr>
          <w:b w:val="0"/>
          <w:bCs w:val="0"/>
        </w:rPr>
        <w:t>Lp</w:t>
      </w:r>
      <w:proofErr w:type="spellEnd"/>
      <w:r w:rsidR="000C25F4" w:rsidRPr="000C25F4">
        <w:rPr>
          <w:b w:val="0"/>
          <w:bCs w:val="0"/>
        </w:rPr>
        <w:t>(a), lipoprotein(a); Non-HDL-C, non-high-density lipoprotein cholesterol; POR, proportional odds ratio.</w:t>
      </w:r>
    </w:p>
    <w:bookmarkEnd w:id="120"/>
    <w:p w14:paraId="757FDB9F" w14:textId="5B9203AE" w:rsidR="006D380D" w:rsidRPr="008C12C7" w:rsidRDefault="00A50154" w:rsidP="00FD09A3">
      <w:pPr>
        <w:keepNext/>
        <w:pBdr>
          <w:top w:val="nil"/>
          <w:left w:val="nil"/>
          <w:bottom w:val="nil"/>
          <w:right w:val="nil"/>
          <w:between w:val="nil"/>
        </w:pBdr>
        <w:spacing w:after="110"/>
        <w:ind w:left="720" w:hanging="720"/>
        <w:jc w:val="center"/>
        <w:rPr>
          <w:color w:val="000000"/>
          <w:lang w:val="en-GB"/>
        </w:rPr>
      </w:pPr>
      <w:r w:rsidRPr="008C12C7">
        <w:rPr>
          <w:noProof/>
          <w:color w:val="000000"/>
          <w:lang w:val="en-GB"/>
        </w:rPr>
        <w:lastRenderedPageBreak/>
        <w:drawing>
          <wp:inline distT="0" distB="0" distL="0" distR="0" wp14:anchorId="0BA41B22" wp14:editId="67B402C6">
            <wp:extent cx="5943327" cy="6742429"/>
            <wp:effectExtent l="0" t="0" r="635" b="1905"/>
            <wp:docPr id="180055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8262" name="Picture 1"/>
                    <pic:cNvPicPr/>
                  </pic:nvPicPr>
                  <pic:blipFill>
                    <a:blip r:embed="rId11"/>
                    <a:stretch>
                      <a:fillRect/>
                    </a:stretch>
                  </pic:blipFill>
                  <pic:spPr>
                    <a:xfrm>
                      <a:off x="0" y="0"/>
                      <a:ext cx="5943327" cy="6742429"/>
                    </a:xfrm>
                    <a:prstGeom prst="rect">
                      <a:avLst/>
                    </a:prstGeom>
                  </pic:spPr>
                </pic:pic>
              </a:graphicData>
            </a:graphic>
          </wp:inline>
        </w:drawing>
      </w:r>
    </w:p>
    <w:p w14:paraId="03D3477F" w14:textId="0F85CF33" w:rsidR="00086F04" w:rsidRDefault="00000000" w:rsidP="00C14331">
      <w:pPr>
        <w:pStyle w:val="Normalnoindent"/>
        <w:rPr>
          <w:color w:val="000000"/>
        </w:rPr>
      </w:pPr>
      <w:bookmarkStart w:id="121" w:name="_Hlk240556382"/>
      <w:r w:rsidRPr="008C12C7">
        <w:t xml:space="preserve">Figure 4. </w:t>
      </w:r>
      <w:r w:rsidR="00282170" w:rsidRPr="00282170">
        <w:t>Supporting analyses for the NLRP3 activity score and robustness of the coronary artery disease association.</w:t>
      </w:r>
      <w:r w:rsidRPr="008C12C7">
        <w:t xml:space="preserve"> </w:t>
      </w:r>
      <w:r w:rsidRPr="007F44C1">
        <w:t xml:space="preserve">(A) </w:t>
      </w:r>
      <w:r w:rsidRPr="007F44C1">
        <w:rPr>
          <w:b w:val="0"/>
          <w:bCs w:val="0"/>
        </w:rPr>
        <w:t xml:space="preserve">Violin plots comparing circulating CRP, neutrophil count, and </w:t>
      </w:r>
      <w:proofErr w:type="spellStart"/>
      <w:r w:rsidRPr="007F44C1">
        <w:rPr>
          <w:b w:val="0"/>
          <w:bCs w:val="0"/>
        </w:rPr>
        <w:t>GlycA</w:t>
      </w:r>
      <w:proofErr w:type="spellEnd"/>
      <w:r w:rsidRPr="007F44C1">
        <w:rPr>
          <w:b w:val="0"/>
          <w:bCs w:val="0"/>
        </w:rPr>
        <w:t xml:space="preserve"> levels between carriers and non-carriers of predicted loss-of-function variants in </w:t>
      </w:r>
      <w:r w:rsidRPr="007F44C1">
        <w:rPr>
          <w:b w:val="0"/>
          <w:bCs w:val="0"/>
          <w:i/>
          <w:iCs/>
        </w:rPr>
        <w:t>NLRP3</w:t>
      </w:r>
      <w:r w:rsidRPr="007F44C1">
        <w:rPr>
          <w:b w:val="0"/>
          <w:bCs w:val="0"/>
        </w:rPr>
        <w:t xml:space="preserve">. The displayed distributions exclude observations outside the 1st and 99th percentiles for visualisation. Inset boxplots show the median and interquartile range, with whiskers extending to the most extreme displayed observations within 1.5 times the interquartile range. </w:t>
      </w:r>
      <m:oMath>
        <m:r>
          <w:rPr>
            <w:rFonts w:ascii="Cambria Math" w:eastAsia="Cambria Math" w:hAnsi="Cambria Math" w:cs="Cambria Math"/>
          </w:rPr>
          <m:t>P</m:t>
        </m:r>
      </m:oMath>
      <w:r w:rsidRPr="007F44C1">
        <w:rPr>
          <w:b w:val="0"/>
          <w:bCs w:val="0"/>
        </w:rPr>
        <w:t xml:space="preserve"> values are from SAIGE-GENE+ gene-based burden tests. </w:t>
      </w:r>
      <w:r w:rsidRPr="007F44C1">
        <w:t>(B)</w:t>
      </w:r>
      <w:r w:rsidRPr="007F44C1">
        <w:rPr>
          <w:b w:val="0"/>
          <w:bCs w:val="0"/>
        </w:rPr>
        <w:t xml:space="preserve"> Distribution of circulating CRP, neutrophil count, and </w:t>
      </w:r>
      <w:proofErr w:type="spellStart"/>
      <w:r w:rsidRPr="007F44C1">
        <w:rPr>
          <w:b w:val="0"/>
          <w:bCs w:val="0"/>
        </w:rPr>
        <w:t>GlycA</w:t>
      </w:r>
      <w:proofErr w:type="spellEnd"/>
      <w:r w:rsidRPr="007F44C1">
        <w:rPr>
          <w:b w:val="0"/>
          <w:bCs w:val="0"/>
        </w:rPr>
        <w:t xml:space="preserve"> levels in UK Biobank participants, with carriers of the </w:t>
      </w:r>
      <w:r w:rsidRPr="007F44C1">
        <w:rPr>
          <w:b w:val="0"/>
          <w:bCs w:val="0"/>
          <w:i/>
          <w:iCs/>
        </w:rPr>
        <w:t>NLRP3</w:t>
      </w:r>
      <w:r w:rsidRPr="007F44C1">
        <w:rPr>
          <w:b w:val="0"/>
          <w:bCs w:val="0"/>
        </w:rPr>
        <w:t xml:space="preserve"> gain-of-function variant highlighted. Dashed lines indicate reference percentiles. </w:t>
      </w:r>
      <w:r w:rsidRPr="007F44C1">
        <w:t>(C)</w:t>
      </w:r>
      <w:r w:rsidRPr="007F44C1">
        <w:rPr>
          <w:b w:val="0"/>
          <w:bCs w:val="0"/>
        </w:rPr>
        <w:t xml:space="preserve"> </w:t>
      </w:r>
      <w:r w:rsidRPr="007F44C1">
        <w:rPr>
          <w:b w:val="0"/>
          <w:bCs w:val="0"/>
        </w:rPr>
        <w:lastRenderedPageBreak/>
        <w:t xml:space="preserve">Per-allele effect sizes of variants at the </w:t>
      </w:r>
      <w:r w:rsidRPr="007F44C1">
        <w:rPr>
          <w:b w:val="0"/>
          <w:bCs w:val="0"/>
          <w:i/>
          <w:iCs/>
        </w:rPr>
        <w:t>IL1RN</w:t>
      </w:r>
      <w:r w:rsidRPr="007F44C1">
        <w:rPr>
          <w:b w:val="0"/>
          <w:bCs w:val="0"/>
        </w:rPr>
        <w:t xml:space="preserve"> locus on </w:t>
      </w:r>
      <w:r w:rsidRPr="007F44C1">
        <w:rPr>
          <w:b w:val="0"/>
          <w:bCs w:val="0"/>
          <w:i/>
          <w:iCs/>
        </w:rPr>
        <w:t>IL1RN</w:t>
      </w:r>
      <w:r w:rsidRPr="007F44C1">
        <w:rPr>
          <w:b w:val="0"/>
          <w:bCs w:val="0"/>
        </w:rPr>
        <w:t xml:space="preserve"> expression, CRP, </w:t>
      </w:r>
      <w:proofErr w:type="spellStart"/>
      <w:r w:rsidRPr="007F44C1">
        <w:rPr>
          <w:b w:val="0"/>
          <w:bCs w:val="0"/>
        </w:rPr>
        <w:t>GlycA</w:t>
      </w:r>
      <w:proofErr w:type="spellEnd"/>
      <w:r w:rsidRPr="007F44C1">
        <w:rPr>
          <w:b w:val="0"/>
          <w:bCs w:val="0"/>
        </w:rPr>
        <w:t xml:space="preserve">, neutrophil count, and the genetically proxied IL1Ra activity score. </w:t>
      </w:r>
      <w:r w:rsidRPr="007F44C1">
        <w:t>(D)</w:t>
      </w:r>
      <w:r w:rsidRPr="007F44C1">
        <w:rPr>
          <w:b w:val="0"/>
          <w:bCs w:val="0"/>
        </w:rPr>
        <w:t xml:space="preserve"> </w:t>
      </w:r>
      <w:r w:rsidR="008B0C74" w:rsidRPr="007F44C1">
        <w:rPr>
          <w:b w:val="0"/>
          <w:bCs w:val="0"/>
        </w:rPr>
        <w:t>Forest plot of MR estimates for the effect of a higher IL1Ra activity score on circulating IL1Ra protein concentration, gout, and rheumatoid arthritis.</w:t>
      </w:r>
      <w:r w:rsidR="00B91462" w:rsidRPr="00B91462">
        <w:t xml:space="preserve"> </w:t>
      </w:r>
      <w:r w:rsidR="00B91462" w:rsidRPr="00B91462">
        <w:rPr>
          <w:b w:val="0"/>
          <w:bCs w:val="0"/>
        </w:rPr>
        <w:t>The protein estimate is reported as SD change per one-unit higher score and disease estimates as odds ratios. Estimates are from random-effects IVW MR only, as only three variants were available, making weighted-median analysis an uninformative sensitivity analysis.</w:t>
      </w:r>
      <w:r w:rsidR="00B91462" w:rsidRPr="00B91462">
        <w:rPr>
          <w:b w:val="0"/>
          <w:bCs w:val="0"/>
        </w:rPr>
        <w:t xml:space="preserve"> </w:t>
      </w:r>
      <w:r w:rsidRPr="007F44C1">
        <w:t>(E)</w:t>
      </w:r>
      <w:r w:rsidRPr="007F44C1">
        <w:rPr>
          <w:b w:val="0"/>
          <w:bCs w:val="0"/>
        </w:rPr>
        <w:t xml:space="preserve"> </w:t>
      </w:r>
      <w:r w:rsidR="00A35910" w:rsidRPr="007F44C1">
        <w:rPr>
          <w:b w:val="0"/>
          <w:bCs w:val="0"/>
        </w:rPr>
        <w:t>Over-representation analysis of circulating proteins decreased with a lower genetically proxied NLRP3 activity score in proteome-wide MR.</w:t>
      </w:r>
      <w:r w:rsidRPr="007F44C1">
        <w:rPr>
          <w:b w:val="0"/>
          <w:bCs w:val="0"/>
        </w:rPr>
        <w:t xml:space="preserve"> Gene Ontology Biological Process terms with adjusted </w:t>
      </w:r>
      <m:oMath>
        <m:r>
          <w:rPr>
            <w:rFonts w:ascii="Cambria Math" w:eastAsia="Cambria Math" w:hAnsi="Cambria Math" w:cs="Cambria Math"/>
          </w:rPr>
          <m:t xml:space="preserve">P&lt;0.05 </m:t>
        </m:r>
      </m:oMath>
      <w:r w:rsidR="008B0C74" w:rsidRPr="007F44C1">
        <w:rPr>
          <w:b w:val="0"/>
          <w:bCs w:val="0"/>
        </w:rPr>
        <w:t>are</w:t>
      </w:r>
      <w:r w:rsidRPr="007F44C1">
        <w:rPr>
          <w:b w:val="0"/>
          <w:bCs w:val="0"/>
        </w:rPr>
        <w:t xml:space="preserve"> shown. The x-axis shows the gene ratio, calculated as the proportion of significant input proteins annotated to each GO term. Colour indicates the adjusted </w:t>
      </w:r>
      <m:oMath>
        <m:r>
          <w:rPr>
            <w:rFonts w:ascii="Cambria Math" w:eastAsia="Cambria Math" w:hAnsi="Cambria Math" w:cs="Cambria Math"/>
          </w:rPr>
          <m:t>P</m:t>
        </m:r>
      </m:oMath>
      <w:r w:rsidRPr="007F44C1">
        <w:rPr>
          <w:b w:val="0"/>
          <w:bCs w:val="0"/>
        </w:rPr>
        <w:t xml:space="preserve"> value. </w:t>
      </w:r>
      <w:r w:rsidRPr="007F44C1">
        <w:t>(F)</w:t>
      </w:r>
      <w:r w:rsidRPr="007F44C1">
        <w:rPr>
          <w:b w:val="0"/>
          <w:bCs w:val="0"/>
        </w:rPr>
        <w:t xml:space="preserve"> </w:t>
      </w:r>
      <w:r w:rsidR="008B0C74" w:rsidRPr="007F44C1">
        <w:rPr>
          <w:b w:val="0"/>
          <w:bCs w:val="0"/>
        </w:rPr>
        <w:t xml:space="preserve">Forest plot of MR estimates for the effect of a lower NLRP3 activity score on CAD risk across alternative LD clumping thresholds, with instruments re-selected at each threshold. The number of instruments at each threshold is shown in the figure. </w:t>
      </w:r>
      <w:r w:rsidR="00C14331" w:rsidRPr="00C14331">
        <w:rPr>
          <w:b w:val="0"/>
          <w:bCs w:val="0"/>
        </w:rPr>
        <w:t>GO, Gene Ontology; GOF, gain-of-function.</w:t>
      </w:r>
      <w:r w:rsidR="00086F04">
        <w:rPr>
          <w:color w:val="000000"/>
        </w:rPr>
        <w:br w:type="page"/>
      </w:r>
    </w:p>
    <w:p w14:paraId="5317AAFA" w14:textId="77777777" w:rsidR="006D380D" w:rsidRPr="008C12C7" w:rsidRDefault="006D380D">
      <w:pPr>
        <w:pBdr>
          <w:top w:val="nil"/>
          <w:left w:val="nil"/>
          <w:bottom w:val="nil"/>
          <w:right w:val="nil"/>
          <w:between w:val="nil"/>
        </w:pBdr>
        <w:spacing w:after="440"/>
        <w:rPr>
          <w:color w:val="000000"/>
          <w:lang w:val="en-GB"/>
        </w:rPr>
      </w:pPr>
    </w:p>
    <w:p w14:paraId="78ECE756" w14:textId="560091C9" w:rsidR="006D380D" w:rsidRPr="008C12C7" w:rsidRDefault="00A50154" w:rsidP="00813508">
      <w:pPr>
        <w:keepNext/>
        <w:pBdr>
          <w:top w:val="nil"/>
          <w:left w:val="nil"/>
          <w:bottom w:val="nil"/>
          <w:right w:val="nil"/>
          <w:between w:val="nil"/>
        </w:pBdr>
        <w:spacing w:after="110"/>
        <w:rPr>
          <w:color w:val="000000"/>
          <w:lang w:val="en-GB"/>
        </w:rPr>
      </w:pPr>
      <w:bookmarkStart w:id="122" w:name="kc7v47skevd7" w:colFirst="0" w:colLast="0"/>
      <w:bookmarkEnd w:id="121"/>
      <w:bookmarkEnd w:id="122"/>
      <w:r w:rsidRPr="008C12C7">
        <w:rPr>
          <w:noProof/>
          <w:color w:val="000000"/>
          <w:lang w:val="en-GB"/>
        </w:rPr>
        <w:drawing>
          <wp:inline distT="0" distB="0" distL="0" distR="0" wp14:anchorId="6EE5C254" wp14:editId="3D122CEF">
            <wp:extent cx="5943600" cy="5663901"/>
            <wp:effectExtent l="0" t="0" r="0" b="635"/>
            <wp:docPr id="1475123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23789" name="Picture 2"/>
                    <pic:cNvPicPr/>
                  </pic:nvPicPr>
                  <pic:blipFill>
                    <a:blip r:embed="rId12"/>
                    <a:stretch>
                      <a:fillRect/>
                    </a:stretch>
                  </pic:blipFill>
                  <pic:spPr>
                    <a:xfrm>
                      <a:off x="0" y="0"/>
                      <a:ext cx="5943600" cy="5663901"/>
                    </a:xfrm>
                    <a:prstGeom prst="rect">
                      <a:avLst/>
                    </a:prstGeom>
                  </pic:spPr>
                </pic:pic>
              </a:graphicData>
            </a:graphic>
          </wp:inline>
        </w:drawing>
      </w:r>
    </w:p>
    <w:p w14:paraId="7C1FE474" w14:textId="193D30F1" w:rsidR="006D380D" w:rsidRPr="008C12C7" w:rsidRDefault="00A146DC" w:rsidP="007F44C1">
      <w:pPr>
        <w:pStyle w:val="Normalnoindent"/>
      </w:pPr>
      <w:r w:rsidRPr="00A146DC">
        <w:t xml:space="preserve">Figure 5. NLRP3 activity score associations across diseases under investigation for NLRP3 inhibition. </w:t>
      </w:r>
      <w:r w:rsidRPr="007F44C1">
        <w:rPr>
          <w:b w:val="0"/>
          <w:bCs w:val="0"/>
        </w:rPr>
        <w:t xml:space="preserve">Forest plot showing MR estimates for the association of a lower NLRP3 activity score with diseases for which NLRP3 inhibitors have been or are being evaluated in clinical trials. Outcomes are grouped by disease area. Estimates are shown as odds ratios per </w:t>
      </w:r>
      <w:r w:rsidR="00CD10AE" w:rsidRPr="007F44C1">
        <w:rPr>
          <w:b w:val="0"/>
          <w:bCs w:val="0"/>
        </w:rPr>
        <w:t>one-unit</w:t>
      </w:r>
      <w:r w:rsidRPr="007F44C1">
        <w:rPr>
          <w:b w:val="0"/>
          <w:bCs w:val="0"/>
        </w:rPr>
        <w:t xml:space="preserve"> lower NLRP3 activity score, from inverse-variance weighted and weighted median MR. </w:t>
      </w:r>
      <w:r w:rsidR="0050352C" w:rsidRPr="0050352C">
        <w:rPr>
          <w:b w:val="0"/>
          <w:bCs w:val="0"/>
        </w:rPr>
        <w:t>Parkinson's disease cases comprise 15,056 diagnosed cases and 18,618 UK Biobank proxy cases. EF, ejection fraction.</w:t>
      </w:r>
    </w:p>
    <w:p w14:paraId="6E8C3A9C" w14:textId="02F6A4A1" w:rsidR="006D380D" w:rsidRPr="008C12C7" w:rsidRDefault="00000000">
      <w:pPr>
        <w:pStyle w:val="Heading1"/>
        <w:spacing w:before="0" w:after="440"/>
        <w:rPr>
          <w:lang w:val="en-GB"/>
        </w:rPr>
      </w:pPr>
      <w:bookmarkStart w:id="123" w:name="osf1l9j6od77" w:colFirst="0" w:colLast="0"/>
      <w:bookmarkStart w:id="124" w:name="_s2pdfyodipej" w:colFirst="0" w:colLast="0"/>
      <w:bookmarkStart w:id="125" w:name="_Hlk238568237"/>
      <w:bookmarkEnd w:id="123"/>
      <w:bookmarkEnd w:id="124"/>
      <w:r w:rsidRPr="008C12C7">
        <w:rPr>
          <w:lang w:val="en-GB"/>
        </w:rPr>
        <w:lastRenderedPageBreak/>
        <w:t>1</w:t>
      </w:r>
      <w:r w:rsidR="0006324E">
        <w:rPr>
          <w:lang w:val="en-GB"/>
        </w:rPr>
        <w:t>3</w:t>
      </w:r>
      <w:r w:rsidRPr="008C12C7">
        <w:rPr>
          <w:lang w:val="en-GB"/>
        </w:rPr>
        <w:t>. Supplementary Data</w:t>
      </w:r>
    </w:p>
    <w:p w14:paraId="14B17846" w14:textId="77777777" w:rsidR="006D380D" w:rsidRPr="008C12C7" w:rsidRDefault="00000000">
      <w:pPr>
        <w:keepNext/>
        <w:pBdr>
          <w:top w:val="nil"/>
          <w:left w:val="nil"/>
          <w:bottom w:val="nil"/>
          <w:right w:val="nil"/>
          <w:between w:val="nil"/>
        </w:pBdr>
        <w:spacing w:after="110"/>
        <w:jc w:val="center"/>
        <w:rPr>
          <w:color w:val="000000"/>
          <w:lang w:val="en-GB"/>
        </w:rPr>
      </w:pPr>
      <w:bookmarkStart w:id="126" w:name="sogjzm8c1g9r" w:colFirst="0" w:colLast="0"/>
      <w:bookmarkEnd w:id="125"/>
      <w:bookmarkEnd w:id="126"/>
      <w:r w:rsidRPr="008C12C7">
        <w:rPr>
          <w:noProof/>
          <w:color w:val="000000"/>
          <w:lang w:val="en-GB"/>
        </w:rPr>
        <w:drawing>
          <wp:inline distT="0" distB="0" distL="0" distR="0" wp14:anchorId="19DE843F" wp14:editId="6AB174BB">
            <wp:extent cx="5486398" cy="4260714"/>
            <wp:effectExtent l="0" t="0" r="635"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3"/>
                    <a:stretch>
                      <a:fillRect/>
                    </a:stretch>
                  </pic:blipFill>
                  <pic:spPr>
                    <a:xfrm>
                      <a:off x="0" y="0"/>
                      <a:ext cx="5486398" cy="4260714"/>
                    </a:xfrm>
                    <a:prstGeom prst="rect">
                      <a:avLst/>
                    </a:prstGeom>
                    <a:ln/>
                  </pic:spPr>
                </pic:pic>
              </a:graphicData>
            </a:graphic>
          </wp:inline>
        </w:drawing>
      </w:r>
    </w:p>
    <w:p w14:paraId="7F3F9D8F" w14:textId="2DE67823" w:rsidR="003A12B0" w:rsidRPr="007F44C1" w:rsidRDefault="003A12B0" w:rsidP="007F44C1">
      <w:pPr>
        <w:pStyle w:val="Normalnoindent"/>
        <w:rPr>
          <w:b w:val="0"/>
          <w:bCs w:val="0"/>
        </w:rPr>
      </w:pPr>
      <w:bookmarkStart w:id="127" w:name="vuqpaz9x1luf" w:colFirst="0" w:colLast="0"/>
      <w:bookmarkStart w:id="128" w:name="_Hlk240569977"/>
      <w:bookmarkEnd w:id="127"/>
      <w:r w:rsidRPr="003A12B0">
        <w:t xml:space="preserve">Supplementary Figure </w:t>
      </w:r>
      <w:bookmarkEnd w:id="128"/>
      <w:r w:rsidRPr="003A12B0">
        <w:t xml:space="preserve">1. Overlap of variants associated with the four traits used to construct the NLRP3 activity score. </w:t>
      </w:r>
      <w:proofErr w:type="spellStart"/>
      <w:r w:rsidRPr="007F44C1">
        <w:rPr>
          <w:b w:val="0"/>
          <w:bCs w:val="0"/>
        </w:rPr>
        <w:t>UpSet</w:t>
      </w:r>
      <w:proofErr w:type="spellEnd"/>
      <w:r w:rsidRPr="007F44C1">
        <w:rPr>
          <w:b w:val="0"/>
          <w:bCs w:val="0"/>
        </w:rPr>
        <w:t xml:space="preserve"> plot showing the overlap of variants within ±150 kb of NLRP3 associated at genome-wide significance with whole-blood NLRP3 expression, circulating CRP and </w:t>
      </w:r>
      <w:proofErr w:type="spellStart"/>
      <w:r w:rsidRPr="007F44C1">
        <w:rPr>
          <w:b w:val="0"/>
          <w:bCs w:val="0"/>
        </w:rPr>
        <w:t>GlycA</w:t>
      </w:r>
      <w:proofErr w:type="spellEnd"/>
      <w:r w:rsidRPr="007F44C1">
        <w:rPr>
          <w:b w:val="0"/>
          <w:bCs w:val="0"/>
        </w:rPr>
        <w:t xml:space="preserve"> levels, or blood neutrophil count after LD clumping at r²&lt;0.1. Set size indicates the number of independent genome-wide significant variants per trait, and intersection size indicates the number of variants belonging to each specific combination of traits. </w:t>
      </w:r>
      <w:r w:rsidR="0040195A" w:rsidRPr="007F44C1">
        <w:rPr>
          <w:b w:val="0"/>
          <w:bCs w:val="0"/>
        </w:rPr>
        <w:t>Variants associated with at least two traits and with effect estimates available for all four were retained, yielding the eight variants used to construct the NLRP3 activity score</w:t>
      </w:r>
      <w:r w:rsidRPr="007F44C1">
        <w:rPr>
          <w:b w:val="0"/>
          <w:bCs w:val="0"/>
        </w:rPr>
        <w:t xml:space="preserve">. CRP, C-reactive protein; </w:t>
      </w:r>
      <w:proofErr w:type="spellStart"/>
      <w:r w:rsidRPr="007F44C1">
        <w:rPr>
          <w:b w:val="0"/>
          <w:bCs w:val="0"/>
        </w:rPr>
        <w:t>GlycA</w:t>
      </w:r>
      <w:proofErr w:type="spellEnd"/>
      <w:r w:rsidRPr="007F44C1">
        <w:rPr>
          <w:b w:val="0"/>
          <w:bCs w:val="0"/>
        </w:rPr>
        <w:t>, glycoprotein acetylation; LD, linkage disequilibrium.</w:t>
      </w:r>
    </w:p>
    <w:p w14:paraId="2FE7C6C0" w14:textId="666D0402" w:rsidR="006D380D" w:rsidRPr="003A12B0" w:rsidRDefault="00000000" w:rsidP="003A12B0">
      <w:pPr>
        <w:keepNext/>
        <w:pBdr>
          <w:top w:val="nil"/>
          <w:left w:val="nil"/>
          <w:bottom w:val="nil"/>
          <w:right w:val="nil"/>
          <w:between w:val="nil"/>
        </w:pBdr>
        <w:spacing w:after="110"/>
        <w:jc w:val="left"/>
        <w:rPr>
          <w:color w:val="000000"/>
          <w:lang w:val="en-GB"/>
        </w:rPr>
      </w:pPr>
      <w:r w:rsidRPr="003A12B0">
        <w:rPr>
          <w:noProof/>
          <w:color w:val="000000"/>
          <w:lang w:val="en-GB"/>
        </w:rPr>
        <w:lastRenderedPageBreak/>
        <w:drawing>
          <wp:inline distT="0" distB="0" distL="0" distR="0" wp14:anchorId="4F98EE98" wp14:editId="0A9D064D">
            <wp:extent cx="5423235" cy="669929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14"/>
                    <a:stretch>
                      <a:fillRect/>
                    </a:stretch>
                  </pic:blipFill>
                  <pic:spPr>
                    <a:xfrm>
                      <a:off x="0" y="0"/>
                      <a:ext cx="5423235" cy="6699290"/>
                    </a:xfrm>
                    <a:prstGeom prst="rect">
                      <a:avLst/>
                    </a:prstGeom>
                    <a:ln/>
                  </pic:spPr>
                </pic:pic>
              </a:graphicData>
            </a:graphic>
          </wp:inline>
        </w:drawing>
      </w:r>
    </w:p>
    <w:p w14:paraId="6EE54FE5" w14:textId="0D5A3707" w:rsidR="00B14389" w:rsidRPr="008C12C7" w:rsidRDefault="00000000" w:rsidP="007F44C1">
      <w:pPr>
        <w:pStyle w:val="Normalnoindent"/>
      </w:pPr>
      <w:bookmarkStart w:id="129" w:name="_Hlk240563445"/>
      <w:r w:rsidRPr="008C12C7">
        <w:t xml:space="preserve">Supplementary Figure 2. </w:t>
      </w:r>
      <w:r w:rsidR="00B14389" w:rsidRPr="00B14389">
        <w:t xml:space="preserve">Regional association plots for inflammatory traits within ±1 Mb of the </w:t>
      </w:r>
      <w:r w:rsidR="00B14389" w:rsidRPr="00B14389">
        <w:rPr>
          <w:i/>
          <w:iCs/>
        </w:rPr>
        <w:t>NLRP3</w:t>
      </w:r>
      <w:r w:rsidR="00B14389" w:rsidRPr="00B14389">
        <w:t xml:space="preserve"> locus. </w:t>
      </w:r>
      <w:r w:rsidR="00B14389" w:rsidRPr="007F44C1">
        <w:rPr>
          <w:b w:val="0"/>
          <w:bCs w:val="0"/>
        </w:rPr>
        <w:t xml:space="preserve">Regional association plots for CRP concentration, </w:t>
      </w:r>
      <w:proofErr w:type="spellStart"/>
      <w:r w:rsidR="00B14389" w:rsidRPr="007F44C1">
        <w:rPr>
          <w:b w:val="0"/>
          <w:bCs w:val="0"/>
        </w:rPr>
        <w:t>GlycA</w:t>
      </w:r>
      <w:proofErr w:type="spellEnd"/>
      <w:r w:rsidR="00B14389" w:rsidRPr="007F44C1">
        <w:rPr>
          <w:b w:val="0"/>
          <w:bCs w:val="0"/>
        </w:rPr>
        <w:t xml:space="preserve"> concentration, and neutrophil count within a ±1 Mb window surrounding </w:t>
      </w:r>
      <w:r w:rsidR="00B14389" w:rsidRPr="007F44C1">
        <w:rPr>
          <w:b w:val="0"/>
          <w:bCs w:val="0"/>
          <w:i/>
          <w:iCs/>
        </w:rPr>
        <w:t>NLRP3</w:t>
      </w:r>
      <w:r w:rsidR="00B14389" w:rsidRPr="007F44C1">
        <w:rPr>
          <w:b w:val="0"/>
          <w:bCs w:val="0"/>
        </w:rPr>
        <w:t>. Variants highlighted with gold circles are approximately independent genome-wide significant variants identified after LD clumping</w:t>
      </w:r>
      <w:r w:rsidRPr="007F44C1">
        <w:rPr>
          <w:b w:val="0"/>
          <w:bCs w:val="0"/>
        </w:rPr>
        <w:t xml:space="preserve"> at </w:t>
      </w:r>
      <m:oMath>
        <m:sSup>
          <m:sSupPr>
            <m:ctrlPr>
              <w:rPr>
                <w:rFonts w:ascii="Cambria Math" w:eastAsia="Cambria Math" w:hAnsi="Cambria Math" w:cs="Cambria Math"/>
                <w:b w:val="0"/>
                <w:bCs w:val="0"/>
              </w:rPr>
            </m:ctrlPr>
          </m:sSupPr>
          <m:e>
            <m:r>
              <w:rPr>
                <w:rFonts w:ascii="Cambria Math" w:eastAsia="Cambria Math" w:hAnsi="Cambria Math" w:cs="Cambria Math"/>
              </w:rPr>
              <m:t>r</m:t>
            </m:r>
          </m:e>
          <m:sup>
            <m:r>
              <w:rPr>
                <w:rFonts w:ascii="Cambria Math" w:eastAsia="Cambria Math" w:hAnsi="Cambria Math" w:cs="Cambria Math"/>
              </w:rPr>
              <m:t>2</m:t>
            </m:r>
          </m:sup>
        </m:sSup>
        <m:r>
          <w:rPr>
            <w:rFonts w:ascii="Cambria Math" w:eastAsia="Cambria Math" w:hAnsi="Cambria Math" w:cs="Cambria Math"/>
          </w:rPr>
          <m:t>&lt;0.1</m:t>
        </m:r>
      </m:oMath>
      <w:r w:rsidR="00B14389" w:rsidRPr="007F44C1">
        <w:rPr>
          <w:b w:val="0"/>
          <w:bCs w:val="0"/>
        </w:rPr>
        <w:t xml:space="preserve">. Within this region, the shared association signal across traits was centred on the </w:t>
      </w:r>
      <w:r w:rsidR="00B14389" w:rsidRPr="007F44C1">
        <w:rPr>
          <w:b w:val="0"/>
          <w:bCs w:val="0"/>
          <w:i/>
          <w:iCs/>
        </w:rPr>
        <w:t>NLRP3</w:t>
      </w:r>
      <w:r w:rsidR="00B14389" w:rsidRPr="007F44C1">
        <w:rPr>
          <w:b w:val="0"/>
          <w:bCs w:val="0"/>
        </w:rPr>
        <w:t xml:space="preserve"> locus. Additional neutrophil count association signals were not accompanied by corresponding associations with CRP or </w:t>
      </w:r>
      <w:proofErr w:type="spellStart"/>
      <w:r w:rsidR="00B14389" w:rsidRPr="007F44C1">
        <w:rPr>
          <w:b w:val="0"/>
          <w:bCs w:val="0"/>
        </w:rPr>
        <w:t>GlycA</w:t>
      </w:r>
      <w:proofErr w:type="spellEnd"/>
      <w:r w:rsidR="00B14389" w:rsidRPr="007F44C1">
        <w:rPr>
          <w:b w:val="0"/>
          <w:bCs w:val="0"/>
        </w:rPr>
        <w:t xml:space="preserve">. CRP, C-reactive protein; </w:t>
      </w:r>
      <w:proofErr w:type="spellStart"/>
      <w:r w:rsidR="00B14389" w:rsidRPr="007F44C1">
        <w:rPr>
          <w:b w:val="0"/>
          <w:bCs w:val="0"/>
        </w:rPr>
        <w:t>GlycA</w:t>
      </w:r>
      <w:proofErr w:type="spellEnd"/>
      <w:r w:rsidR="00B14389" w:rsidRPr="007F44C1">
        <w:rPr>
          <w:b w:val="0"/>
          <w:bCs w:val="0"/>
        </w:rPr>
        <w:t>, glycoprotein acetylation; LD, linkage disequilibrium.</w:t>
      </w:r>
    </w:p>
    <w:bookmarkEnd w:id="129"/>
    <w:p w14:paraId="16F41A59" w14:textId="77777777" w:rsidR="006D380D" w:rsidRPr="008C12C7" w:rsidRDefault="00000000">
      <w:pPr>
        <w:keepNext/>
        <w:pBdr>
          <w:top w:val="nil"/>
          <w:left w:val="nil"/>
          <w:bottom w:val="nil"/>
          <w:right w:val="nil"/>
          <w:between w:val="nil"/>
        </w:pBdr>
        <w:spacing w:after="110"/>
        <w:jc w:val="center"/>
        <w:rPr>
          <w:color w:val="000000"/>
          <w:lang w:val="en-GB"/>
        </w:rPr>
      </w:pPr>
      <w:r w:rsidRPr="008C12C7">
        <w:rPr>
          <w:noProof/>
          <w:color w:val="000000"/>
          <w:lang w:val="en-GB"/>
        </w:rPr>
        <w:lastRenderedPageBreak/>
        <w:drawing>
          <wp:inline distT="0" distB="0" distL="0" distR="0" wp14:anchorId="397BAE73" wp14:editId="58E0489E">
            <wp:extent cx="5486400" cy="5202535"/>
            <wp:effectExtent l="0" t="0" r="0" b="0"/>
            <wp:docPr id="8" name="image4.png" descr="Supplementary Figure 3. Rare variant burden analysis of protein-coding genes surrounding NLRP3. Violin plots comparing circulating CRP, neutrophil count, and GlycA levels between carriers and non-carriers of predicted loss-of-function variants in protein-coding genes within 150 kb of NLRP3. The displayed distributions exclude observations outside the 1st and 99th percentiles for visualisation. Inset boxplots show the median and interquartile range, with whiskers extending to the most extreme displayed observations within 1.5 times the interquartile range. P values are from SAIGE-GENE+ gene-based burden tests. "/>
            <wp:cNvGraphicFramePr/>
            <a:graphic xmlns:a="http://schemas.openxmlformats.org/drawingml/2006/main">
              <a:graphicData uri="http://schemas.openxmlformats.org/drawingml/2006/picture">
                <pic:pic xmlns:pic="http://schemas.openxmlformats.org/drawingml/2006/picture">
                  <pic:nvPicPr>
                    <pic:cNvPr id="0" name="image4.png" descr="Supplementary Figure 3. Rare variant burden analysis of protein-coding genes surrounding NLRP3. Violin plots comparing circulating CRP, neutrophil count, and GlycA levels between carriers and non-carriers of predicted loss-of-function variants in protein-coding genes within 150 kb of NLRP3. The displayed distributions exclude observations outside the 1st and 99th percentiles for visualisation. Inset boxplots show the median and interquartile range, with whiskers extending to the most extreme displayed observations within 1.5 times the interquartile range. P values are from SAIGE-GENE+ gene-based burden tests. "/>
                    <pic:cNvPicPr preferRelativeResize="0"/>
                  </pic:nvPicPr>
                  <pic:blipFill>
                    <a:blip r:embed="rId15"/>
                    <a:srcRect/>
                    <a:stretch>
                      <a:fillRect/>
                    </a:stretch>
                  </pic:blipFill>
                  <pic:spPr>
                    <a:xfrm>
                      <a:off x="0" y="0"/>
                      <a:ext cx="5486400" cy="5202535"/>
                    </a:xfrm>
                    <a:prstGeom prst="rect">
                      <a:avLst/>
                    </a:prstGeom>
                    <a:ln/>
                  </pic:spPr>
                </pic:pic>
              </a:graphicData>
            </a:graphic>
          </wp:inline>
        </w:drawing>
      </w:r>
    </w:p>
    <w:p w14:paraId="2F14F48A" w14:textId="5835462F" w:rsidR="00822769" w:rsidRPr="008C12C7" w:rsidRDefault="00782112" w:rsidP="00F40892">
      <w:pPr>
        <w:pStyle w:val="Normalnoindent"/>
      </w:pPr>
      <w:bookmarkStart w:id="130" w:name="_Hlk240563657"/>
      <w:r w:rsidRPr="00782112">
        <w:t>Supplementary Figure 3.</w:t>
      </w:r>
      <w:r w:rsidR="008B3E25">
        <w:t xml:space="preserve"> </w:t>
      </w:r>
      <w:proofErr w:type="spellStart"/>
      <w:r w:rsidR="008B3E25">
        <w:t>pLOF</w:t>
      </w:r>
      <w:proofErr w:type="spellEnd"/>
      <w:r w:rsidR="008B3E25">
        <w:t xml:space="preserve"> burden analysis of protein-coding genes surrounding </w:t>
      </w:r>
      <w:r w:rsidR="008B3E25">
        <w:rPr>
          <w:i/>
          <w:iCs/>
        </w:rPr>
        <w:t>NLRP3</w:t>
      </w:r>
      <w:r w:rsidRPr="00782112">
        <w:t xml:space="preserve">. </w:t>
      </w:r>
      <w:r w:rsidRPr="00F40892">
        <w:rPr>
          <w:b w:val="0"/>
          <w:bCs w:val="0"/>
        </w:rPr>
        <w:t xml:space="preserve">Violin plots comparing circulating CRP, neutrophil count, and </w:t>
      </w:r>
      <w:proofErr w:type="spellStart"/>
      <w:r w:rsidRPr="00F40892">
        <w:rPr>
          <w:b w:val="0"/>
          <w:bCs w:val="0"/>
        </w:rPr>
        <w:t>GlycA</w:t>
      </w:r>
      <w:proofErr w:type="spellEnd"/>
      <w:r w:rsidRPr="00F40892">
        <w:rPr>
          <w:b w:val="0"/>
          <w:bCs w:val="0"/>
        </w:rPr>
        <w:t xml:space="preserve"> levels between carriers and non-carriers of predicted loss-of-function (</w:t>
      </w:r>
      <w:proofErr w:type="spellStart"/>
      <w:r w:rsidRPr="00F40892">
        <w:rPr>
          <w:b w:val="0"/>
          <w:bCs w:val="0"/>
        </w:rPr>
        <w:t>pLOF</w:t>
      </w:r>
      <w:proofErr w:type="spellEnd"/>
      <w:r w:rsidRPr="00F40892">
        <w:rPr>
          <w:b w:val="0"/>
          <w:bCs w:val="0"/>
        </w:rPr>
        <w:t>) variants in</w:t>
      </w:r>
      <w:r w:rsidR="005227E9" w:rsidRPr="00F40892">
        <w:rPr>
          <w:b w:val="0"/>
          <w:bCs w:val="0"/>
        </w:rPr>
        <w:t xml:space="preserve"> all</w:t>
      </w:r>
      <w:r w:rsidRPr="00F40892">
        <w:rPr>
          <w:b w:val="0"/>
          <w:bCs w:val="0"/>
        </w:rPr>
        <w:t xml:space="preserve"> protein-coding genes within </w:t>
      </w:r>
      <w:r w:rsidR="004118F1" w:rsidRPr="00F40892">
        <w:rPr>
          <w:b w:val="0"/>
          <w:bCs w:val="0"/>
        </w:rPr>
        <w:t>±</w:t>
      </w:r>
      <w:r w:rsidRPr="00F40892">
        <w:rPr>
          <w:b w:val="0"/>
          <w:bCs w:val="0"/>
        </w:rPr>
        <w:t xml:space="preserve">150 kb of </w:t>
      </w:r>
      <w:r w:rsidRPr="00F40892">
        <w:rPr>
          <w:b w:val="0"/>
          <w:bCs w:val="0"/>
          <w:i/>
          <w:iCs/>
        </w:rPr>
        <w:t>NLRP3</w:t>
      </w:r>
      <w:r w:rsidRPr="00F40892">
        <w:rPr>
          <w:b w:val="0"/>
          <w:bCs w:val="0"/>
        </w:rPr>
        <w:t xml:space="preserve">. The displayed distributions exclude observations outside the 1st and 99th percentiles for visualisation. Inset boxplots show the median and interquartile range, with whiskers extending to the most extreme displayed observations within 1.5 times the interquartile range. P values are from SAIGE-GENE+ gene-based burden tests. CRP, C-reactive protein; </w:t>
      </w:r>
      <w:proofErr w:type="spellStart"/>
      <w:r w:rsidRPr="00F40892">
        <w:rPr>
          <w:b w:val="0"/>
          <w:bCs w:val="0"/>
        </w:rPr>
        <w:t>GlycA</w:t>
      </w:r>
      <w:proofErr w:type="spellEnd"/>
      <w:r w:rsidRPr="00F40892">
        <w:rPr>
          <w:b w:val="0"/>
          <w:bCs w:val="0"/>
        </w:rPr>
        <w:t xml:space="preserve">, glycoprotein acetylation; </w:t>
      </w:r>
      <w:proofErr w:type="spellStart"/>
      <w:r w:rsidRPr="00F40892">
        <w:rPr>
          <w:b w:val="0"/>
          <w:bCs w:val="0"/>
        </w:rPr>
        <w:t>pLOF</w:t>
      </w:r>
      <w:proofErr w:type="spellEnd"/>
      <w:r w:rsidRPr="00F40892">
        <w:rPr>
          <w:b w:val="0"/>
          <w:bCs w:val="0"/>
        </w:rPr>
        <w:t>, predicted loss-of-function.</w:t>
      </w:r>
      <w:bookmarkEnd w:id="130"/>
      <w:r w:rsidR="00822769" w:rsidRPr="00F40892">
        <w:rPr>
          <w:b w:val="0"/>
          <w:bCs w:val="0"/>
        </w:rPr>
        <w:br w:type="page"/>
      </w:r>
    </w:p>
    <w:p w14:paraId="4CEE35DC" w14:textId="14880CF5" w:rsidR="006E5471" w:rsidRPr="008C12C7" w:rsidRDefault="006E5471" w:rsidP="00731D09">
      <w:pPr>
        <w:pBdr>
          <w:top w:val="nil"/>
          <w:left w:val="nil"/>
          <w:bottom w:val="nil"/>
          <w:right w:val="nil"/>
          <w:between w:val="nil"/>
        </w:pBdr>
        <w:spacing w:after="560"/>
        <w:ind w:firstLine="0"/>
        <w:rPr>
          <w:lang w:val="en-GB"/>
        </w:rPr>
      </w:pPr>
      <w:r w:rsidRPr="008C12C7">
        <w:rPr>
          <w:noProof/>
          <w:color w:val="000000"/>
          <w:lang w:val="en-GB"/>
        </w:rPr>
        <w:lastRenderedPageBreak/>
        <w:drawing>
          <wp:anchor distT="0" distB="0" distL="114300" distR="114300" simplePos="0" relativeHeight="251658240" behindDoc="0" locked="0" layoutInCell="1" allowOverlap="1" wp14:anchorId="486885A0" wp14:editId="17503AB3">
            <wp:simplePos x="0" y="0"/>
            <wp:positionH relativeFrom="margin">
              <wp:align>center</wp:align>
            </wp:positionH>
            <wp:positionV relativeFrom="margin">
              <wp:posOffset>-635</wp:posOffset>
            </wp:positionV>
            <wp:extent cx="5760000" cy="4649610"/>
            <wp:effectExtent l="0" t="0" r="6350" b="0"/>
            <wp:wrapSquare wrapText="bothSides"/>
            <wp:docPr id="612271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71152" name="Picture 3"/>
                    <pic:cNvPicPr/>
                  </pic:nvPicPr>
                  <pic:blipFill>
                    <a:blip r:embed="rId16"/>
                    <a:stretch>
                      <a:fillRect/>
                    </a:stretch>
                  </pic:blipFill>
                  <pic:spPr>
                    <a:xfrm>
                      <a:off x="0" y="0"/>
                      <a:ext cx="5760000" cy="4649610"/>
                    </a:xfrm>
                    <a:prstGeom prst="rect">
                      <a:avLst/>
                    </a:prstGeom>
                  </pic:spPr>
                </pic:pic>
              </a:graphicData>
            </a:graphic>
            <wp14:sizeRelH relativeFrom="margin">
              <wp14:pctWidth>0</wp14:pctWidth>
            </wp14:sizeRelH>
            <wp14:sizeRelV relativeFrom="margin">
              <wp14:pctHeight>0</wp14:pctHeight>
            </wp14:sizeRelV>
          </wp:anchor>
        </w:drawing>
      </w:r>
      <w:r w:rsidR="00004A90">
        <w:rPr>
          <w:rStyle w:val="Strong"/>
        </w:rPr>
        <w:t>Supplementary Figure 4. Sensitivity analyses for the association of the NLRP3 activity score with coronary artery disease risk.</w:t>
      </w:r>
      <w:r w:rsidR="00004A90">
        <w:t xml:space="preserve"> Forest plot showing MR estimates for the effect of a one-unit lower NLRP3 activity score on CAD risk using the full eight-variant instrument set, sequential leave-one-out analyses excluding each variant in turn, and a single-variant analysis restricted to the shared </w:t>
      </w:r>
      <w:proofErr w:type="spellStart"/>
      <w:r w:rsidR="00004A90">
        <w:t>colocalising</w:t>
      </w:r>
      <w:proofErr w:type="spellEnd"/>
      <w:r w:rsidR="00004A90">
        <w:t xml:space="preserve"> variant rs12239046. Estimates for the full and leave-one-out instrument sets are shown using inverse-variance weighted and weighted median MR; the rs12239046-only estimate is shown as a Wald ratio. Odds ratios and 95% confidence intervals are based on the fixed-effect meta-analysis of the </w:t>
      </w:r>
      <w:proofErr w:type="gramStart"/>
      <w:r w:rsidR="00004A90">
        <w:t>four contributing</w:t>
      </w:r>
      <w:proofErr w:type="gramEnd"/>
      <w:r w:rsidR="00004A90">
        <w:t xml:space="preserve"> CAD GWAS. CAD, coronary artery disease; CI, confidence interval; GWAS, genome-wide association study; IVW, inverse-variance weighted; MR, Mendelian randomization.</w:t>
      </w:r>
    </w:p>
    <w:p w14:paraId="42FE6415" w14:textId="77777777" w:rsidR="00707B7A" w:rsidRPr="008C12C7" w:rsidRDefault="00000000" w:rsidP="00707B7A">
      <w:pPr>
        <w:pStyle w:val="Heading1"/>
        <w:rPr>
          <w:lang w:val="en-GB"/>
        </w:rPr>
      </w:pPr>
      <w:r w:rsidRPr="008C12C7">
        <w:rPr>
          <w:lang w:val="en-GB"/>
        </w:rPr>
        <w:br w:type="page"/>
      </w:r>
      <w:bookmarkStart w:id="131" w:name="fvcsgydiqfzf" w:colFirst="0" w:colLast="0"/>
      <w:bookmarkStart w:id="132" w:name="_86oze6jak9iv" w:colFirst="0" w:colLast="0"/>
      <w:bookmarkEnd w:id="131"/>
      <w:bookmarkEnd w:id="132"/>
      <w:r w:rsidR="00707B7A" w:rsidRPr="008C12C7">
        <w:rPr>
          <w:lang w:val="en-GB"/>
        </w:rPr>
        <w:lastRenderedPageBreak/>
        <w:t>Supplementary Information</w:t>
      </w:r>
    </w:p>
    <w:p w14:paraId="3452472E" w14:textId="0353844C" w:rsidR="00707B7A" w:rsidRPr="008C12C7" w:rsidRDefault="00707B7A" w:rsidP="00707B7A">
      <w:pPr>
        <w:pStyle w:val="Heading2"/>
        <w:rPr>
          <w:lang w:val="en-GB"/>
        </w:rPr>
      </w:pPr>
      <w:bookmarkStart w:id="133" w:name="2fobb718grd9" w:colFirst="0" w:colLast="0"/>
      <w:bookmarkStart w:id="134" w:name="_3ozytneslcoz" w:colFirst="0" w:colLast="0"/>
      <w:bookmarkEnd w:id="133"/>
      <w:bookmarkEnd w:id="134"/>
      <w:r w:rsidRPr="008C12C7">
        <w:rPr>
          <w:lang w:val="en-GB"/>
        </w:rPr>
        <w:t>1</w:t>
      </w:r>
      <w:r w:rsidR="0006324E">
        <w:rPr>
          <w:lang w:val="en-GB"/>
        </w:rPr>
        <w:t>4</w:t>
      </w:r>
      <w:r w:rsidRPr="008C12C7">
        <w:rPr>
          <w:lang w:val="en-GB"/>
        </w:rPr>
        <w:t>.1. Construction of the NLRP3 and IL1Ra activity scores</w:t>
      </w:r>
    </w:p>
    <w:p w14:paraId="53818979" w14:textId="62EB310E" w:rsidR="00707B7A" w:rsidRDefault="00707B7A" w:rsidP="00707B7A">
      <w:pPr>
        <w:pBdr>
          <w:top w:val="nil"/>
          <w:left w:val="nil"/>
          <w:bottom w:val="nil"/>
          <w:right w:val="nil"/>
          <w:between w:val="nil"/>
        </w:pBdr>
        <w:rPr>
          <w:color w:val="000000"/>
          <w:lang w:val="en-GB"/>
        </w:rPr>
      </w:pPr>
      <w:r w:rsidRPr="008C12C7">
        <w:rPr>
          <w:color w:val="000000"/>
          <w:lang w:val="en-GB"/>
        </w:rPr>
        <w:t xml:space="preserve">To construct the NLRP3 activity score, we used genetic associations for four traits related to NLRP3 </w:t>
      </w:r>
      <w:r>
        <w:rPr>
          <w:color w:val="000000"/>
          <w:lang w:val="en-GB"/>
        </w:rPr>
        <w:t>inflammasome activation</w:t>
      </w:r>
      <w:r w:rsidRPr="008C12C7">
        <w:rPr>
          <w:color w:val="000000"/>
          <w:lang w:val="en-GB"/>
        </w:rPr>
        <w:t xml:space="preserve">: whole-blood </w:t>
      </w:r>
      <w:r w:rsidRPr="008C12C7">
        <w:rPr>
          <w:i/>
          <w:iCs/>
          <w:color w:val="000000"/>
          <w:lang w:val="en-GB"/>
        </w:rPr>
        <w:t>NLRP3</w:t>
      </w:r>
      <w:r w:rsidRPr="008C12C7">
        <w:rPr>
          <w:color w:val="000000"/>
          <w:lang w:val="en-GB"/>
        </w:rPr>
        <w:t xml:space="preserve"> expression, circulating CRP and </w:t>
      </w:r>
      <w:proofErr w:type="spellStart"/>
      <w:r w:rsidRPr="008C12C7">
        <w:rPr>
          <w:color w:val="000000"/>
          <w:lang w:val="en-GB"/>
        </w:rPr>
        <w:t>GlycA</w:t>
      </w:r>
      <w:proofErr w:type="spellEnd"/>
      <w:r w:rsidRPr="008C12C7">
        <w:rPr>
          <w:color w:val="000000"/>
          <w:lang w:val="en-GB"/>
        </w:rPr>
        <w:t xml:space="preserve"> levels, and blood neutrophil count. For each trait, variants within </w:t>
      </w:r>
      <m:oMath>
        <m:r>
          <w:rPr>
            <w:rFonts w:ascii="Cambria Math" w:hAnsi="Cambria Math"/>
            <w:lang w:val="en-GB"/>
          </w:rPr>
          <m:t>±</m:t>
        </m:r>
      </m:oMath>
      <w:r w:rsidRPr="008C12C7">
        <w:rPr>
          <w:color w:val="000000"/>
          <w:lang w:val="en-GB"/>
        </w:rPr>
        <w:t xml:space="preserve">150 kb of </w:t>
      </w:r>
      <w:r w:rsidRPr="008C12C7">
        <w:rPr>
          <w:i/>
          <w:iCs/>
          <w:color w:val="000000"/>
          <w:lang w:val="en-GB"/>
        </w:rPr>
        <w:t>NLRP3</w:t>
      </w:r>
      <w:r w:rsidRPr="008C12C7">
        <w:rPr>
          <w:color w:val="000000"/>
          <w:lang w:val="en-GB"/>
        </w:rPr>
        <w:t xml:space="preserve"> were identified and LD-clumped using PLINK2</w:t>
      </w:r>
      <w:r>
        <w:rPr>
          <w:color w:val="000000"/>
          <w:lang w:val="en-GB"/>
        </w:rPr>
        <w:fldChar w:fldCharType="begin"/>
      </w:r>
      <w:r w:rsidR="001865ED">
        <w:rPr>
          <w:color w:val="000000"/>
          <w:lang w:val="en-GB"/>
        </w:rPr>
        <w:instrText xml:space="preserve"> ADDIN ZOTERO_ITEM CSL_CITATION {"citationID":"IonbfFee","properties":{"unsorted":false,"formattedCitation":"\\super 59\\nosupersub{}","plainCitation":"59","noteIndex":0},"citationItems":[{"id":464,"uris":["http://zotero.org/users/12564564/items/YRJP7IWT"],"itemData":{"id":464,"type":"article-journal","abstract":"PLINK 1 is a widely used open-source C/C++ toolset for genome-wide association studies (GWAS) and research in population genetics. However, the steady accumulation of data from imputation and whole-genome sequencing studies has exposed a strong need for faster and scalable implementations of key functions, such as logistic regression, linkage disequilibrium estimation, and genomic distance evaluation. In addition, GWAS and population-genetic data now frequently contain genotype likelihoods, phase information, and/or multiallelic variants, none of which can be represented by PLINK 1’s primary data format.To address these issues, we are developing a second-generation codebase for PLINK. The first major release from this codebase, PLINK 1.9, introduces extensive use of bit-level parallelism, (n)-time/constant-space Hardy-Weinberg equilibrium and Fisher’s exact tests, and many other algorithmic improvements. In combination, these changes accelerate most operations by 1-4 orders of magnitude, and allow the program to handle datasets too large to fit in RAM. We have also developed an extension to the data format which adds low-overhead support for genotype likelihoods, phase, multiallelic variants, and reference vs. alternate alleles, which is the basis of our planned second release (PLINK 2.0).The second-generation versions of PLINK will offer dramatic improvements in performance and compatibility. For the first time, users without access to high-end computing resources can perform several essential analyses of the feature-rich and very large genetic datasets coming into use.","container-title":"GigaScience","DOI":"10.1186/s13742-015-0047-8","ISSN":"2047-217X","issue":"1","journalAbbreviation":"GigaScience","page":"7","source":"Silverchair","title":"Second-generation PLINK: rising to the challenge of larger and richer datasets","title-short":"Second-generation PLINK","volume":"4","author":[{"family":"Chang","given":"Christopher C"},{"family":"Chow","given":"Carson C"},{"family":"Tellier","given":"Laurent CAM"},{"family":"Vattikuti","given":"Shashaank"},{"family":"Purcell","given":"Shaun M"},{"family":"Lee","given":"James J"}],"issued":{"date-parts":[["2015",12,1]]}}}],"schema":"https://github.com/citation-style-language/schema/raw/master/csl-citation.json"} </w:instrText>
      </w:r>
      <w:r>
        <w:rPr>
          <w:color w:val="000000"/>
          <w:lang w:val="en-GB"/>
        </w:rPr>
        <w:fldChar w:fldCharType="separate"/>
      </w:r>
      <w:r w:rsidR="003902DB" w:rsidRPr="003902DB">
        <w:rPr>
          <w:color w:val="000000"/>
          <w:szCs w:val="24"/>
          <w:vertAlign w:val="superscript"/>
          <w:lang w:val="en-GB"/>
        </w:rPr>
        <w:t>59</w:t>
      </w:r>
      <w:r>
        <w:rPr>
          <w:color w:val="000000"/>
          <w:lang w:val="en-GB"/>
        </w:rPr>
        <w:fldChar w:fldCharType="end"/>
      </w:r>
      <w:r w:rsidRPr="008C12C7">
        <w:rPr>
          <w:color w:val="000000"/>
          <w:lang w:val="en-GB"/>
        </w:rPr>
        <w:t xml:space="preserve"> with a 250 kb clumping window, a genome-wide significance threshold of </w:t>
      </w:r>
      <m:oMath>
        <m:r>
          <w:rPr>
            <w:rFonts w:ascii="Cambria Math" w:eastAsia="Cambria Math" w:hAnsi="Cambria Math" w:cs="Cambria Math"/>
            <w:color w:val="000000"/>
            <w:lang w:val="en-GB"/>
          </w:rPr>
          <m:t>P&lt;5×</m:t>
        </m:r>
        <m:sSup>
          <m:sSupPr>
            <m:ctrlPr>
              <w:rPr>
                <w:rFonts w:ascii="Cambria Math" w:eastAsia="Cambria Math" w:hAnsi="Cambria Math" w:cs="Cambria Math"/>
                <w:color w:val="000000"/>
                <w:lang w:val="en-GB"/>
              </w:rPr>
            </m:ctrlPr>
          </m:sSupPr>
          <m:e>
            <m:r>
              <w:rPr>
                <w:rFonts w:ascii="Cambria Math" w:eastAsia="Cambria Math" w:hAnsi="Cambria Math" w:cs="Cambria Math"/>
                <w:color w:val="000000"/>
                <w:lang w:val="en-GB"/>
              </w:rPr>
              <m:t>10</m:t>
            </m:r>
          </m:e>
          <m:sup>
            <m:r>
              <w:rPr>
                <w:rFonts w:ascii="Cambria Math" w:eastAsia="Cambria Math" w:hAnsi="Cambria Math" w:cs="Cambria Math"/>
                <w:color w:val="000000"/>
                <w:lang w:val="en-GB"/>
              </w:rPr>
              <m:t>-8</m:t>
            </m:r>
          </m:sup>
        </m:sSup>
      </m:oMath>
      <w:r w:rsidRPr="008C12C7">
        <w:rPr>
          <w:color w:val="000000"/>
          <w:lang w:val="en-GB"/>
        </w:rPr>
        <w:t xml:space="preserve">, and a primary clumping threshold of </w:t>
      </w:r>
      <m:oMath>
        <m:sSup>
          <m:sSupPr>
            <m:ctrlPr>
              <w:rPr>
                <w:rFonts w:ascii="Cambria Math" w:eastAsia="Cambria Math" w:hAnsi="Cambria Math" w:cs="Cambria Math"/>
                <w:color w:val="000000"/>
                <w:lang w:val="en-GB"/>
              </w:rPr>
            </m:ctrlPr>
          </m:sSupPr>
          <m:e>
            <m:r>
              <w:rPr>
                <w:rFonts w:ascii="Cambria Math" w:eastAsia="Cambria Math" w:hAnsi="Cambria Math" w:cs="Cambria Math"/>
                <w:color w:val="000000"/>
                <w:lang w:val="en-GB"/>
              </w:rPr>
              <m:t>r</m:t>
            </m:r>
          </m:e>
          <m:sup>
            <m:r>
              <w:rPr>
                <w:rFonts w:ascii="Cambria Math" w:eastAsia="Cambria Math" w:hAnsi="Cambria Math" w:cs="Cambria Math"/>
                <w:color w:val="000000"/>
                <w:lang w:val="en-GB"/>
              </w:rPr>
              <m:t>2</m:t>
            </m:r>
          </m:sup>
        </m:sSup>
        <m:r>
          <w:rPr>
            <w:rFonts w:ascii="Cambria Math" w:eastAsia="Cambria Math" w:hAnsi="Cambria Math" w:cs="Cambria Math"/>
            <w:color w:val="000000"/>
            <w:lang w:val="en-GB"/>
          </w:rPr>
          <m:t>&lt;0.1</m:t>
        </m:r>
      </m:oMath>
      <w:r w:rsidRPr="008C12C7">
        <w:rPr>
          <w:color w:val="000000"/>
          <w:lang w:val="en-GB"/>
        </w:rPr>
        <w:t xml:space="preserve">. </w:t>
      </w:r>
      <w:r w:rsidRPr="00E033D2">
        <w:rPr>
          <w:color w:val="000000"/>
          <w:lang w:val="en-GB"/>
        </w:rPr>
        <w:t>The LD reference panel comprised 11,863 European-ancestry whole-genome sequences from INTERVAL.</w:t>
      </w:r>
      <w:r>
        <w:rPr>
          <w:color w:val="000000"/>
          <w:lang w:val="en-GB"/>
        </w:rPr>
        <w:t xml:space="preserve"> </w:t>
      </w:r>
      <w:r w:rsidR="00BF4084" w:rsidRPr="00BF4084">
        <w:rPr>
          <w:color w:val="000000"/>
          <w:lang w:val="en-GB"/>
        </w:rPr>
        <w:t>Variants whose effect-allele frequency in the panel differed from the GWAS frequency by more than 0.05 were excluded from the reference panel.</w:t>
      </w:r>
      <w:r w:rsidR="00BF4084">
        <w:rPr>
          <w:color w:val="000000"/>
          <w:lang w:val="en-GB"/>
        </w:rPr>
        <w:t xml:space="preserve"> </w:t>
      </w:r>
      <w:r w:rsidRPr="008C12C7">
        <w:rPr>
          <w:color w:val="000000"/>
          <w:lang w:val="en-GB"/>
        </w:rPr>
        <w:t xml:space="preserve">Because standard clumping may select different lead variants for different traits even when these tag the same underlying signal, we next identified variants in high LD with each trait-specific lead variant using </w:t>
      </w:r>
      <m:oMath>
        <m:sSup>
          <m:sSupPr>
            <m:ctrlPr>
              <w:rPr>
                <w:rFonts w:ascii="Cambria Math" w:eastAsia="Cambria Math" w:hAnsi="Cambria Math" w:cs="Cambria Math"/>
                <w:color w:val="000000"/>
                <w:lang w:val="en-GB"/>
              </w:rPr>
            </m:ctrlPr>
          </m:sSupPr>
          <m:e>
            <m:r>
              <w:rPr>
                <w:rFonts w:ascii="Cambria Math" w:eastAsia="Cambria Math" w:hAnsi="Cambria Math" w:cs="Cambria Math"/>
                <w:color w:val="000000"/>
                <w:lang w:val="en-GB"/>
              </w:rPr>
              <m:t>r</m:t>
            </m:r>
          </m:e>
          <m:sup>
            <m:r>
              <w:rPr>
                <w:rFonts w:ascii="Cambria Math" w:eastAsia="Cambria Math" w:hAnsi="Cambria Math" w:cs="Cambria Math"/>
                <w:color w:val="000000"/>
                <w:lang w:val="en-GB"/>
              </w:rPr>
              <m:t>2</m:t>
            </m:r>
          </m:sup>
        </m:sSup>
        <m:r>
          <w:rPr>
            <w:rFonts w:ascii="Cambria Math" w:eastAsia="Cambria Math" w:hAnsi="Cambria Math" w:cs="Cambria Math"/>
            <w:color w:val="000000"/>
            <w:lang w:val="en-GB"/>
          </w:rPr>
          <m:t>&gt;0.95</m:t>
        </m:r>
      </m:oMath>
      <w:r w:rsidRPr="008C12C7">
        <w:rPr>
          <w:color w:val="000000"/>
          <w:lang w:val="en-GB"/>
        </w:rPr>
        <w:t xml:space="preserve"> within a 40 kb window. These high-LD variant sets were treated as signal blocks, and blocks were merged across traits if they shared at least one variant. </w:t>
      </w:r>
      <w:r w:rsidRPr="001352D5">
        <w:rPr>
          <w:color w:val="000000"/>
          <w:lang w:val="en-GB"/>
        </w:rPr>
        <w:t>Components represented in at least two of the four traits were retained for score construction, of which there were ten.</w:t>
      </w:r>
      <w:r w:rsidRPr="008C12C7">
        <w:rPr>
          <w:color w:val="000000"/>
          <w:lang w:val="en-GB"/>
        </w:rPr>
        <w:t xml:space="preserve"> For each retained component, we selected a single representative variant, prioritising variants available across all four datasets and then choosing the variant with the lowest CRP association </w:t>
      </w:r>
      <m:oMath>
        <m:r>
          <w:rPr>
            <w:rFonts w:ascii="Cambria Math" w:eastAsia="Cambria Math" w:hAnsi="Cambria Math" w:cs="Cambria Math"/>
            <w:color w:val="000000"/>
            <w:lang w:val="en-GB"/>
          </w:rPr>
          <m:t>P</m:t>
        </m:r>
      </m:oMath>
      <w:r w:rsidRPr="008C12C7">
        <w:rPr>
          <w:color w:val="000000"/>
          <w:lang w:val="en-GB"/>
        </w:rPr>
        <w:t>-value.</w:t>
      </w:r>
      <w:r w:rsidRPr="009549FF">
        <w:rPr>
          <w:color w:val="000000"/>
          <w:lang w:val="en-GB"/>
        </w:rPr>
        <w:t xml:space="preserve"> </w:t>
      </w:r>
      <w:r w:rsidRPr="001352D5">
        <w:rPr>
          <w:color w:val="000000"/>
          <w:lang w:val="en-GB"/>
        </w:rPr>
        <w:t>Where the representative variant was absent from one or more datasets, we substituted the variant in highest LD with it within 50 kb, provided r² was at least 0.9. Two representatives were still missing from at least one dataset after this substitution and were excluded, leaving eight variants for construction of the NLRP3 activity score (Supplementary Figure 1).</w:t>
      </w:r>
      <w:r w:rsidR="008143C4">
        <w:rPr>
          <w:color w:val="000000"/>
          <w:lang w:val="en-GB"/>
        </w:rPr>
        <w:t xml:space="preserve"> </w:t>
      </w:r>
      <w:r w:rsidR="008143C4" w:rsidRPr="008143C4">
        <w:rPr>
          <w:color w:val="000000"/>
          <w:lang w:val="en-GB"/>
        </w:rPr>
        <w:t xml:space="preserve">We </w:t>
      </w:r>
      <w:r w:rsidR="008143C4">
        <w:rPr>
          <w:color w:val="000000"/>
          <w:lang w:val="en-GB"/>
        </w:rPr>
        <w:t xml:space="preserve">further </w:t>
      </w:r>
      <w:r w:rsidR="008143C4" w:rsidRPr="008143C4">
        <w:rPr>
          <w:color w:val="000000"/>
          <w:lang w:val="en-GB"/>
        </w:rPr>
        <w:t xml:space="preserve">required instruments to be specific to the target gene. Using INTERVAL whole-blood </w:t>
      </w:r>
      <w:proofErr w:type="spellStart"/>
      <w:r w:rsidR="008143C4" w:rsidRPr="008143C4">
        <w:rPr>
          <w:color w:val="000000"/>
          <w:lang w:val="en-GB"/>
        </w:rPr>
        <w:t>eQTL</w:t>
      </w:r>
      <w:proofErr w:type="spellEnd"/>
      <w:r w:rsidR="008143C4" w:rsidRPr="008143C4">
        <w:rPr>
          <w:color w:val="000000"/>
          <w:lang w:val="en-GB"/>
        </w:rPr>
        <w:t xml:space="preserve"> summary statistics, a variant was excluded if it was associated (P &lt; 1×10⁻³) with expression of another gene tested in </w:t>
      </w:r>
      <w:r w:rsidR="008143C4" w:rsidRPr="008143C4">
        <w:rPr>
          <w:i/>
          <w:iCs/>
          <w:color w:val="000000"/>
          <w:lang w:val="en-GB"/>
        </w:rPr>
        <w:t>cis</w:t>
      </w:r>
      <w:r w:rsidR="008143C4" w:rsidRPr="008143C4">
        <w:rPr>
          <w:color w:val="000000"/>
          <w:lang w:val="en-GB"/>
        </w:rPr>
        <w:t xml:space="preserve">, and this association persisted (P &lt; 1×10⁻³) after conditioning on that gene's lead </w:t>
      </w:r>
      <w:proofErr w:type="spellStart"/>
      <w:r w:rsidR="008143C4" w:rsidRPr="008143C4">
        <w:rPr>
          <w:color w:val="000000"/>
          <w:lang w:val="en-GB"/>
        </w:rPr>
        <w:t>eQTL</w:t>
      </w:r>
      <w:proofErr w:type="spellEnd"/>
      <w:r w:rsidR="008143C4" w:rsidRPr="008143C4">
        <w:rPr>
          <w:color w:val="000000"/>
          <w:lang w:val="en-GB"/>
        </w:rPr>
        <w:t>.</w:t>
      </w:r>
      <w:r w:rsidR="00630E3F">
        <w:rPr>
          <w:color w:val="000000"/>
          <w:lang w:val="en-GB"/>
        </w:rPr>
        <w:t xml:space="preserve"> </w:t>
      </w:r>
      <w:r w:rsidR="00630E3F" w:rsidRPr="00630E3F">
        <w:rPr>
          <w:color w:val="000000"/>
          <w:lang w:val="en-GB"/>
        </w:rPr>
        <w:t>This increased the specificity of the instruments for their target gene.</w:t>
      </w:r>
    </w:p>
    <w:p w14:paraId="2B83D807" w14:textId="77777777" w:rsidR="00707B7A" w:rsidRPr="008C12C7" w:rsidRDefault="00707B7A" w:rsidP="00707B7A">
      <w:pPr>
        <w:pBdr>
          <w:top w:val="nil"/>
          <w:left w:val="nil"/>
          <w:bottom w:val="nil"/>
          <w:right w:val="nil"/>
          <w:between w:val="nil"/>
        </w:pBdr>
        <w:ind w:firstLine="720"/>
        <w:rPr>
          <w:color w:val="000000"/>
          <w:lang w:val="en-GB"/>
        </w:rPr>
      </w:pPr>
      <w:r w:rsidRPr="008C12C7">
        <w:rPr>
          <w:color w:val="000000"/>
          <w:lang w:val="en-GB"/>
        </w:rPr>
        <w:t xml:space="preserve">For each retained variant </w:t>
      </w:r>
      <m:oMath>
        <m:r>
          <w:rPr>
            <w:rFonts w:ascii="Cambria Math" w:eastAsia="Cambria Math" w:hAnsi="Cambria Math" w:cs="Cambria Math"/>
            <w:color w:val="000000"/>
            <w:lang w:val="en-GB"/>
          </w:rPr>
          <m:t>j</m:t>
        </m:r>
      </m:oMath>
      <w:r w:rsidRPr="008C12C7">
        <w:rPr>
          <w:color w:val="000000"/>
          <w:lang w:val="en-GB"/>
        </w:rPr>
        <w:t xml:space="preserve">, trait-specific genetic effect estimates were assembled into the vector </w:t>
      </w:r>
      <m:oMath>
        <m:sSub>
          <m:sSubPr>
            <m:ctrlPr>
              <w:rPr>
                <w:rFonts w:ascii="Cambria Math" w:eastAsia="Cambria Math" w:hAnsi="Cambria Math" w:cs="Cambria Math"/>
                <w:color w:val="000000"/>
                <w:lang w:val="en-GB"/>
              </w:rPr>
            </m:ctrlPr>
          </m:sSubPr>
          <m:e>
            <m:acc>
              <m:accPr>
                <m:ctrlPr>
                  <w:rPr>
                    <w:rFonts w:ascii="Cambria Math" w:hAnsi="Cambria Math"/>
                    <w:lang w:val="en-GB"/>
                  </w:rPr>
                </m:ctrlPr>
              </m:accPr>
              <m:e>
                <m:r>
                  <w:rPr>
                    <w:rFonts w:ascii="Cambria Math" w:hAnsi="Cambria Math"/>
                    <w:lang w:val="en-GB"/>
                  </w:rPr>
                  <m:t>β</m:t>
                </m:r>
              </m:e>
            </m:acc>
          </m:e>
          <m:sub>
            <m:r>
              <w:rPr>
                <w:rFonts w:ascii="Cambria Math" w:eastAsia="Cambria Math" w:hAnsi="Cambria Math" w:cs="Cambria Math"/>
                <w:color w:val="000000"/>
                <w:lang w:val="en-GB"/>
              </w:rPr>
              <m:t>j</m:t>
            </m:r>
          </m:sub>
        </m:sSub>
        <m:r>
          <w:rPr>
            <w:rFonts w:ascii="Cambria Math" w:eastAsia="Cambria Math" w:hAnsi="Cambria Math" w:cs="Cambria Math"/>
            <w:color w:val="000000"/>
            <w:lang w:val="en-GB"/>
          </w:rPr>
          <m:t>=</m:t>
        </m:r>
        <m:sSup>
          <m:sSupPr>
            <m:ctrlPr>
              <w:rPr>
                <w:rFonts w:ascii="Cambria Math" w:eastAsia="Cambria Math" w:hAnsi="Cambria Math" w:cs="Cambria Math"/>
                <w:color w:val="000000"/>
                <w:lang w:val="en-GB"/>
              </w:rPr>
            </m:ctrlPr>
          </m:sSupPr>
          <m:e>
            <m:d>
              <m:dPr>
                <m:ctrlPr>
                  <w:rPr>
                    <w:rFonts w:ascii="Cambria Math" w:eastAsia="Cambria Math" w:hAnsi="Cambria Math" w:cs="Cambria Math"/>
                    <w:color w:val="000000"/>
                    <w:lang w:val="en-GB"/>
                  </w:rPr>
                </m:ctrlPr>
              </m:dPr>
              <m:e>
                <m:sSub>
                  <m:sSubPr>
                    <m:ctrlPr>
                      <w:rPr>
                        <w:rFonts w:ascii="Cambria Math" w:eastAsia="Cambria Math" w:hAnsi="Cambria Math" w:cs="Cambria Math"/>
                        <w:color w:val="000000"/>
                        <w:lang w:val="en-GB"/>
                      </w:rPr>
                    </m:ctrlPr>
                  </m:sSubPr>
                  <m:e>
                    <m:acc>
                      <m:accPr>
                        <m:ctrlPr>
                          <w:rPr>
                            <w:rFonts w:ascii="Cambria Math" w:eastAsia="Cambria Math" w:hAnsi="Cambria Math" w:cs="Cambria Math"/>
                            <w:color w:val="000000"/>
                            <w:lang w:val="en-GB"/>
                          </w:rPr>
                        </m:ctrlPr>
                      </m:accPr>
                      <m:e>
                        <m:r>
                          <w:rPr>
                            <w:rFonts w:ascii="Cambria Math" w:eastAsia="Cambria Math" w:hAnsi="Cambria Math" w:cs="Cambria Math"/>
                            <w:color w:val="000000"/>
                            <w:lang w:val="en-GB"/>
                          </w:rPr>
                          <m:t>β</m:t>
                        </m:r>
                      </m:e>
                    </m:acc>
                  </m:e>
                  <m:sub>
                    <m:r>
                      <w:rPr>
                        <w:rFonts w:ascii="Cambria Math" w:eastAsia="Cambria Math" w:hAnsi="Cambria Math" w:cs="Cambria Math"/>
                        <w:color w:val="000000"/>
                        <w:lang w:val="en-GB"/>
                      </w:rPr>
                      <m:t>j,1</m:t>
                    </m:r>
                  </m:sub>
                </m:sSub>
                <m:r>
                  <w:rPr>
                    <w:rFonts w:ascii="Cambria Math" w:eastAsia="Cambria Math" w:hAnsi="Cambria Math" w:cs="Cambria Math"/>
                    <w:color w:val="000000"/>
                    <w:lang w:val="en-GB"/>
                  </w:rPr>
                  <m:t>,…,</m:t>
                </m:r>
                <m:sSub>
                  <m:sSubPr>
                    <m:ctrlPr>
                      <w:rPr>
                        <w:rFonts w:ascii="Cambria Math" w:eastAsia="Cambria Math" w:hAnsi="Cambria Math" w:cs="Cambria Math"/>
                        <w:color w:val="000000"/>
                        <w:lang w:val="en-GB"/>
                      </w:rPr>
                    </m:ctrlPr>
                  </m:sSubPr>
                  <m:e>
                    <m:acc>
                      <m:accPr>
                        <m:ctrlPr>
                          <w:rPr>
                            <w:rFonts w:ascii="Cambria Math" w:eastAsia="Cambria Math" w:hAnsi="Cambria Math" w:cs="Cambria Math"/>
                            <w:color w:val="000000"/>
                            <w:lang w:val="en-GB"/>
                          </w:rPr>
                        </m:ctrlPr>
                      </m:accPr>
                      <m:e>
                        <m:r>
                          <w:rPr>
                            <w:rFonts w:ascii="Cambria Math" w:eastAsia="Cambria Math" w:hAnsi="Cambria Math" w:cs="Cambria Math"/>
                            <w:color w:val="000000"/>
                            <w:lang w:val="en-GB"/>
                          </w:rPr>
                          <m:t>β</m:t>
                        </m:r>
                      </m:e>
                    </m:acc>
                  </m:e>
                  <m:sub>
                    <m:r>
                      <w:rPr>
                        <w:rFonts w:ascii="Cambria Math" w:eastAsia="Cambria Math" w:hAnsi="Cambria Math" w:cs="Cambria Math"/>
                        <w:color w:val="000000"/>
                        <w:lang w:val="en-GB"/>
                      </w:rPr>
                      <m:t>j,K</m:t>
                    </m:r>
                  </m:sub>
                </m:sSub>
              </m:e>
            </m:d>
          </m:e>
          <m:sup>
            <m:r>
              <w:rPr>
                <w:rFonts w:ascii="Cambria Math" w:eastAsia="Cambria Math" w:hAnsi="Cambria Math" w:cs="Cambria Math"/>
                <w:color w:val="000000"/>
                <w:lang w:val="en-GB"/>
              </w:rPr>
              <m:t>⊤</m:t>
            </m:r>
          </m:sup>
        </m:sSup>
      </m:oMath>
      <w:r w:rsidRPr="008C12C7">
        <w:rPr>
          <w:color w:val="000000"/>
          <w:lang w:val="en-GB"/>
        </w:rPr>
        <w:t xml:space="preserve">, where </w:t>
      </w:r>
      <m:oMath>
        <m:r>
          <w:rPr>
            <w:rFonts w:ascii="Cambria Math" w:eastAsia="Cambria Math" w:hAnsi="Cambria Math" w:cs="Cambria Math"/>
            <w:color w:val="000000"/>
            <w:lang w:val="en-GB"/>
          </w:rPr>
          <m:t>K=4</m:t>
        </m:r>
      </m:oMath>
      <w:r w:rsidRPr="008C12C7">
        <w:rPr>
          <w:color w:val="000000"/>
          <w:lang w:val="en-GB"/>
        </w:rPr>
        <w:t xml:space="preserve"> denotes the four traits used to construct the score. We centred and scaled the trait-specific effect estimates to have mean zero and unit variance across variants before applying PCA to the resulting variant-by-trait matrix. Loadings from the first principal component were extracted and used as fixed weights </w:t>
      </w:r>
      <m:oMath>
        <m:r>
          <w:rPr>
            <w:rFonts w:ascii="Cambria Math" w:eastAsia="Cambria Math" w:hAnsi="Cambria Math" w:cs="Cambria Math"/>
            <w:color w:val="000000"/>
            <w:lang w:val="en-GB"/>
          </w:rPr>
          <m:t>w=</m:t>
        </m:r>
        <m:sSup>
          <m:sSupPr>
            <m:ctrlPr>
              <w:rPr>
                <w:rFonts w:ascii="Cambria Math" w:eastAsia="Cambria Math" w:hAnsi="Cambria Math" w:cs="Cambria Math"/>
                <w:color w:val="000000"/>
                <w:lang w:val="en-GB"/>
              </w:rPr>
            </m:ctrlPr>
          </m:sSupPr>
          <m:e>
            <m:d>
              <m:dPr>
                <m:ctrlPr>
                  <w:rPr>
                    <w:rFonts w:ascii="Cambria Math" w:eastAsia="Cambria Math" w:hAnsi="Cambria Math" w:cs="Cambria Math"/>
                    <w:color w:val="000000"/>
                    <w:lang w:val="en-GB"/>
                  </w:rPr>
                </m:ctrlPr>
              </m:dPr>
              <m:e>
                <m:sSub>
                  <m:sSubPr>
                    <m:ctrlPr>
                      <w:rPr>
                        <w:rFonts w:ascii="Cambria Math" w:eastAsia="Cambria Math" w:hAnsi="Cambria Math" w:cs="Cambria Math"/>
                        <w:color w:val="000000"/>
                        <w:lang w:val="en-GB"/>
                      </w:rPr>
                    </m:ctrlPr>
                  </m:sSubPr>
                  <m:e>
                    <m:r>
                      <w:rPr>
                        <w:rFonts w:ascii="Cambria Math" w:eastAsia="Cambria Math" w:hAnsi="Cambria Math" w:cs="Cambria Math"/>
                        <w:color w:val="000000"/>
                        <w:lang w:val="en-GB"/>
                      </w:rPr>
                      <m:t>w</m:t>
                    </m:r>
                  </m:e>
                  <m:sub>
                    <m:r>
                      <w:rPr>
                        <w:rFonts w:ascii="Cambria Math" w:eastAsia="Cambria Math" w:hAnsi="Cambria Math" w:cs="Cambria Math"/>
                        <w:color w:val="000000"/>
                        <w:lang w:val="en-GB"/>
                      </w:rPr>
                      <m:t>1</m:t>
                    </m:r>
                  </m:sub>
                </m:sSub>
                <m:r>
                  <w:rPr>
                    <w:rFonts w:ascii="Cambria Math" w:eastAsia="Cambria Math" w:hAnsi="Cambria Math" w:cs="Cambria Math"/>
                    <w:color w:val="000000"/>
                    <w:lang w:val="en-GB"/>
                  </w:rPr>
                  <m:t>,…,</m:t>
                </m:r>
                <m:sSub>
                  <m:sSubPr>
                    <m:ctrlPr>
                      <w:rPr>
                        <w:rFonts w:ascii="Cambria Math" w:eastAsia="Cambria Math" w:hAnsi="Cambria Math" w:cs="Cambria Math"/>
                        <w:color w:val="000000"/>
                        <w:lang w:val="en-GB"/>
                      </w:rPr>
                    </m:ctrlPr>
                  </m:sSubPr>
                  <m:e>
                    <m:r>
                      <w:rPr>
                        <w:rFonts w:ascii="Cambria Math" w:eastAsia="Cambria Math" w:hAnsi="Cambria Math" w:cs="Cambria Math"/>
                        <w:color w:val="000000"/>
                        <w:lang w:val="en-GB"/>
                      </w:rPr>
                      <m:t>w</m:t>
                    </m:r>
                  </m:e>
                  <m:sub>
                    <m:r>
                      <w:rPr>
                        <w:rFonts w:ascii="Cambria Math" w:eastAsia="Cambria Math" w:hAnsi="Cambria Math" w:cs="Cambria Math"/>
                        <w:color w:val="000000"/>
                        <w:lang w:val="en-GB"/>
                      </w:rPr>
                      <m:t>K</m:t>
                    </m:r>
                  </m:sub>
                </m:sSub>
              </m:e>
            </m:d>
          </m:e>
          <m:sup>
            <m:r>
              <w:rPr>
                <w:rFonts w:ascii="Cambria Math" w:eastAsia="Cambria Math" w:hAnsi="Cambria Math" w:cs="Cambria Math"/>
                <w:color w:val="000000"/>
                <w:lang w:val="en-GB"/>
              </w:rPr>
              <m:t>⊤</m:t>
            </m:r>
          </m:sup>
        </m:sSup>
      </m:oMath>
      <w:r w:rsidRPr="008C12C7">
        <w:rPr>
          <w:color w:val="000000"/>
          <w:lang w:val="en-GB"/>
        </w:rPr>
        <w:t xml:space="preserve"> to combine trait-specific variant effects into a single latent factor:</w:t>
      </w:r>
    </w:p>
    <w:p w14:paraId="7C033BB0" w14:textId="77777777" w:rsidR="00707B7A" w:rsidRPr="008C12C7" w:rsidRDefault="00000000" w:rsidP="00707B7A">
      <w:pPr>
        <w:jc w:val="center"/>
        <w:rPr>
          <w:rFonts w:ascii="Cambria Math" w:eastAsia="Cambria Math" w:hAnsi="Cambria Math" w:cs="Cambria Math"/>
          <w:color w:val="000000"/>
          <w:lang w:val="en-GB"/>
        </w:rPr>
      </w:pPr>
      <m:oMathPara>
        <m:oMath>
          <m:sSub>
            <m:sSubPr>
              <m:ctrlPr>
                <w:rPr>
                  <w:rFonts w:ascii="Cambria Math" w:eastAsia="Cambria Math" w:hAnsi="Cambria Math" w:cs="Cambria Math"/>
                  <w:color w:val="000000"/>
                  <w:lang w:val="en-GB"/>
                </w:rPr>
              </m:ctrlPr>
            </m:sSubPr>
            <m:e>
              <m:acc>
                <m:accPr>
                  <m:chr m:val="̃"/>
                  <m:ctrlPr>
                    <w:rPr>
                      <w:rFonts w:ascii="Cambria Math" w:hAnsi="Cambria Math"/>
                      <w:lang w:val="en-GB"/>
                    </w:rPr>
                  </m:ctrlPr>
                </m:accPr>
                <m:e>
                  <m:r>
                    <w:rPr>
                      <w:rFonts w:ascii="Cambria Math" w:hAnsi="Cambria Math"/>
                      <w:lang w:val="en-GB"/>
                    </w:rPr>
                    <m:t>β</m:t>
                  </m:r>
                </m:e>
              </m:acc>
            </m:e>
            <m:sub>
              <m:r>
                <w:rPr>
                  <w:rFonts w:ascii="Cambria Math" w:eastAsia="Cambria Math" w:hAnsi="Cambria Math" w:cs="Cambria Math"/>
                  <w:color w:val="000000"/>
                  <w:lang w:val="en-GB"/>
                </w:rPr>
                <m:t>j</m:t>
              </m:r>
            </m:sub>
          </m:sSub>
          <m:r>
            <w:rPr>
              <w:rFonts w:ascii="Cambria Math" w:eastAsia="Cambria Math" w:hAnsi="Cambria Math" w:cs="Cambria Math"/>
              <w:color w:val="000000"/>
              <w:lang w:val="en-GB"/>
            </w:rPr>
            <m:t>=</m:t>
          </m:r>
          <m:sSup>
            <m:sSupPr>
              <m:ctrlPr>
                <w:rPr>
                  <w:rFonts w:ascii="Cambria Math" w:eastAsia="Cambria Math" w:hAnsi="Cambria Math" w:cs="Cambria Math"/>
                  <w:color w:val="000000"/>
                  <w:lang w:val="en-GB"/>
                </w:rPr>
              </m:ctrlPr>
            </m:sSupPr>
            <m:e>
              <m:r>
                <w:rPr>
                  <w:rFonts w:ascii="Cambria Math" w:eastAsia="Cambria Math" w:hAnsi="Cambria Math" w:cs="Cambria Math"/>
                  <w:color w:val="000000"/>
                  <w:lang w:val="en-GB"/>
                </w:rPr>
                <m:t>w</m:t>
              </m:r>
            </m:e>
            <m:sup>
              <m:r>
                <w:rPr>
                  <w:rFonts w:ascii="Cambria Math" w:eastAsia="Cambria Math" w:hAnsi="Cambria Math" w:cs="Cambria Math"/>
                  <w:color w:val="000000"/>
                  <w:lang w:val="en-GB"/>
                </w:rPr>
                <m:t>⊤</m:t>
              </m:r>
            </m:sup>
          </m:sSup>
          <m:sSub>
            <m:sSubPr>
              <m:ctrlPr>
                <w:rPr>
                  <w:rFonts w:ascii="Cambria Math" w:eastAsia="Cambria Math" w:hAnsi="Cambria Math" w:cs="Cambria Math"/>
                  <w:color w:val="000000"/>
                  <w:lang w:val="en-GB"/>
                </w:rPr>
              </m:ctrlPr>
            </m:sSubPr>
            <m:e>
              <m:acc>
                <m:accPr>
                  <m:ctrlPr>
                    <w:rPr>
                      <w:rFonts w:ascii="Cambria Math" w:eastAsia="Cambria Math" w:hAnsi="Cambria Math" w:cs="Cambria Math"/>
                      <w:color w:val="000000"/>
                      <w:lang w:val="en-GB"/>
                    </w:rPr>
                  </m:ctrlPr>
                </m:accPr>
                <m:e>
                  <m:r>
                    <w:rPr>
                      <w:rFonts w:ascii="Cambria Math" w:eastAsia="Cambria Math" w:hAnsi="Cambria Math" w:cs="Cambria Math"/>
                      <w:color w:val="000000"/>
                      <w:lang w:val="en-GB"/>
                    </w:rPr>
                    <m:t>β</m:t>
                  </m:r>
                </m:e>
              </m:acc>
            </m:e>
            <m:sub>
              <m:r>
                <w:rPr>
                  <w:rFonts w:ascii="Cambria Math" w:eastAsia="Cambria Math" w:hAnsi="Cambria Math" w:cs="Cambria Math"/>
                  <w:color w:val="000000"/>
                  <w:lang w:val="en-GB"/>
                </w:rPr>
                <m:t>j</m:t>
              </m:r>
            </m:sub>
          </m:sSub>
          <m:r>
            <w:rPr>
              <w:rFonts w:ascii="Cambria Math" w:eastAsia="Cambria Math" w:hAnsi="Cambria Math" w:cs="Cambria Math"/>
              <w:color w:val="000000"/>
              <w:lang w:val="en-GB"/>
            </w:rPr>
            <m:t>=</m:t>
          </m:r>
          <m:nary>
            <m:naryPr>
              <m:chr m:val="∑"/>
              <m:ctrlPr>
                <w:rPr>
                  <w:rFonts w:ascii="Cambria Math" w:eastAsia="Cambria Math" w:hAnsi="Cambria Math" w:cs="Cambria Math"/>
                  <w:color w:val="000000"/>
                  <w:lang w:val="en-GB"/>
                </w:rPr>
              </m:ctrlPr>
            </m:naryPr>
            <m:sub>
              <m:r>
                <w:rPr>
                  <w:rFonts w:ascii="Cambria Math" w:eastAsia="Cambria Math" w:hAnsi="Cambria Math" w:cs="Cambria Math"/>
                  <w:color w:val="000000"/>
                  <w:lang w:val="en-GB"/>
                </w:rPr>
                <m:t>k=1</m:t>
              </m:r>
            </m:sub>
            <m:sup>
              <m:r>
                <w:rPr>
                  <w:rFonts w:ascii="Cambria Math" w:eastAsia="Cambria Math" w:hAnsi="Cambria Math" w:cs="Cambria Math"/>
                  <w:color w:val="000000"/>
                  <w:lang w:val="en-GB"/>
                </w:rPr>
                <m:t>4</m:t>
              </m:r>
            </m:sup>
            <m:e>
              <m:sSub>
                <m:sSubPr>
                  <m:ctrlPr>
                    <w:rPr>
                      <w:rFonts w:ascii="Cambria Math" w:eastAsia="Cambria Math" w:hAnsi="Cambria Math" w:cs="Cambria Math"/>
                      <w:color w:val="000000"/>
                      <w:lang w:val="en-GB"/>
                    </w:rPr>
                  </m:ctrlPr>
                </m:sSubPr>
                <m:e>
                  <m:r>
                    <w:rPr>
                      <w:rFonts w:ascii="Cambria Math" w:eastAsia="Cambria Math" w:hAnsi="Cambria Math" w:cs="Cambria Math"/>
                      <w:color w:val="000000"/>
                      <w:lang w:val="en-GB"/>
                    </w:rPr>
                    <m:t>w</m:t>
                  </m:r>
                </m:e>
                <m:sub>
                  <m:r>
                    <w:rPr>
                      <w:rFonts w:ascii="Cambria Math" w:eastAsia="Cambria Math" w:hAnsi="Cambria Math" w:cs="Cambria Math"/>
                      <w:color w:val="000000"/>
                      <w:lang w:val="en-GB"/>
                    </w:rPr>
                    <m:t>k</m:t>
                  </m:r>
                </m:sub>
              </m:sSub>
              <m:sSub>
                <m:sSubPr>
                  <m:ctrlPr>
                    <w:rPr>
                      <w:rFonts w:ascii="Cambria Math" w:eastAsia="Cambria Math" w:hAnsi="Cambria Math" w:cs="Cambria Math"/>
                      <w:color w:val="000000"/>
                      <w:lang w:val="en-GB"/>
                    </w:rPr>
                  </m:ctrlPr>
                </m:sSubPr>
                <m:e>
                  <m:acc>
                    <m:accPr>
                      <m:ctrlPr>
                        <w:rPr>
                          <w:rFonts w:ascii="Cambria Math" w:eastAsia="Cambria Math" w:hAnsi="Cambria Math" w:cs="Cambria Math"/>
                          <w:color w:val="000000"/>
                          <w:lang w:val="en-GB"/>
                        </w:rPr>
                      </m:ctrlPr>
                    </m:accPr>
                    <m:e>
                      <m:r>
                        <w:rPr>
                          <w:rFonts w:ascii="Cambria Math" w:eastAsia="Cambria Math" w:hAnsi="Cambria Math" w:cs="Cambria Math"/>
                          <w:color w:val="000000"/>
                          <w:lang w:val="en-GB"/>
                        </w:rPr>
                        <m:t>β</m:t>
                      </m:r>
                    </m:e>
                  </m:acc>
                </m:e>
                <m:sub>
                  <m:r>
                    <w:rPr>
                      <w:rFonts w:ascii="Cambria Math" w:eastAsia="Cambria Math" w:hAnsi="Cambria Math" w:cs="Cambria Math"/>
                      <w:color w:val="000000"/>
                      <w:lang w:val="en-GB"/>
                    </w:rPr>
                    <m:t>j,k</m:t>
                  </m:r>
                </m:sub>
              </m:sSub>
            </m:e>
          </m:nary>
        </m:oMath>
      </m:oMathPara>
    </w:p>
    <w:p w14:paraId="2315C327" w14:textId="77777777" w:rsidR="00707B7A" w:rsidRPr="008C12C7" w:rsidRDefault="00707B7A" w:rsidP="00707B7A">
      <w:pPr>
        <w:pBdr>
          <w:top w:val="nil"/>
          <w:left w:val="nil"/>
          <w:bottom w:val="nil"/>
          <w:right w:val="nil"/>
          <w:between w:val="nil"/>
        </w:pBdr>
        <w:rPr>
          <w:color w:val="000000"/>
          <w:lang w:val="en-GB"/>
        </w:rPr>
      </w:pPr>
      <w:r w:rsidRPr="008C12C7">
        <w:rPr>
          <w:color w:val="000000"/>
          <w:lang w:val="en-GB"/>
        </w:rPr>
        <w:t xml:space="preserve">This latent factor was defined as the NLRP3 activity score. Because its raw scale is not directly interpretable, we scaled it to CRP. Specifically, we estimated a scaling constant </w:t>
      </w:r>
      <m:oMath>
        <m:r>
          <w:rPr>
            <w:rFonts w:ascii="Cambria Math" w:eastAsia="Cambria Math" w:hAnsi="Cambria Math" w:cs="Cambria Math"/>
            <w:color w:val="000000"/>
            <w:lang w:val="en-GB"/>
          </w:rPr>
          <m:t>c</m:t>
        </m:r>
      </m:oMath>
      <w:r w:rsidRPr="008C12C7">
        <w:rPr>
          <w:color w:val="000000"/>
          <w:lang w:val="en-GB"/>
        </w:rPr>
        <w:t xml:space="preserve"> from a weighted linear regression of the CRP effect estimate </w:t>
      </w:r>
      <m:oMath>
        <m:sSub>
          <m:sSubPr>
            <m:ctrlPr>
              <w:rPr>
                <w:rFonts w:ascii="Cambria Math" w:eastAsia="Cambria Math" w:hAnsi="Cambria Math" w:cs="Cambria Math"/>
                <w:color w:val="000000"/>
                <w:lang w:val="en-GB"/>
              </w:rPr>
            </m:ctrlPr>
          </m:sSubPr>
          <m:e>
            <m:acc>
              <m:accPr>
                <m:ctrlPr>
                  <w:rPr>
                    <w:rFonts w:ascii="Cambria Math" w:hAnsi="Cambria Math"/>
                    <w:lang w:val="en-GB"/>
                  </w:rPr>
                </m:ctrlPr>
              </m:accPr>
              <m:e>
                <m:r>
                  <w:rPr>
                    <w:rFonts w:ascii="Cambria Math" w:hAnsi="Cambria Math"/>
                    <w:lang w:val="en-GB"/>
                  </w:rPr>
                  <m:t>β</m:t>
                </m:r>
              </m:e>
            </m:acc>
          </m:e>
          <m:sub>
            <m:r>
              <w:rPr>
                <w:rFonts w:ascii="Cambria Math" w:eastAsia="Cambria Math" w:hAnsi="Cambria Math" w:cs="Cambria Math"/>
                <w:color w:val="000000"/>
                <w:lang w:val="en-GB"/>
              </w:rPr>
              <m:t>j,CRP</m:t>
            </m:r>
          </m:sub>
        </m:sSub>
      </m:oMath>
      <w:r w:rsidRPr="008C12C7">
        <w:rPr>
          <w:color w:val="000000"/>
          <w:lang w:val="en-GB"/>
        </w:rPr>
        <w:t xml:space="preserve"> on the unscaled score effect </w:t>
      </w:r>
      <m:oMath>
        <m:sSub>
          <m:sSubPr>
            <m:ctrlPr>
              <w:rPr>
                <w:rFonts w:ascii="Cambria Math" w:eastAsia="Cambria Math" w:hAnsi="Cambria Math" w:cs="Cambria Math"/>
                <w:color w:val="000000"/>
                <w:lang w:val="en-GB"/>
              </w:rPr>
            </m:ctrlPr>
          </m:sSubPr>
          <m:e>
            <m:acc>
              <m:accPr>
                <m:chr m:val="̃"/>
                <m:ctrlPr>
                  <w:rPr>
                    <w:rFonts w:ascii="Cambria Math" w:hAnsi="Cambria Math"/>
                    <w:lang w:val="en-GB"/>
                  </w:rPr>
                </m:ctrlPr>
              </m:accPr>
              <m:e>
                <m:r>
                  <w:rPr>
                    <w:rFonts w:ascii="Cambria Math" w:hAnsi="Cambria Math"/>
                    <w:lang w:val="en-GB"/>
                  </w:rPr>
                  <m:t>β</m:t>
                </m:r>
              </m:e>
            </m:acc>
          </m:e>
          <m:sub>
            <m:r>
              <w:rPr>
                <w:rFonts w:ascii="Cambria Math" w:eastAsia="Cambria Math" w:hAnsi="Cambria Math" w:cs="Cambria Math"/>
                <w:color w:val="000000"/>
                <w:lang w:val="en-GB"/>
              </w:rPr>
              <m:t>j</m:t>
            </m:r>
          </m:sub>
        </m:sSub>
      </m:oMath>
      <w:r w:rsidRPr="008C12C7">
        <w:rPr>
          <w:color w:val="000000"/>
          <w:lang w:val="en-GB"/>
        </w:rPr>
        <w:t>, with the intercept constrained to zero and inverse-variance weights based on the CRP standard errors. The scaled variant effect on the NLRP3 activity score was then defined as:</w:t>
      </w:r>
    </w:p>
    <w:p w14:paraId="14EC7E85" w14:textId="77777777" w:rsidR="00707B7A" w:rsidRPr="008C12C7" w:rsidRDefault="00000000" w:rsidP="00707B7A">
      <w:pPr>
        <w:jc w:val="center"/>
        <w:rPr>
          <w:rFonts w:ascii="Cambria Math" w:eastAsia="Cambria Math" w:hAnsi="Cambria Math" w:cs="Cambria Math"/>
          <w:color w:val="000000"/>
          <w:lang w:val="en-GB"/>
        </w:rPr>
      </w:pPr>
      <m:oMathPara>
        <m:oMath>
          <m:sSubSup>
            <m:sSubSupPr>
              <m:ctrlPr>
                <w:rPr>
                  <w:rFonts w:ascii="Cambria Math" w:eastAsia="Cambria Math" w:hAnsi="Cambria Math" w:cs="Cambria Math"/>
                  <w:color w:val="000000"/>
                  <w:lang w:val="en-GB"/>
                </w:rPr>
              </m:ctrlPr>
            </m:sSubSupPr>
            <m:e>
              <m:acc>
                <m:accPr>
                  <m:ctrlPr>
                    <w:rPr>
                      <w:rFonts w:ascii="Cambria Math" w:hAnsi="Cambria Math"/>
                      <w:lang w:val="en-GB"/>
                    </w:rPr>
                  </m:ctrlPr>
                </m:accPr>
                <m:e>
                  <m:r>
                    <w:rPr>
                      <w:rFonts w:ascii="Cambria Math" w:hAnsi="Cambria Math"/>
                      <w:lang w:val="en-GB"/>
                    </w:rPr>
                    <m:t>β</m:t>
                  </m:r>
                </m:e>
              </m:acc>
            </m:e>
            <m:sub>
              <m:r>
                <w:rPr>
                  <w:rFonts w:ascii="Cambria Math" w:eastAsia="Cambria Math" w:hAnsi="Cambria Math" w:cs="Cambria Math"/>
                  <w:color w:val="000000"/>
                  <w:lang w:val="en-GB"/>
                </w:rPr>
                <m:t>j</m:t>
              </m:r>
            </m:sub>
            <m:sup>
              <m:r>
                <w:rPr>
                  <w:rFonts w:ascii="Cambria Math" w:eastAsia="Cambria Math" w:hAnsi="Cambria Math" w:cs="Cambria Math"/>
                  <w:color w:val="000000"/>
                  <w:lang w:val="en-GB"/>
                </w:rPr>
                <m:t>NLRP3 score</m:t>
              </m:r>
            </m:sup>
          </m:sSubSup>
          <m:r>
            <w:rPr>
              <w:rFonts w:ascii="Cambria Math" w:eastAsia="Cambria Math" w:hAnsi="Cambria Math" w:cs="Cambria Math"/>
              <w:color w:val="000000"/>
              <w:lang w:val="en-GB"/>
            </w:rPr>
            <m:t>=c</m:t>
          </m:r>
          <m:sSub>
            <m:sSubPr>
              <m:ctrlPr>
                <w:rPr>
                  <w:rFonts w:ascii="Cambria Math" w:eastAsia="Cambria Math" w:hAnsi="Cambria Math" w:cs="Cambria Math"/>
                  <w:color w:val="000000"/>
                  <w:lang w:val="en-GB"/>
                </w:rPr>
              </m:ctrlPr>
            </m:sSubPr>
            <m:e>
              <m:acc>
                <m:accPr>
                  <m:chr m:val="̃"/>
                  <m:ctrlPr>
                    <w:rPr>
                      <w:rFonts w:ascii="Cambria Math" w:eastAsia="Cambria Math" w:hAnsi="Cambria Math" w:cs="Cambria Math"/>
                      <w:color w:val="000000"/>
                      <w:lang w:val="en-GB"/>
                    </w:rPr>
                  </m:ctrlPr>
                </m:accPr>
                <m:e>
                  <m:r>
                    <w:rPr>
                      <w:rFonts w:ascii="Cambria Math" w:eastAsia="Cambria Math" w:hAnsi="Cambria Math" w:cs="Cambria Math"/>
                      <w:color w:val="000000"/>
                      <w:lang w:val="en-GB"/>
                    </w:rPr>
                    <m:t>β</m:t>
                  </m:r>
                </m:e>
              </m:acc>
            </m:e>
            <m:sub>
              <m:r>
                <w:rPr>
                  <w:rFonts w:ascii="Cambria Math" w:eastAsia="Cambria Math" w:hAnsi="Cambria Math" w:cs="Cambria Math"/>
                  <w:color w:val="000000"/>
                  <w:lang w:val="en-GB"/>
                </w:rPr>
                <m:t>j</m:t>
              </m:r>
            </m:sub>
          </m:sSub>
          <m:r>
            <w:rPr>
              <w:rFonts w:ascii="Cambria Math" w:eastAsia="Cambria Math" w:hAnsi="Cambria Math" w:cs="Cambria Math"/>
              <w:color w:val="000000"/>
              <w:lang w:val="en-GB"/>
            </w:rPr>
            <m:t>=c</m:t>
          </m:r>
          <m:nary>
            <m:naryPr>
              <m:chr m:val="∑"/>
              <m:ctrlPr>
                <w:rPr>
                  <w:rFonts w:ascii="Cambria Math" w:eastAsia="Cambria Math" w:hAnsi="Cambria Math" w:cs="Cambria Math"/>
                  <w:color w:val="000000"/>
                  <w:lang w:val="en-GB"/>
                </w:rPr>
              </m:ctrlPr>
            </m:naryPr>
            <m:sub>
              <m:r>
                <w:rPr>
                  <w:rFonts w:ascii="Cambria Math" w:eastAsia="Cambria Math" w:hAnsi="Cambria Math" w:cs="Cambria Math"/>
                  <w:color w:val="000000"/>
                  <w:lang w:val="en-GB"/>
                </w:rPr>
                <m:t>k=1</m:t>
              </m:r>
            </m:sub>
            <m:sup>
              <m:r>
                <w:rPr>
                  <w:rFonts w:ascii="Cambria Math" w:eastAsia="Cambria Math" w:hAnsi="Cambria Math" w:cs="Cambria Math"/>
                  <w:color w:val="000000"/>
                  <w:lang w:val="en-GB"/>
                </w:rPr>
                <m:t>4</m:t>
              </m:r>
            </m:sup>
            <m:e>
              <m:sSub>
                <m:sSubPr>
                  <m:ctrlPr>
                    <w:rPr>
                      <w:rFonts w:ascii="Cambria Math" w:eastAsia="Cambria Math" w:hAnsi="Cambria Math" w:cs="Cambria Math"/>
                      <w:color w:val="000000"/>
                      <w:lang w:val="en-GB"/>
                    </w:rPr>
                  </m:ctrlPr>
                </m:sSubPr>
                <m:e>
                  <m:r>
                    <w:rPr>
                      <w:rFonts w:ascii="Cambria Math" w:eastAsia="Cambria Math" w:hAnsi="Cambria Math" w:cs="Cambria Math"/>
                      <w:color w:val="000000"/>
                      <w:lang w:val="en-GB"/>
                    </w:rPr>
                    <m:t>w</m:t>
                  </m:r>
                </m:e>
                <m:sub>
                  <m:r>
                    <w:rPr>
                      <w:rFonts w:ascii="Cambria Math" w:eastAsia="Cambria Math" w:hAnsi="Cambria Math" w:cs="Cambria Math"/>
                      <w:color w:val="000000"/>
                      <w:lang w:val="en-GB"/>
                    </w:rPr>
                    <m:t>k</m:t>
                  </m:r>
                </m:sub>
              </m:sSub>
              <m:sSub>
                <m:sSubPr>
                  <m:ctrlPr>
                    <w:rPr>
                      <w:rFonts w:ascii="Cambria Math" w:eastAsia="Cambria Math" w:hAnsi="Cambria Math" w:cs="Cambria Math"/>
                      <w:color w:val="000000"/>
                      <w:lang w:val="en-GB"/>
                    </w:rPr>
                  </m:ctrlPr>
                </m:sSubPr>
                <m:e>
                  <m:acc>
                    <m:accPr>
                      <m:ctrlPr>
                        <w:rPr>
                          <w:rFonts w:ascii="Cambria Math" w:eastAsia="Cambria Math" w:hAnsi="Cambria Math" w:cs="Cambria Math"/>
                          <w:color w:val="000000"/>
                          <w:lang w:val="en-GB"/>
                        </w:rPr>
                      </m:ctrlPr>
                    </m:accPr>
                    <m:e>
                      <m:r>
                        <w:rPr>
                          <w:rFonts w:ascii="Cambria Math" w:eastAsia="Cambria Math" w:hAnsi="Cambria Math" w:cs="Cambria Math"/>
                          <w:color w:val="000000"/>
                          <w:lang w:val="en-GB"/>
                        </w:rPr>
                        <m:t>β</m:t>
                      </m:r>
                    </m:e>
                  </m:acc>
                </m:e>
                <m:sub>
                  <m:r>
                    <w:rPr>
                      <w:rFonts w:ascii="Cambria Math" w:eastAsia="Cambria Math" w:hAnsi="Cambria Math" w:cs="Cambria Math"/>
                      <w:color w:val="000000"/>
                      <w:lang w:val="en-GB"/>
                    </w:rPr>
                    <m:t>j,k</m:t>
                  </m:r>
                </m:sub>
              </m:sSub>
            </m:e>
          </m:nary>
        </m:oMath>
      </m:oMathPara>
    </w:p>
    <w:p w14:paraId="4FBE7581" w14:textId="77777777" w:rsidR="00707B7A" w:rsidRPr="008C12C7" w:rsidRDefault="00707B7A" w:rsidP="00707B7A">
      <w:pPr>
        <w:pBdr>
          <w:top w:val="nil"/>
          <w:left w:val="nil"/>
          <w:bottom w:val="nil"/>
          <w:right w:val="nil"/>
          <w:between w:val="nil"/>
        </w:pBdr>
        <w:rPr>
          <w:color w:val="000000"/>
          <w:lang w:val="en-GB"/>
        </w:rPr>
      </w:pPr>
      <w:r w:rsidRPr="008C12C7">
        <w:rPr>
          <w:color w:val="000000"/>
          <w:lang w:val="en-GB"/>
        </w:rPr>
        <w:t xml:space="preserve">The score was oriented so that lower values corresponded to lower CRP. By construction, a one-unit </w:t>
      </w:r>
      <w:r>
        <w:rPr>
          <w:color w:val="000000"/>
          <w:lang w:val="en-GB"/>
        </w:rPr>
        <w:t>decrease</w:t>
      </w:r>
      <w:r w:rsidRPr="008C12C7">
        <w:rPr>
          <w:color w:val="000000"/>
          <w:lang w:val="en-GB"/>
        </w:rPr>
        <w:t xml:space="preserve"> in the scaled score corresponds approximately to a one standard deviation </w:t>
      </w:r>
      <w:r>
        <w:rPr>
          <w:color w:val="000000"/>
          <w:lang w:val="en-GB"/>
        </w:rPr>
        <w:t>decrease</w:t>
      </w:r>
      <w:r w:rsidRPr="008C12C7">
        <w:rPr>
          <w:color w:val="000000"/>
          <w:lang w:val="en-GB"/>
        </w:rPr>
        <w:t xml:space="preserve"> in CRP.</w:t>
      </w:r>
    </w:p>
    <w:p w14:paraId="58AEB0C0" w14:textId="6444ECF2" w:rsidR="00707B7A" w:rsidRPr="008C12C7" w:rsidRDefault="00707B7A" w:rsidP="00707B7A">
      <w:pPr>
        <w:pBdr>
          <w:top w:val="nil"/>
          <w:left w:val="nil"/>
          <w:bottom w:val="nil"/>
          <w:right w:val="nil"/>
          <w:between w:val="nil"/>
        </w:pBdr>
        <w:ind w:firstLine="300"/>
        <w:rPr>
          <w:color w:val="000000"/>
          <w:lang w:val="en-GB"/>
        </w:rPr>
      </w:pPr>
      <w:r w:rsidRPr="008C12C7">
        <w:rPr>
          <w:color w:val="000000"/>
          <w:lang w:val="en-GB"/>
        </w:rPr>
        <w:t xml:space="preserve">Standard errors for </w:t>
      </w:r>
      <m:oMath>
        <m:sSubSup>
          <m:sSubSupPr>
            <m:ctrlPr>
              <w:rPr>
                <w:rFonts w:ascii="Cambria Math" w:eastAsia="Cambria Math" w:hAnsi="Cambria Math" w:cs="Cambria Math"/>
                <w:color w:val="000000"/>
                <w:lang w:val="en-GB"/>
              </w:rPr>
            </m:ctrlPr>
          </m:sSubSupPr>
          <m:e>
            <m:acc>
              <m:accPr>
                <m:ctrlPr>
                  <w:rPr>
                    <w:rFonts w:ascii="Cambria Math" w:hAnsi="Cambria Math"/>
                    <w:lang w:val="en-GB"/>
                  </w:rPr>
                </m:ctrlPr>
              </m:accPr>
              <m:e>
                <m:r>
                  <w:rPr>
                    <w:rFonts w:ascii="Cambria Math" w:hAnsi="Cambria Math"/>
                    <w:lang w:val="en-GB"/>
                  </w:rPr>
                  <m:t>β</m:t>
                </m:r>
              </m:e>
            </m:acc>
          </m:e>
          <m:sub>
            <m:r>
              <w:rPr>
                <w:rFonts w:ascii="Cambria Math" w:eastAsia="Cambria Math" w:hAnsi="Cambria Math" w:cs="Cambria Math"/>
                <w:color w:val="000000"/>
                <w:lang w:val="en-GB"/>
              </w:rPr>
              <m:t>j</m:t>
            </m:r>
          </m:sub>
          <m:sup>
            <m:r>
              <w:rPr>
                <w:rFonts w:ascii="Cambria Math" w:eastAsia="Cambria Math" w:hAnsi="Cambria Math" w:cs="Cambria Math"/>
                <w:color w:val="000000"/>
                <w:lang w:val="en-GB"/>
              </w:rPr>
              <m:t>NLRP3 score</m:t>
            </m:r>
          </m:sup>
        </m:sSubSup>
      </m:oMath>
      <w:r w:rsidRPr="008C12C7">
        <w:rPr>
          <w:color w:val="000000"/>
          <w:lang w:val="en-GB"/>
        </w:rPr>
        <w:t xml:space="preserve"> were estimated using the delta method</w:t>
      </w:r>
      <w:r>
        <w:rPr>
          <w:color w:val="000000"/>
          <w:lang w:val="en-GB"/>
        </w:rPr>
        <w:fldChar w:fldCharType="begin"/>
      </w:r>
      <w:r w:rsidR="001865ED">
        <w:rPr>
          <w:color w:val="000000"/>
          <w:lang w:val="en-GB"/>
        </w:rPr>
        <w:instrText xml:space="preserve"> ADDIN ZOTERO_ITEM CSL_CITATION {"citationID":"akLePx1I","properties":{"unsorted":false,"formattedCitation":"\\super 24\\nosupersub{}","plainCitation":"24","noteIndex":0},"citationItems":[{"id":116,"uris":["http://zotero.org/users/12564564/items/UEUCM98P"],"itemData":{"id":116,"type":"article-journal","abstract":"Mediation analysis is commonly used to identify mechanisms and intermediate factors between causes and outcomes. Studies drawing on polygenic scores (PGSs) can readily employ traditional regression-based procedures to assess whether trait M mediates the relationship between the genetic component of outcome Y and outcome Y itself. However, this approach suffers from attenuation bias, as PGSs capture only a (small) part of the genetic variance of a given trait. To overcome this limitation, we developed MA-GREML: a method for Mediation Analysis using Genome-based Restricted Maximum Likelihood (GREML) estimation. Using MA-GREML to assess mediation between genetic factors and traits comes with two main advantages. First, we circumvent the limited predictive accuracy of PGSs that regression-based mediation approaches suffer from. Second, compared to methods employing summary statistics from genome-wide association studies, the individual-level data approach of GREML allows to directly control for confounders of the association between M and Y. In addition to typical GREML parameters (e.g., the genetic correlation), MA-GREML estimates (i) the effect of M on Y, (ii) the direct effect (i.e., the genetic variance of Y that is not mediated by M), and (iii) the indirect effect (i.e., the genetic variance of Y that is mediated by M). MA-GREML also provides standard errors of these estimates and assesses the significance of the indirect effect. We use analytical derivations and simulations to show the validity of our approach under two main assumptions, viz., that M precedes Y and that environmental confounders of the association between M and Y are controlled for. We conclude that MA-GREML is an appropriate tool to assess the mediating role of trait M in the relationship between the genetic component of Y and outcome Y. Using data from the US Health and Retirement Study, we provide evidence that genetic effects on Body Mass Index (BMI), cognitive functioning and self-reported health in later life run partially through educational attainment. For mental health, we do not find significant evidence for an indirect effect through educational attainment. Further analyses show that the additive genetic factors of these four outcomes do partially (cognition and mental health) and fully (BMI and self-reported health) run through an earlier realization of these traits.","container-title":"PLOS Genetics","DOI":"10.1371/journal.pgen.1010638","ISSN":"1553-7404","issue":"2","language":"en","page":"e1010638","title":"The identification of mediating effects using genome-based restricted maximum likelihood estimation","volume":"19","author":[{"family":"Rietveld","given":"Cornelius A."},{"family":"Vlaming","given":"Roland","non-dropping-particle":"de"},{"family":"Slob","given":"Eric A. W."}],"issued":{"date-parts":[["2023",2]]}}}],"schema":"https://github.com/citation-style-language/schema/raw/master/csl-citation.json"} </w:instrText>
      </w:r>
      <w:r>
        <w:rPr>
          <w:color w:val="000000"/>
          <w:lang w:val="en-GB"/>
        </w:rPr>
        <w:fldChar w:fldCharType="separate"/>
      </w:r>
      <w:r w:rsidR="00CC5B78" w:rsidRPr="00CC5B78">
        <w:rPr>
          <w:color w:val="000000"/>
          <w:szCs w:val="24"/>
          <w:vertAlign w:val="superscript"/>
          <w:lang w:val="en-GB"/>
        </w:rPr>
        <w:t>24</w:t>
      </w:r>
      <w:r>
        <w:rPr>
          <w:color w:val="000000"/>
          <w:lang w:val="en-GB"/>
        </w:rPr>
        <w:fldChar w:fldCharType="end"/>
      </w:r>
      <w:r w:rsidRPr="008C12C7">
        <w:rPr>
          <w:color w:val="000000"/>
          <w:lang w:val="en-GB"/>
        </w:rPr>
        <w:t xml:space="preserve">. For each variant, we defined a variance-covariance matrix for the trait-specific effect estimates. Because the CRP, </w:t>
      </w:r>
      <w:proofErr w:type="spellStart"/>
      <w:r w:rsidRPr="008C12C7">
        <w:rPr>
          <w:color w:val="000000"/>
          <w:lang w:val="en-GB"/>
        </w:rPr>
        <w:t>GlycA</w:t>
      </w:r>
      <w:proofErr w:type="spellEnd"/>
      <w:r w:rsidRPr="008C12C7">
        <w:rPr>
          <w:color w:val="000000"/>
          <w:lang w:val="en-GB"/>
        </w:rPr>
        <w:t xml:space="preserve">, and neutrophil count GWAS may include overlapping participants, we used a conservative approach and assumed perfectly correlated sampling errors across these biomarker traits. This assumption inflates standard errors and therefore yields conservative inference. As </w:t>
      </w:r>
      <w:r w:rsidRPr="008C12C7">
        <w:rPr>
          <w:i/>
          <w:iCs/>
          <w:color w:val="000000"/>
          <w:lang w:val="en-GB"/>
        </w:rPr>
        <w:t>NLRP3</w:t>
      </w:r>
      <w:r w:rsidRPr="008C12C7">
        <w:rPr>
          <w:color w:val="000000"/>
          <w:lang w:val="en-GB"/>
        </w:rPr>
        <w:t xml:space="preserve"> expression was measured in a distinct cohort, </w:t>
      </w:r>
      <w:r w:rsidRPr="008C12C7">
        <w:rPr>
          <w:color w:val="000000"/>
          <w:lang w:val="en-GB"/>
        </w:rPr>
        <w:lastRenderedPageBreak/>
        <w:t>e</w:t>
      </w:r>
      <w:r w:rsidR="00CC2DAC">
        <w:rPr>
          <w:color w:val="000000"/>
          <w:lang w:val="en-GB"/>
        </w:rPr>
        <w:t xml:space="preserve">xpression </w:t>
      </w:r>
      <w:r w:rsidR="009C2699" w:rsidRPr="009C2699">
        <w:rPr>
          <w:color w:val="000000"/>
          <w:lang w:val="en-GB"/>
        </w:rPr>
        <w:t>quantitative trait loci</w:t>
      </w:r>
      <w:r w:rsidRPr="008C12C7">
        <w:rPr>
          <w:color w:val="000000"/>
          <w:lang w:val="en-GB"/>
        </w:rPr>
        <w:t xml:space="preserve"> effect estimates were assumed to be independent of the biomarker effect estimates.</w:t>
      </w:r>
    </w:p>
    <w:p w14:paraId="40BF9C41" w14:textId="77777777" w:rsidR="00707B7A" w:rsidRPr="008C12C7" w:rsidRDefault="00707B7A" w:rsidP="00707B7A">
      <w:pPr>
        <w:pBdr>
          <w:top w:val="nil"/>
          <w:left w:val="nil"/>
          <w:bottom w:val="nil"/>
          <w:right w:val="nil"/>
          <w:between w:val="nil"/>
        </w:pBdr>
        <w:ind w:firstLine="300"/>
        <w:rPr>
          <w:color w:val="000000"/>
          <w:lang w:val="en-GB"/>
        </w:rPr>
      </w:pPr>
      <w:r w:rsidRPr="008C12C7">
        <w:rPr>
          <w:color w:val="000000"/>
          <w:lang w:val="en-GB"/>
        </w:rPr>
        <w:t xml:space="preserve">The same procedure was applied at the </w:t>
      </w:r>
      <w:r w:rsidRPr="008C12C7">
        <w:rPr>
          <w:i/>
          <w:iCs/>
          <w:color w:val="000000"/>
          <w:lang w:val="en-GB"/>
        </w:rPr>
        <w:t>IL1RN</w:t>
      </w:r>
      <w:r w:rsidRPr="008C12C7">
        <w:rPr>
          <w:color w:val="000000"/>
          <w:lang w:val="en-GB"/>
        </w:rPr>
        <w:t xml:space="preserve"> locus to construct a genetically proxied interleukin-1 receptor antagonist (IL1Ra) activity score, using </w:t>
      </w:r>
      <w:r w:rsidRPr="008C12C7">
        <w:rPr>
          <w:i/>
          <w:iCs/>
          <w:color w:val="000000"/>
          <w:lang w:val="en-GB"/>
        </w:rPr>
        <w:t>IL1RN</w:t>
      </w:r>
      <w:r w:rsidRPr="008C12C7">
        <w:rPr>
          <w:color w:val="000000"/>
          <w:lang w:val="en-GB"/>
        </w:rPr>
        <w:t xml:space="preserve"> expression and the same blood-based inflammatory traits.</w:t>
      </w:r>
    </w:p>
    <w:p w14:paraId="11DA2FAD" w14:textId="2D67BA24" w:rsidR="00707B7A" w:rsidRPr="008C12C7" w:rsidRDefault="00707B7A" w:rsidP="00707B7A">
      <w:pPr>
        <w:pStyle w:val="Heading2"/>
        <w:rPr>
          <w:lang w:val="en-GB"/>
        </w:rPr>
      </w:pPr>
      <w:bookmarkStart w:id="135" w:name="vp14rsyupqgc" w:colFirst="0" w:colLast="0"/>
      <w:bookmarkStart w:id="136" w:name="_dxk2vo7p1r0" w:colFirst="0" w:colLast="0"/>
      <w:bookmarkEnd w:id="135"/>
      <w:bookmarkEnd w:id="136"/>
      <w:r w:rsidRPr="008C12C7">
        <w:rPr>
          <w:lang w:val="en-GB"/>
        </w:rPr>
        <w:t>1</w:t>
      </w:r>
      <w:r w:rsidR="0006324E">
        <w:rPr>
          <w:lang w:val="en-GB"/>
        </w:rPr>
        <w:t>4</w:t>
      </w:r>
      <w:r w:rsidRPr="008C12C7">
        <w:rPr>
          <w:lang w:val="en-GB"/>
        </w:rPr>
        <w:t xml:space="preserve">.2. </w:t>
      </w:r>
      <w:r w:rsidRPr="008C12C7">
        <w:rPr>
          <w:i/>
          <w:iCs/>
          <w:lang w:val="en-GB"/>
        </w:rPr>
        <w:t>NLRP3</w:t>
      </w:r>
      <w:r w:rsidRPr="008C12C7">
        <w:rPr>
          <w:lang w:val="en-GB"/>
        </w:rPr>
        <w:t xml:space="preserve"> rare variant phenotype processing</w:t>
      </w:r>
    </w:p>
    <w:p w14:paraId="7A63ACF4" w14:textId="23E5C616" w:rsidR="00707B7A" w:rsidRPr="008C12C7" w:rsidRDefault="00707B7A" w:rsidP="00707B7A">
      <w:pPr>
        <w:pBdr>
          <w:top w:val="nil"/>
          <w:left w:val="nil"/>
          <w:bottom w:val="nil"/>
          <w:right w:val="nil"/>
          <w:between w:val="nil"/>
        </w:pBdr>
        <w:rPr>
          <w:color w:val="000000"/>
          <w:lang w:val="en-GB"/>
        </w:rPr>
      </w:pPr>
      <w:r w:rsidRPr="008C12C7">
        <w:rPr>
          <w:color w:val="000000"/>
          <w:lang w:val="en-GB"/>
        </w:rPr>
        <w:t xml:space="preserve">For </w:t>
      </w:r>
      <w:r w:rsidRPr="008C12C7">
        <w:rPr>
          <w:i/>
          <w:iCs/>
          <w:color w:val="000000"/>
          <w:lang w:val="en-GB"/>
        </w:rPr>
        <w:t>NLRP3</w:t>
      </w:r>
      <w:r w:rsidRPr="008C12C7">
        <w:rPr>
          <w:color w:val="000000"/>
          <w:lang w:val="en-GB"/>
        </w:rPr>
        <w:t xml:space="preserve"> </w:t>
      </w:r>
      <w:proofErr w:type="spellStart"/>
      <w:r w:rsidRPr="008C12C7">
        <w:rPr>
          <w:color w:val="000000"/>
          <w:lang w:val="en-GB"/>
        </w:rPr>
        <w:t>pLOF</w:t>
      </w:r>
      <w:proofErr w:type="spellEnd"/>
      <w:r w:rsidRPr="008C12C7">
        <w:rPr>
          <w:color w:val="000000"/>
          <w:lang w:val="en-GB"/>
        </w:rPr>
        <w:t xml:space="preserve"> burden analyses and gain-of-function carrier analyses, CRP levels and </w:t>
      </w:r>
      <w:proofErr w:type="spellStart"/>
      <w:r w:rsidRPr="008C12C7">
        <w:rPr>
          <w:color w:val="000000"/>
          <w:lang w:val="en-GB"/>
        </w:rPr>
        <w:t>GlycA</w:t>
      </w:r>
      <w:proofErr w:type="spellEnd"/>
      <w:r w:rsidRPr="008C12C7">
        <w:rPr>
          <w:color w:val="000000"/>
          <w:lang w:val="en-GB"/>
        </w:rPr>
        <w:t xml:space="preserve"> concentrations were adjusted for age, age</w:t>
      </w:r>
      <w:r w:rsidRPr="008C12C7">
        <w:rPr>
          <w:color w:val="000000"/>
          <w:vertAlign w:val="superscript"/>
          <w:lang w:val="en-GB"/>
        </w:rPr>
        <w:t>2</w:t>
      </w:r>
      <w:r w:rsidRPr="008C12C7">
        <w:rPr>
          <w:color w:val="000000"/>
          <w:lang w:val="en-GB"/>
        </w:rPr>
        <w:t xml:space="preserve">, sex, age </w:t>
      </w:r>
      <w:r w:rsidR="00180857" w:rsidRPr="00180857">
        <w:rPr>
          <w:color w:val="000000"/>
          <w:lang w:val="en-GB"/>
        </w:rPr>
        <w:t>×</w:t>
      </w:r>
      <w:r w:rsidRPr="008C12C7">
        <w:rPr>
          <w:color w:val="000000"/>
          <w:lang w:val="en-GB"/>
        </w:rPr>
        <w:t xml:space="preserve"> sex, age</w:t>
      </w:r>
      <w:r w:rsidRPr="008C12C7">
        <w:rPr>
          <w:color w:val="000000"/>
          <w:vertAlign w:val="superscript"/>
          <w:lang w:val="en-GB"/>
        </w:rPr>
        <w:t>2</w:t>
      </w:r>
      <w:r w:rsidRPr="008C12C7">
        <w:rPr>
          <w:color w:val="000000"/>
          <w:lang w:val="en-GB"/>
        </w:rPr>
        <w:t xml:space="preserve"> </w:t>
      </w:r>
      <w:r w:rsidR="00180857" w:rsidRPr="00180857">
        <w:rPr>
          <w:color w:val="000000"/>
          <w:lang w:val="en-GB"/>
        </w:rPr>
        <w:t>×</w:t>
      </w:r>
      <w:r w:rsidR="00180857">
        <w:rPr>
          <w:color w:val="000000"/>
          <w:lang w:val="en-GB"/>
        </w:rPr>
        <w:t xml:space="preserve"> </w:t>
      </w:r>
      <w:r w:rsidRPr="008C12C7">
        <w:rPr>
          <w:color w:val="000000"/>
          <w:lang w:val="en-GB"/>
        </w:rPr>
        <w:t xml:space="preserve">sex, assessment centre, genotyping array, and the first 20 genetic principal components before inverse-rank normalisation. </w:t>
      </w:r>
      <w:proofErr w:type="spellStart"/>
      <w:r w:rsidRPr="008C12C7">
        <w:rPr>
          <w:color w:val="000000"/>
          <w:lang w:val="en-GB"/>
        </w:rPr>
        <w:t>GlycA</w:t>
      </w:r>
      <w:proofErr w:type="spellEnd"/>
      <w:r w:rsidRPr="008C12C7">
        <w:rPr>
          <w:color w:val="000000"/>
          <w:lang w:val="en-GB"/>
        </w:rPr>
        <w:t xml:space="preserve"> concentrations were additionally adjusted for technical variation using the </w:t>
      </w:r>
      <w:proofErr w:type="spellStart"/>
      <w:r w:rsidRPr="008C12C7">
        <w:rPr>
          <w:color w:val="000000"/>
          <w:lang w:val="en-GB"/>
        </w:rPr>
        <w:t>ukbnmr</w:t>
      </w:r>
      <w:proofErr w:type="spellEnd"/>
      <w:r w:rsidRPr="008C12C7">
        <w:rPr>
          <w:color w:val="000000"/>
          <w:lang w:val="en-GB"/>
        </w:rPr>
        <w:t xml:space="preserve"> package (version 3.3.1)</w:t>
      </w:r>
      <w:r>
        <w:rPr>
          <w:color w:val="000000"/>
          <w:lang w:val="en-GB"/>
        </w:rPr>
        <w:fldChar w:fldCharType="begin"/>
      </w:r>
      <w:r w:rsidR="003902DB">
        <w:rPr>
          <w:color w:val="000000"/>
          <w:lang w:val="en-GB"/>
        </w:rPr>
        <w:instrText xml:space="preserve"> ADDIN ZOTERO_ITEM CSL_CITATION {"citationID":"QpuTwBws","properties":{"unsorted":false,"formattedCitation":"\\super 60\\nosupersub{}","plainCitation":"60","noteIndex":0},"citationItems":[{"id":422,"uris":["http://zotero.org/users/12564564/items/YYS9N4M8"],"itemData":{"id":422,"type":"article-journal","abstract":"Metabolic biomarker data quantified by nuclear magnetic resonance (NMR) spectroscopy in approximately 121,000 UK Biobank participants has recently been released as a community resource, comprising absolute concentrations and ratios of 249 circulating metabolites, lipids, and lipoprotein sub-fractions. Here we identify and characterise additional sources of unwanted technical variation influencing individual biomarkers in the data available to download from UK Biobank. These included sample preparation time, shipping plate well, spectrometer batch effects, drift over time within spectrometer, and outlier shipping plates. We developed a procedure for removing this unwanted technical variation, and demonstrate that it increases signal for genetic and epidemiological studies of the NMR metabolic biomarker data in UK Biobank. We subsequently developed an R package, ukbnmr, which we make available to the wider research community to enhance the utility of the UK Biobank NMR metabolic biomarker data and to facilitate rapid analysis.","container-title":"Scientific Data","DOI":"10.1038/s41597-023-01949-y","ISSN":"2052-4463","issue":"1","journalAbbreviation":"Sci Data","language":"en","license":"2023 The Author(s)","note":"publisher: Nature Publishing Group","page":"64","source":"www.nature.com","title":"Quality control and removal of technical variation of NMR metabolic biomarker data in ~120,000 UK Biobank participants","volume":"10","author":[{"family":"Ritchie","given":"Scott C."},{"family":"Surendran","given":"Praveen"},{"family":"Karthikeyan","given":"Savita"},{"family":"Lambert","given":"Samuel A."},{"family":"Bolton","given":"Thomas"},{"family":"Pennells","given":"Lisa"},{"family":"Danesh","given":"John"},{"family":"Di Angelantonio","given":"Emanuele"},{"family":"Butterworth","given":"Adam S."},{"family":"Inouye","given":"Michael"}],"issued":{"date-parts":[["2023",1,31]]}}}],"schema":"https://github.com/citation-style-language/schema/raw/master/csl-citation.json"} </w:instrText>
      </w:r>
      <w:r>
        <w:rPr>
          <w:color w:val="000000"/>
          <w:lang w:val="en-GB"/>
        </w:rPr>
        <w:fldChar w:fldCharType="separate"/>
      </w:r>
      <w:r w:rsidR="003902DB" w:rsidRPr="003902DB">
        <w:rPr>
          <w:color w:val="000000"/>
          <w:szCs w:val="24"/>
          <w:vertAlign w:val="superscript"/>
          <w:lang w:val="en-GB"/>
        </w:rPr>
        <w:t>60</w:t>
      </w:r>
      <w:r>
        <w:rPr>
          <w:color w:val="000000"/>
          <w:lang w:val="en-GB"/>
        </w:rPr>
        <w:fldChar w:fldCharType="end"/>
      </w:r>
      <w:r w:rsidRPr="008C12C7">
        <w:rPr>
          <w:color w:val="000000"/>
          <w:lang w:val="en-GB"/>
        </w:rPr>
        <w:t xml:space="preserve">. Blood neutrophil count was adjusted following the blood-cell trait processing framework described by Astle </w:t>
      </w:r>
      <w:r w:rsidRPr="008C12C7">
        <w:rPr>
          <w:i/>
          <w:iCs/>
          <w:color w:val="000000"/>
          <w:lang w:val="en-GB"/>
        </w:rPr>
        <w:t>et al.</w:t>
      </w:r>
      <w:r w:rsidRPr="008C12C7">
        <w:rPr>
          <w:color w:val="000000"/>
          <w:lang w:val="en-GB"/>
        </w:rPr>
        <w:t>, including adjustment for technical variation, age- and sex-related effects, height and weight, smoking, alcohol-related covariates, recruitment centre, and genetic principal components before inverse-rank normalisation</w:t>
      </w:r>
      <w:r>
        <w:rPr>
          <w:color w:val="000000"/>
          <w:lang w:val="en-GB"/>
        </w:rPr>
        <w:fldChar w:fldCharType="begin"/>
      </w:r>
      <w:r w:rsidR="001865ED">
        <w:rPr>
          <w:color w:val="000000"/>
          <w:lang w:val="en-GB"/>
        </w:rPr>
        <w:instrText xml:space="preserve"> ADDIN ZOTERO_ITEM CSL_CITATION {"citationID":"wXaOpT1H","properties":{"unsorted":false,"formattedCitation":"\\super 61\\nosupersub{}","plainCitation":"61","noteIndex":0},"citationItems":[{"id":564,"uris":["http://zotero.org/users/12564564/items/PRSJ3Y8F"],"itemData":{"id":564,"type":"article-journal","abstract":"Many common variants have been associated with hematological traits, but identification of causal genes and pathways has proven challenging. We performed a genome-wide association analysis in the UK Biobank and INTERVAL studies, testing 29.5 million genetic variants for association with 36 red cell, white cell, and platelet properties in 173,480 European-ancestry participants. This effort yielded hundreds of low frequency (&lt;5%) and rare (&lt;1%) variants with a strong impact on blood cell phenotypes. Our data highlight general properties of the allelic architecture of complex traits, including the proportion of the heritable component of each blood trait explained by the polygenic signal across different genome regulatory domains. Finally, through Mendelian randomization, we provide evidence of shared genetic pathways linking blood cell indices with complex pathologies, including autoimmune diseases, schizophrenia, and coronary heart disease and evidence suggesting previously reported population associations between blood cell indices and cardiovascular disease may be non-causal.","container-title":"Cell","DOI":"10.1016/j.cell.2016.10.042","ISSN":"1097-4172","issue":"5","journalAbbreviation":"Cell","language":"eng","note":"PMID: 27863252\nPMCID: PMC5300907","page":"1415–1429.e19","source":"PubMed","title":"The Allelic Landscape of Human Blood Cell Trait Variation and Links to Common Complex Disease","volume":"167","author":[{"family":"Astle","given":"William J."},{"family":"Elding","given":"Heather"},{"family":"Jiang","given":"Tao"},{"family":"Allen","given":"Dave"},{"family":"Ruklisa","given":"Dace"},{"family":"Mann","given":"Alice L."},{"family":"Mead","given":"Daniel"},{"family":"Bouman","given":"Heleen"},{"family":"Riveros-Mckay","given":"Fernando"},{"family":"Kostadima","given":"Myrto A."},{"family":"Lambourne","given":"John J."},{"family":"Sivapalaratnam","given":"Suthesh"},{"family":"Downes","given":"Kate"},{"family":"Kundu","given":"Kousik"},{"family":"Bomba","given":"Lorenzo"},{"family":"Berentsen","given":"Kim"},{"family":"Bradley","given":"John R."},{"family":"Daugherty","given":"Louise C."},{"family":"Delaneau","given":"Olivier"},{"family":"Freson","given":"Kathleen"},{"family":"Garner","given":"Stephen F."},{"family":"Grassi","given":"Luigi"},{"family":"Guerrero","given":"Jose"},{"family":"Haimel","given":"Matthias"},{"family":"Janssen-Megens","given":"Eva M."},{"family":"Kaan","given":"Anita"},{"family":"Kamat","given":"Mihir"},{"family":"Kim","given":"Bowon"},{"family":"Mandoli","given":"Amit"},{"family":"Marchini","given":"Jonathan"},{"family":"Martens","given":"Joost H. A."},{"family":"Meacham","given":"Stuart"},{"family":"Megy","given":"Karyn"},{"family":"O'Connell","given":"Jared"},{"family":"Petersen","given":"Romina"},{"family":"Sharifi","given":"Nilofar"},{"family":"Sheard","given":"Simon M."},{"family":"Staley","given":"James R."},{"family":"Tuna","given":"Salih"},{"family":"Ent","given":"Martijn","non-dropping-particle":"van der"},{"family":"Walter","given":"Klaudia"},{"family":"Wang","given":"Shuang-Yin"},{"family":"Wheeler","given":"Eleanor"},{"family":"Wilder","given":"Steven P."},{"family":"Iotchkova","given":"Valentina"},{"family":"Moore","given":"Carmel"},{"family":"Sambrook","given":"Jennifer"},{"family":"Stunnenberg","given":"Hendrik G."},{"family":"Di Angelantonio","given":"Emanuele"},{"family":"Kaptoge","given":"Stephen"},{"family":"Kuijpers","given":"Taco W."},{"family":"Carrillo-de-Santa-Pau","given":"Enrique"},{"family":"Juan","given":"David"},{"family":"Rico","given":"Daniel"},{"family":"Valencia","given":"Alfonso"},{"family":"Chen","given":"Lu"},{"family":"Ge","given":"Bing"},{"family":"Vasquez","given":"Louella"},{"family":"Kwan","given":"Tony"},{"family":"Garrido-Martín","given":"Diego"},{"family":"Watt","given":"Stephen"},{"family":"Yang","given":"Ying"},{"family":"Guigo","given":"Roderic"},{"family":"Beck","given":"Stephan"},{"family":"Paul","given":"Dirk S."},{"family":"Pastinen","given":"Tomi"},{"family":"Bujold","given":"David"},{"family":"Bourque","given":"Guillaume"},{"family":"Frontini","given":"Mattia"},{"family":"Danesh","given":"John"},{"family":"Roberts","given":"David J."},{"family":"Ouwehand","given":"Willem H."},{"family":"Butterworth","given":"Adam S."},{"family":"Soranzo","given":"Nicole"}],"issued":{"date-parts":[["2016",11,17]]}}}],"schema":"https://github.com/citation-style-language/schema/raw/master/csl-citation.json"} </w:instrText>
      </w:r>
      <w:r>
        <w:rPr>
          <w:color w:val="000000"/>
          <w:lang w:val="en-GB"/>
        </w:rPr>
        <w:fldChar w:fldCharType="separate"/>
      </w:r>
      <w:r w:rsidR="003902DB" w:rsidRPr="003902DB">
        <w:rPr>
          <w:color w:val="000000"/>
          <w:szCs w:val="24"/>
          <w:vertAlign w:val="superscript"/>
          <w:lang w:val="en-GB"/>
        </w:rPr>
        <w:t>61</w:t>
      </w:r>
      <w:r>
        <w:rPr>
          <w:color w:val="000000"/>
          <w:lang w:val="en-GB"/>
        </w:rPr>
        <w:fldChar w:fldCharType="end"/>
      </w:r>
      <w:r w:rsidRPr="008C12C7">
        <w:rPr>
          <w:color w:val="000000"/>
          <w:lang w:val="en-GB"/>
        </w:rPr>
        <w:t>.</w:t>
      </w:r>
    </w:p>
    <w:p w14:paraId="5CEEF3D1" w14:textId="6603CD5B" w:rsidR="00707B7A" w:rsidRPr="008C12C7" w:rsidRDefault="00707B7A" w:rsidP="00707B7A">
      <w:pPr>
        <w:pStyle w:val="Heading2"/>
        <w:rPr>
          <w:lang w:val="en-GB"/>
        </w:rPr>
      </w:pPr>
      <w:bookmarkStart w:id="137" w:name="tx38pylthbhp" w:colFirst="0" w:colLast="0"/>
      <w:bookmarkStart w:id="138" w:name="_4z7rjix7jfnx" w:colFirst="0" w:colLast="0"/>
      <w:bookmarkEnd w:id="137"/>
      <w:bookmarkEnd w:id="138"/>
      <w:r w:rsidRPr="008C12C7">
        <w:rPr>
          <w:lang w:val="en-GB"/>
        </w:rPr>
        <w:t>1</w:t>
      </w:r>
      <w:r w:rsidR="0006324E">
        <w:rPr>
          <w:lang w:val="en-GB"/>
        </w:rPr>
        <w:t>4</w:t>
      </w:r>
      <w:r w:rsidRPr="008C12C7">
        <w:rPr>
          <w:lang w:val="en-GB"/>
        </w:rPr>
        <w:t>.3. Proteome-wide multiple-testing correction and over-representation analysis</w:t>
      </w:r>
    </w:p>
    <w:p w14:paraId="560C7769" w14:textId="1BC1EDF9" w:rsidR="00707B7A" w:rsidRPr="008C12C7" w:rsidRDefault="00707B7A" w:rsidP="00707B7A">
      <w:pPr>
        <w:pBdr>
          <w:top w:val="nil"/>
          <w:left w:val="nil"/>
          <w:bottom w:val="nil"/>
          <w:right w:val="nil"/>
          <w:between w:val="nil"/>
        </w:pBdr>
        <w:rPr>
          <w:color w:val="000000"/>
          <w:lang w:val="en-GB"/>
        </w:rPr>
      </w:pPr>
      <w:r w:rsidRPr="008C12C7">
        <w:rPr>
          <w:color w:val="000000"/>
          <w:lang w:val="en-GB"/>
        </w:rPr>
        <w:t xml:space="preserve">To account for correlation between protein measurements, we estimated the effective number of independent protein tests. To do this, protein measurements were first adjusted for age, sex, age </w:t>
      </w:r>
      <w:r w:rsidR="00BF2E0F" w:rsidRPr="00BF2E0F">
        <w:rPr>
          <w:color w:val="000000"/>
          <w:lang w:val="en-GB"/>
        </w:rPr>
        <w:t>×</w:t>
      </w:r>
      <w:r w:rsidRPr="008C12C7">
        <w:rPr>
          <w:color w:val="000000"/>
          <w:lang w:val="en-GB"/>
        </w:rPr>
        <w:t xml:space="preserve"> sex, assessment centre, genotyping batch, </w:t>
      </w:r>
      <w:proofErr w:type="spellStart"/>
      <w:r w:rsidRPr="008C12C7">
        <w:rPr>
          <w:color w:val="000000"/>
          <w:lang w:val="en-GB"/>
        </w:rPr>
        <w:t>Olink</w:t>
      </w:r>
      <w:proofErr w:type="spellEnd"/>
      <w:r w:rsidRPr="008C12C7">
        <w:rPr>
          <w:color w:val="000000"/>
          <w:lang w:val="en-GB"/>
        </w:rPr>
        <w:t xml:space="preserve"> batch, and the first 20 genetic principal components. Pairwise Pearson correlations were then calculated across adjusted protein measurements, and eigenvalue decomposition of the resulting correlation matrix was used to estimate the effective number of independent tests. The effective number of tests was defined as the number of principal components required to explain 95% of the total variance</w:t>
      </w:r>
      <w:r>
        <w:rPr>
          <w:color w:val="000000"/>
          <w:lang w:val="en-GB"/>
        </w:rPr>
        <w:fldChar w:fldCharType="begin"/>
      </w:r>
      <w:r w:rsidR="003902DB">
        <w:rPr>
          <w:color w:val="000000"/>
          <w:lang w:val="en-GB"/>
        </w:rPr>
        <w:instrText xml:space="preserve"> ADDIN ZOTERO_ITEM CSL_CITATION {"citationID":"G2sCxg1s","properties":{"unsorted":false,"formattedCitation":"\\super 40\\nosupersub{}","plainCitation":"40","noteIndex":0},"citationItems":[{"id":74,"uris":["http://zotero.org/users/12564564/items/KGD3TEVL"],"itemData":{"id":74,"type":"article-journal","abstract":"Significance testing, with appropriate multiple testing correction, is currently the most convenient method for summarizing the evidence for association between a disease and a genetic variant.Inadequate statistical power increases not only the probability of missing genuine associations but also the probability that significant associations represent false-positive findings.Statistical power declines rapidly with decreasing allele frequency and effect size, but it can be enhanced by increasing sample size and by selecting appropriate subjects (for example, family history positive cases and 'super normal' controls).Exome sequencing studies can often identify the mutation responsible for a Mendelian disease by filtering out common variants, synonymous variants or variants that do not co-segregate with disease, and then assigning priority to the remaining variants using bioinformatic tools.Adequate statistical power for rare-variant association analyses in complex diseases requires the aggregation of the effects of multiple rare variants within a defined portion of the genome (for example, a set of related genes).Various computational tools are available for calculating the statistical power of genetic studies.","container-title":"Nature Reviews Genetics","DOI":"10.1038/nrg3706","ISSN":"1471-0064","issue":"5","language":"en","license":"2014 Springer Nature Limited","page":"335–346","title":"Statistical power and significance testing in large-scale genetic studies","volume":"15","author":[{"family":"Sham","given":"Pak C."},{"family":"Purcell","given":"Shaun M."}],"issued":{"date-parts":[["2014",5]]}}}],"schema":"https://github.com/citation-style-language/schema/raw/master/csl-citation.json"} </w:instrText>
      </w:r>
      <w:r>
        <w:rPr>
          <w:color w:val="000000"/>
          <w:lang w:val="en-GB"/>
        </w:rPr>
        <w:fldChar w:fldCharType="separate"/>
      </w:r>
      <w:r w:rsidR="003902DB" w:rsidRPr="003902DB">
        <w:rPr>
          <w:color w:val="000000"/>
          <w:szCs w:val="24"/>
          <w:vertAlign w:val="superscript"/>
          <w:lang w:val="en-GB"/>
        </w:rPr>
        <w:t>40</w:t>
      </w:r>
      <w:r>
        <w:rPr>
          <w:color w:val="000000"/>
          <w:lang w:val="en-GB"/>
        </w:rPr>
        <w:fldChar w:fldCharType="end"/>
      </w:r>
      <w:r w:rsidRPr="008C12C7">
        <w:rPr>
          <w:color w:val="000000"/>
          <w:lang w:val="en-GB"/>
        </w:rPr>
        <w:t>. This yielded 1,821 effective tests, corresponding to a significance threshold of</w:t>
      </w:r>
      <w:r w:rsidR="003C25AB" w:rsidRPr="003C25AB">
        <w:t xml:space="preserve"> </w:t>
      </w:r>
      <w:r w:rsidR="003C25AB" w:rsidRPr="003C25AB">
        <w:rPr>
          <w:i/>
          <w:iCs/>
          <w:color w:val="000000"/>
          <w:lang w:val="en-GB"/>
        </w:rPr>
        <w:t>P</w:t>
      </w:r>
      <w:r w:rsidR="003C25AB">
        <w:rPr>
          <w:color w:val="000000"/>
          <w:lang w:val="en-GB"/>
        </w:rPr>
        <w:t xml:space="preserve"> </w:t>
      </w:r>
      <w:r w:rsidR="003C25AB" w:rsidRPr="003C25AB">
        <w:rPr>
          <w:color w:val="000000"/>
          <w:lang w:val="en-GB"/>
        </w:rPr>
        <w:t>&lt;</w:t>
      </w:r>
      <w:r w:rsidR="003C25AB">
        <w:rPr>
          <w:color w:val="000000"/>
          <w:lang w:val="en-GB"/>
        </w:rPr>
        <w:t xml:space="preserve"> </w:t>
      </w:r>
      <w:r w:rsidR="003C25AB" w:rsidRPr="003C25AB">
        <w:rPr>
          <w:color w:val="000000"/>
          <w:lang w:val="en-GB"/>
        </w:rPr>
        <w:t>2.7×10</w:t>
      </w:r>
      <w:r w:rsidR="004F2E26">
        <w:rPr>
          <w:color w:val="000000"/>
          <w:vertAlign w:val="superscript"/>
          <w:lang w:val="en-GB"/>
        </w:rPr>
        <w:t>-5</w:t>
      </w:r>
      <w:r w:rsidRPr="008C12C7">
        <w:rPr>
          <w:color w:val="000000"/>
          <w:lang w:val="en-GB"/>
        </w:rPr>
        <w:t>.</w:t>
      </w:r>
    </w:p>
    <w:p w14:paraId="374DD2DC" w14:textId="1D712B94" w:rsidR="00707B7A" w:rsidRPr="008C12C7" w:rsidRDefault="00707B7A" w:rsidP="00707B7A">
      <w:pPr>
        <w:pBdr>
          <w:top w:val="nil"/>
          <w:left w:val="nil"/>
          <w:bottom w:val="nil"/>
          <w:right w:val="nil"/>
          <w:between w:val="nil"/>
        </w:pBdr>
        <w:ind w:firstLine="300"/>
        <w:rPr>
          <w:color w:val="000000"/>
          <w:lang w:val="en-GB"/>
        </w:rPr>
      </w:pPr>
      <w:r w:rsidRPr="008C12C7">
        <w:rPr>
          <w:color w:val="000000"/>
          <w:lang w:val="en-GB"/>
        </w:rPr>
        <w:t xml:space="preserve">To assess whether proteins altered by lower genetically proxied NLRP3 activity were enriched for specific biological processes, we performed over-representation analysis using </w:t>
      </w:r>
      <w:proofErr w:type="spellStart"/>
      <w:r w:rsidRPr="008C12C7">
        <w:rPr>
          <w:color w:val="000000"/>
          <w:lang w:val="en-GB"/>
        </w:rPr>
        <w:t>clusterProfiler</w:t>
      </w:r>
      <w:proofErr w:type="spellEnd"/>
      <w:r w:rsidRPr="008C12C7">
        <w:rPr>
          <w:color w:val="000000"/>
          <w:lang w:val="en-GB"/>
        </w:rPr>
        <w:t xml:space="preserve"> (version 4.10.1)</w:t>
      </w:r>
      <w:r>
        <w:rPr>
          <w:color w:val="000000"/>
          <w:lang w:val="en-GB"/>
        </w:rPr>
        <w:fldChar w:fldCharType="begin"/>
      </w:r>
      <w:r w:rsidR="003902DB">
        <w:rPr>
          <w:color w:val="000000"/>
          <w:lang w:val="en-GB"/>
        </w:rPr>
        <w:instrText xml:space="preserve"> ADDIN ZOTERO_ITEM CSL_CITATION {"citationID":"IINEljS7","properties":{"unsorted":false,"formattedCitation":"\\super 62\\nosupersub{}","plainCitation":"62","noteIndex":0},"citationItems":[{"id":386,"uris":["http://zotero.org/users/12564564/items/6542NS6L"],"itemData":{"id":386,"type":"article-journal","abstract":"Functional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organisms.","container-title":"The Innovation","DOI":"10.1016/j.xinn.2021.100141","ISSN":"2666-6758","issue":"3","journalAbbreviation":"The Innovation","page":"100141","source":"ScienceDirect","title":"clusterProfiler 4.0: A universal enrichment tool for interpreting omics data","title-short":"clusterProfiler 4.0","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issued":{"date-parts":[["2021",8,28]]}}}],"schema":"https://github.com/citation-style-language/schema/raw/master/csl-citation.json"} </w:instrText>
      </w:r>
      <w:r>
        <w:rPr>
          <w:color w:val="000000"/>
          <w:lang w:val="en-GB"/>
        </w:rPr>
        <w:fldChar w:fldCharType="separate"/>
      </w:r>
      <w:r w:rsidR="003902DB" w:rsidRPr="003902DB">
        <w:rPr>
          <w:color w:val="000000"/>
          <w:szCs w:val="24"/>
          <w:vertAlign w:val="superscript"/>
          <w:lang w:val="en-GB"/>
        </w:rPr>
        <w:t>62</w:t>
      </w:r>
      <w:r>
        <w:rPr>
          <w:color w:val="000000"/>
          <w:lang w:val="en-GB"/>
        </w:rPr>
        <w:fldChar w:fldCharType="end"/>
      </w:r>
      <w:r w:rsidRPr="008C12C7">
        <w:rPr>
          <w:color w:val="000000"/>
          <w:lang w:val="en-GB"/>
        </w:rPr>
        <w:t xml:space="preserve">. </w:t>
      </w:r>
      <w:r w:rsidRPr="002C7C54">
        <w:rPr>
          <w:color w:val="000000"/>
          <w:lang w:val="en-GB"/>
        </w:rPr>
        <w:t>Proteins whose circulating levels were significantly lower or higher with lower genetically proxied NLRP3 activity and passed the multiple-testing threshold were tested separately for enrichment against Gene Ontology Biological Process terms</w:t>
      </w:r>
      <w:r>
        <w:rPr>
          <w:color w:val="000000"/>
          <w:lang w:val="en-GB"/>
        </w:rPr>
        <w:t xml:space="preserve"> </w:t>
      </w:r>
      <w:r w:rsidRPr="008C12C7">
        <w:rPr>
          <w:color w:val="000000"/>
          <w:lang w:val="en-GB"/>
        </w:rPr>
        <w:t xml:space="preserve">obtained using </w:t>
      </w:r>
      <w:proofErr w:type="spellStart"/>
      <w:r w:rsidRPr="008C12C7">
        <w:rPr>
          <w:color w:val="000000"/>
          <w:lang w:val="en-GB"/>
        </w:rPr>
        <w:t>msigdbr</w:t>
      </w:r>
      <w:proofErr w:type="spellEnd"/>
      <w:r w:rsidRPr="008C12C7">
        <w:rPr>
          <w:color w:val="000000"/>
          <w:lang w:val="en-GB"/>
        </w:rPr>
        <w:t xml:space="preserve"> (version 25.1.1)</w:t>
      </w:r>
      <w:r>
        <w:rPr>
          <w:color w:val="000000"/>
          <w:lang w:val="en-GB"/>
        </w:rPr>
        <w:fldChar w:fldCharType="begin"/>
      </w:r>
      <w:r w:rsidR="003902DB">
        <w:rPr>
          <w:color w:val="000000"/>
          <w:lang w:val="en-GB"/>
        </w:rPr>
        <w:instrText xml:space="preserve"> ADDIN ZOTERO_ITEM CSL_CITATION {"citationID":"JKA2axPo","properties":{"unsorted":false,"formattedCitation":"\\super 63\\nosupersub{}","plainCitation":"63","noteIndex":0},"citationItems":[{"id":72,"uris":["http://zotero.org/users/12564564/items/EFJDKMAT"],"itemData":{"id":72,"type":"book","title":"msigdbr: MSigDB Gene Sets for Multiple Organisms in a Tidy Data Format","URL":"https://CRAN.R-project.org/package=msigdbr","author":[{"family":"Dolgalev","given":"Igor"}],"issued":{"date-parts":[["2025"]]}}}],"schema":"https://github.com/citation-style-language/schema/raw/master/csl-citation.json"} </w:instrText>
      </w:r>
      <w:r>
        <w:rPr>
          <w:color w:val="000000"/>
          <w:lang w:val="en-GB"/>
        </w:rPr>
        <w:fldChar w:fldCharType="separate"/>
      </w:r>
      <w:r w:rsidR="003902DB" w:rsidRPr="003902DB">
        <w:rPr>
          <w:color w:val="000000"/>
          <w:szCs w:val="24"/>
          <w:vertAlign w:val="superscript"/>
          <w:lang w:val="en-GB"/>
        </w:rPr>
        <w:t>63</w:t>
      </w:r>
      <w:r>
        <w:rPr>
          <w:color w:val="000000"/>
          <w:lang w:val="en-GB"/>
        </w:rPr>
        <w:fldChar w:fldCharType="end"/>
      </w:r>
      <w:r w:rsidRPr="008C12C7">
        <w:rPr>
          <w:color w:val="000000"/>
          <w:lang w:val="en-GB"/>
        </w:rPr>
        <w:t xml:space="preserve">. The background set comprised all 2,922 tested proteins. </w:t>
      </w:r>
      <w:r w:rsidR="005D38B2" w:rsidRPr="005D38B2">
        <w:rPr>
          <w:i/>
          <w:iCs/>
          <w:color w:val="000000"/>
          <w:lang w:val="en-GB"/>
        </w:rPr>
        <w:t>P</w:t>
      </w:r>
      <w:r w:rsidR="00673D33">
        <w:rPr>
          <w:i/>
          <w:iCs/>
          <w:color w:val="000000"/>
          <w:lang w:val="en-GB"/>
        </w:rPr>
        <w:t xml:space="preserve"> </w:t>
      </w:r>
      <w:r w:rsidRPr="008C12C7">
        <w:rPr>
          <w:color w:val="000000"/>
          <w:lang w:val="en-GB"/>
        </w:rPr>
        <w:t>values were adjusted using the Benjamini-Hochberg method</w:t>
      </w:r>
      <w:r>
        <w:rPr>
          <w:color w:val="000000"/>
          <w:lang w:val="en-GB"/>
        </w:rPr>
        <w:fldChar w:fldCharType="begin"/>
      </w:r>
      <w:r w:rsidR="003902DB">
        <w:rPr>
          <w:color w:val="000000"/>
          <w:lang w:val="en-GB"/>
        </w:rPr>
        <w:instrText xml:space="preserve"> ADDIN ZOTERO_ITEM CSL_CITATION {"citationID":"vYaCNTYv","properties":{"unsorted":false,"formattedCitation":"\\super 64\\nosupersub{}","plainCitation":"64","noteIndex":0},"citationItems":[{"id":70,"uris":["http://zotero.org/users/12564564/items/VAZ6RE3X"],"itemData":{"id":70,"type":"article-journal","abstract":"[The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(Methodological)","ISSN":"00359246","issue":"1","page":"289–300","title":"Controlling the False Discovery Rate: A Practical and Powerful Approach to Multiple Testing","volume":"57","author":[{"family":"Benjamini","given":"Yoav"},{"family":"Hochberg","given":"Yosef"}],"issued":{"date-parts":[["1995"]]}}}],"schema":"https://github.com/citation-style-language/schema/raw/master/csl-citation.json"} </w:instrText>
      </w:r>
      <w:r>
        <w:rPr>
          <w:color w:val="000000"/>
          <w:lang w:val="en-GB"/>
        </w:rPr>
        <w:fldChar w:fldCharType="separate"/>
      </w:r>
      <w:r w:rsidR="003902DB" w:rsidRPr="003902DB">
        <w:rPr>
          <w:color w:val="000000"/>
          <w:szCs w:val="24"/>
          <w:vertAlign w:val="superscript"/>
          <w:lang w:val="en-GB"/>
        </w:rPr>
        <w:t>64</w:t>
      </w:r>
      <w:r>
        <w:rPr>
          <w:color w:val="000000"/>
          <w:lang w:val="en-GB"/>
        </w:rPr>
        <w:fldChar w:fldCharType="end"/>
      </w:r>
      <w:r w:rsidRPr="008C12C7">
        <w:rPr>
          <w:color w:val="000000"/>
          <w:lang w:val="en-GB"/>
        </w:rPr>
        <w:t>.</w:t>
      </w:r>
    </w:p>
    <w:p w14:paraId="3F9F01FC" w14:textId="03E35C82" w:rsidR="00707B7A" w:rsidRPr="008C12C7" w:rsidRDefault="00707B7A" w:rsidP="00707B7A">
      <w:pPr>
        <w:pStyle w:val="Heading2"/>
        <w:rPr>
          <w:lang w:val="en-GB"/>
        </w:rPr>
      </w:pPr>
      <w:r w:rsidRPr="008C12C7">
        <w:rPr>
          <w:lang w:val="en-GB"/>
        </w:rPr>
        <w:lastRenderedPageBreak/>
        <w:t>1</w:t>
      </w:r>
      <w:r w:rsidR="0006324E">
        <w:rPr>
          <w:lang w:val="en-GB"/>
        </w:rPr>
        <w:t>4</w:t>
      </w:r>
      <w:r w:rsidRPr="008C12C7">
        <w:rPr>
          <w:lang w:val="en-GB"/>
        </w:rPr>
        <w:t>.4. Selection of disease indications from clinical trial registr</w:t>
      </w:r>
      <w:r>
        <w:rPr>
          <w:lang w:val="en-GB"/>
        </w:rPr>
        <w:t>ies</w:t>
      </w:r>
    </w:p>
    <w:p w14:paraId="521C0600" w14:textId="77777777" w:rsidR="00707B7A" w:rsidRPr="008C12C7" w:rsidRDefault="00707B7A" w:rsidP="00707B7A">
      <w:pPr>
        <w:pStyle w:val="Heading2"/>
        <w:spacing w:before="0"/>
        <w:rPr>
          <w:b w:val="0"/>
          <w:bCs w:val="0"/>
          <w:color w:val="auto"/>
          <w:sz w:val="22"/>
          <w:szCs w:val="22"/>
          <w:lang w:val="en-GB"/>
        </w:rPr>
      </w:pPr>
      <w:r w:rsidRPr="008C12C7">
        <w:rPr>
          <w:b w:val="0"/>
          <w:bCs w:val="0"/>
          <w:color w:val="auto"/>
          <w:sz w:val="22"/>
          <w:szCs w:val="22"/>
          <w:lang w:val="en-GB"/>
        </w:rPr>
        <w:t>To identify disease indications for which selective NLRP3 inhibitors have entered clinical evaluation, we searched ClinicalTrials.gov, the EU Clinical Trials Register (EudraCT), the EU Clinical Trials Information System (CTIS) and ISRCTN on the 28th of April 2026 using two complementary strategies.</w:t>
      </w:r>
    </w:p>
    <w:p w14:paraId="181F0598" w14:textId="77777777" w:rsidR="00707B7A" w:rsidRPr="008C12C7" w:rsidRDefault="00707B7A" w:rsidP="00707B7A">
      <w:pPr>
        <w:pStyle w:val="Heading2"/>
        <w:spacing w:before="0" w:after="0"/>
        <w:ind w:firstLine="720"/>
        <w:rPr>
          <w:b w:val="0"/>
          <w:bCs w:val="0"/>
          <w:color w:val="auto"/>
          <w:sz w:val="22"/>
          <w:szCs w:val="22"/>
          <w:lang w:val="en-GB"/>
        </w:rPr>
      </w:pPr>
      <w:r w:rsidRPr="008C12C7">
        <w:rPr>
          <w:color w:val="auto"/>
          <w:sz w:val="22"/>
          <w:szCs w:val="22"/>
          <w:lang w:val="en-GB"/>
        </w:rPr>
        <w:t>Search 1 (target-level search):</w:t>
      </w:r>
      <w:r w:rsidRPr="008C12C7">
        <w:rPr>
          <w:b w:val="0"/>
          <w:bCs w:val="0"/>
          <w:color w:val="auto"/>
          <w:sz w:val="22"/>
          <w:szCs w:val="22"/>
          <w:lang w:val="en-GB"/>
        </w:rPr>
        <w:t xml:space="preserve"> Each registry was searched for the term "NLRP3", restricted to interventional studies.</w:t>
      </w:r>
    </w:p>
    <w:p w14:paraId="792658A7" w14:textId="77777777" w:rsidR="00707B7A" w:rsidRPr="008C12C7" w:rsidRDefault="00707B7A" w:rsidP="00707B7A">
      <w:pPr>
        <w:pStyle w:val="Heading2"/>
        <w:spacing w:after="0"/>
        <w:ind w:firstLine="720"/>
        <w:rPr>
          <w:b w:val="0"/>
          <w:bCs w:val="0"/>
          <w:color w:val="auto"/>
          <w:sz w:val="22"/>
          <w:szCs w:val="22"/>
          <w:lang w:val="en-GB"/>
        </w:rPr>
      </w:pPr>
      <w:r w:rsidRPr="008C12C7">
        <w:rPr>
          <w:color w:val="auto"/>
          <w:sz w:val="22"/>
          <w:szCs w:val="22"/>
          <w:lang w:val="en-GB"/>
        </w:rPr>
        <w:t>Search 2 (drug-name search):</w:t>
      </w:r>
      <w:r w:rsidRPr="008C12C7">
        <w:rPr>
          <w:b w:val="0"/>
          <w:bCs w:val="0"/>
          <w:color w:val="auto"/>
          <w:sz w:val="22"/>
          <w:szCs w:val="22"/>
          <w:lang w:val="en-GB"/>
        </w:rPr>
        <w:t xml:space="preserve"> Each registry was searched for the following compound names: </w:t>
      </w:r>
      <w:proofErr w:type="spellStart"/>
      <w:r w:rsidRPr="008C12C7">
        <w:rPr>
          <w:b w:val="0"/>
          <w:bCs w:val="0"/>
          <w:color w:val="auto"/>
          <w:sz w:val="22"/>
          <w:szCs w:val="22"/>
          <w:lang w:val="en-GB"/>
        </w:rPr>
        <w:t>dapansutrile</w:t>
      </w:r>
      <w:proofErr w:type="spellEnd"/>
      <w:r w:rsidRPr="008C12C7">
        <w:rPr>
          <w:b w:val="0"/>
          <w:bCs w:val="0"/>
          <w:color w:val="auto"/>
          <w:sz w:val="22"/>
          <w:szCs w:val="22"/>
          <w:lang w:val="en-GB"/>
        </w:rPr>
        <w:t xml:space="preserve">, OLT1177, DFV890, IFM-2427, </w:t>
      </w:r>
      <w:proofErr w:type="spellStart"/>
      <w:r w:rsidRPr="008C12C7">
        <w:rPr>
          <w:b w:val="0"/>
          <w:bCs w:val="0"/>
          <w:color w:val="auto"/>
          <w:sz w:val="22"/>
          <w:szCs w:val="22"/>
          <w:lang w:val="en-GB"/>
        </w:rPr>
        <w:t>selnoflast</w:t>
      </w:r>
      <w:proofErr w:type="spellEnd"/>
      <w:r w:rsidRPr="008C12C7">
        <w:rPr>
          <w:b w:val="0"/>
          <w:bCs w:val="0"/>
          <w:color w:val="auto"/>
          <w:sz w:val="22"/>
          <w:szCs w:val="22"/>
          <w:lang w:val="en-GB"/>
        </w:rPr>
        <w:t xml:space="preserve">, RO7486967, RG6418, </w:t>
      </w:r>
      <w:proofErr w:type="spellStart"/>
      <w:r w:rsidRPr="008C12C7">
        <w:rPr>
          <w:b w:val="0"/>
          <w:bCs w:val="0"/>
          <w:color w:val="auto"/>
          <w:sz w:val="22"/>
          <w:szCs w:val="22"/>
          <w:lang w:val="en-GB"/>
        </w:rPr>
        <w:t>inzomelid</w:t>
      </w:r>
      <w:proofErr w:type="spellEnd"/>
      <w:r w:rsidRPr="008C12C7">
        <w:rPr>
          <w:b w:val="0"/>
          <w:bCs w:val="0"/>
          <w:color w:val="auto"/>
          <w:sz w:val="22"/>
          <w:szCs w:val="22"/>
          <w:lang w:val="en-GB"/>
        </w:rPr>
        <w:t xml:space="preserve">, IZD174, </w:t>
      </w:r>
      <w:proofErr w:type="spellStart"/>
      <w:r w:rsidRPr="008C12C7">
        <w:rPr>
          <w:b w:val="0"/>
          <w:bCs w:val="0"/>
          <w:color w:val="auto"/>
          <w:sz w:val="22"/>
          <w:szCs w:val="22"/>
          <w:lang w:val="en-GB"/>
        </w:rPr>
        <w:t>somalix</w:t>
      </w:r>
      <w:proofErr w:type="spellEnd"/>
      <w:r w:rsidRPr="008C12C7">
        <w:rPr>
          <w:b w:val="0"/>
          <w:bCs w:val="0"/>
          <w:color w:val="auto"/>
          <w:sz w:val="22"/>
          <w:szCs w:val="22"/>
          <w:lang w:val="en-GB"/>
        </w:rPr>
        <w:t xml:space="preserve">, IZD334, </w:t>
      </w:r>
      <w:proofErr w:type="spellStart"/>
      <w:r w:rsidRPr="008C12C7">
        <w:rPr>
          <w:b w:val="0"/>
          <w:bCs w:val="0"/>
          <w:color w:val="auto"/>
          <w:sz w:val="22"/>
          <w:szCs w:val="22"/>
          <w:lang w:val="en-GB"/>
        </w:rPr>
        <w:t>emlenoflast</w:t>
      </w:r>
      <w:proofErr w:type="spellEnd"/>
      <w:r w:rsidRPr="008C12C7">
        <w:rPr>
          <w:b w:val="0"/>
          <w:bCs w:val="0"/>
          <w:color w:val="auto"/>
          <w:sz w:val="22"/>
          <w:szCs w:val="22"/>
          <w:lang w:val="en-GB"/>
        </w:rPr>
        <w:t xml:space="preserve">, NT-0796, </w:t>
      </w:r>
      <w:proofErr w:type="spellStart"/>
      <w:r>
        <w:rPr>
          <w:b w:val="0"/>
          <w:bCs w:val="0"/>
          <w:color w:val="auto"/>
          <w:sz w:val="22"/>
          <w:szCs w:val="22"/>
          <w:lang w:val="en-GB"/>
        </w:rPr>
        <w:t>r</w:t>
      </w:r>
      <w:r w:rsidRPr="008C12C7">
        <w:rPr>
          <w:b w:val="0"/>
          <w:bCs w:val="0"/>
          <w:color w:val="auto"/>
          <w:sz w:val="22"/>
          <w:szCs w:val="22"/>
          <w:lang w:val="en-GB"/>
        </w:rPr>
        <w:t>uvonoflast</w:t>
      </w:r>
      <w:proofErr w:type="spellEnd"/>
      <w:r w:rsidRPr="008C12C7">
        <w:rPr>
          <w:b w:val="0"/>
          <w:bCs w:val="0"/>
          <w:color w:val="auto"/>
          <w:sz w:val="22"/>
          <w:szCs w:val="22"/>
          <w:lang w:val="en-GB"/>
        </w:rPr>
        <w:t xml:space="preserve">, NT-0249, VTX2735, VTX3232, VENT-02, ZYIL1, </w:t>
      </w:r>
      <w:proofErr w:type="spellStart"/>
      <w:r w:rsidRPr="008C12C7">
        <w:rPr>
          <w:b w:val="0"/>
          <w:bCs w:val="0"/>
          <w:color w:val="auto"/>
          <w:sz w:val="22"/>
          <w:szCs w:val="22"/>
          <w:lang w:val="en-GB"/>
        </w:rPr>
        <w:t>usnoflast</w:t>
      </w:r>
      <w:proofErr w:type="spellEnd"/>
      <w:r w:rsidRPr="008C12C7">
        <w:rPr>
          <w:b w:val="0"/>
          <w:bCs w:val="0"/>
          <w:color w:val="auto"/>
          <w:sz w:val="22"/>
          <w:szCs w:val="22"/>
          <w:lang w:val="en-GB"/>
        </w:rPr>
        <w:t>, ACI-19764, AZD4144, HL-400, JTE-162, JT002, GDC-2394, and MCC950.</w:t>
      </w:r>
    </w:p>
    <w:p w14:paraId="3EBA0436" w14:textId="06FF3BF6" w:rsidR="00707B7A" w:rsidRPr="0006324E" w:rsidRDefault="00707B7A" w:rsidP="0006324E">
      <w:pPr>
        <w:pStyle w:val="Heading2"/>
        <w:ind w:firstLine="720"/>
        <w:rPr>
          <w:color w:val="000000" w:themeColor="text1"/>
          <w:lang w:val="en-GB"/>
        </w:rPr>
        <w:sectPr w:rsidR="00707B7A" w:rsidRPr="0006324E" w:rsidSect="007E7B37">
          <w:footerReference w:type="even" r:id="rId17"/>
          <w:footerReference w:type="default" r:id="rId18"/>
          <w:pgSz w:w="12240" w:h="15840"/>
          <w:pgMar w:top="1440" w:right="1440" w:bottom="1440" w:left="1440" w:header="720" w:footer="720" w:gutter="0"/>
          <w:lnNumType w:countBy="1" w:restart="continuous"/>
          <w:pgNumType w:start="1"/>
          <w:cols w:space="720"/>
          <w:titlePg/>
          <w:docGrid w:linePitch="299"/>
        </w:sectPr>
      </w:pPr>
      <w:r w:rsidRPr="008C12C7">
        <w:rPr>
          <w:b w:val="0"/>
          <w:bCs w:val="0"/>
          <w:color w:val="auto"/>
          <w:sz w:val="22"/>
          <w:szCs w:val="22"/>
          <w:lang w:val="en-GB"/>
        </w:rPr>
        <w:t>Results from both searches were merged and de-duplicated, with trials registered in more than one registry counted once. Each record was screened and a trial was included only if the intervention was a compound designed specifically to inhibit NLRP3. In addition, rheumatoid arthritis was included because a selective NLRP3 inhibitor (MCC950/CP-456773) was previously evaluated in a Phase II trial that was terminated due to off-target hepatotoxicity rather than lack of efficacy</w:t>
      </w:r>
      <w:r>
        <w:rPr>
          <w:b w:val="0"/>
          <w:bCs w:val="0"/>
          <w:color w:val="auto"/>
          <w:sz w:val="22"/>
          <w:szCs w:val="22"/>
          <w:lang w:val="en-GB"/>
        </w:rPr>
        <w:fldChar w:fldCharType="begin"/>
      </w:r>
      <w:r w:rsidR="003902DB">
        <w:rPr>
          <w:b w:val="0"/>
          <w:bCs w:val="0"/>
          <w:color w:val="auto"/>
          <w:sz w:val="22"/>
          <w:szCs w:val="22"/>
          <w:lang w:val="en-GB"/>
        </w:rPr>
        <w:instrText xml:space="preserve"> ADDIN ZOTERO_ITEM CSL_CITATION {"citationID":"8nb8Cefm","properties":{"unsorted":false,"formattedCitation":"\\super 65\\nosupersub{}","plainCitation":"65","noteIndex":0},"citationItems":[{"id":38,"uris":["http://zotero.org/users/12564564/items/6RX7XLC8"],"itemData":{"id":38,"type":"article-journal","abstract":"The inflammasome is a key integration point for innate immunity. As such, targeting this signalling hub has the potential to be useful in numerous autoimmune and metabolic disorders. In this article, Latz and colleagues discuss the progress that has been made towards targeting the inflammasome, highlighting the therapeutic potential of some of these compounds as well as caveats for their use.","container-title":"Nature Reviews Drug Discovery","DOI":"10.1038/nrd.2018.97","ISSN":"1474-1784","issue":"8","language":"en","license":"2018 Springer Nature Limited","page":"588–606","title":"Targeting the NLRP3 inflammasome in inflammatory diseases","volume":"17","author":[{"family":"Mangan","given":"Matthew S. J."},{"family":"Olhava","given":"Edward J."},{"family":"Roush","given":"William R."},{"family":"Seidel","given":"H. Martin"},{"family":"Glick","given":"Gary D."},{"family":"Latz","given":"Eicke"}],"issued":{"date-parts":[["2018",8]]}}}],"schema":"https://github.com/citation-style-language/schema/raw/master/csl-citation.json"} </w:instrText>
      </w:r>
      <w:r>
        <w:rPr>
          <w:b w:val="0"/>
          <w:bCs w:val="0"/>
          <w:color w:val="auto"/>
          <w:sz w:val="22"/>
          <w:szCs w:val="22"/>
          <w:lang w:val="en-GB"/>
        </w:rPr>
        <w:fldChar w:fldCharType="separate"/>
      </w:r>
      <w:r w:rsidR="003902DB" w:rsidRPr="003902DB">
        <w:rPr>
          <w:color w:val="auto"/>
          <w:sz w:val="22"/>
          <w:szCs w:val="24"/>
          <w:vertAlign w:val="superscript"/>
          <w:lang w:val="en-GB"/>
        </w:rPr>
        <w:t>65</w:t>
      </w:r>
      <w:r>
        <w:rPr>
          <w:b w:val="0"/>
          <w:bCs w:val="0"/>
          <w:color w:val="auto"/>
          <w:sz w:val="22"/>
          <w:szCs w:val="22"/>
          <w:lang w:val="en-GB"/>
        </w:rPr>
        <w:fldChar w:fldCharType="end"/>
      </w:r>
      <w:hyperlink w:anchor="l882s0qv1hoh"/>
      <w:r w:rsidRPr="008C12C7">
        <w:rPr>
          <w:b w:val="0"/>
          <w:bCs w:val="0"/>
          <w:sz w:val="22"/>
          <w:szCs w:val="22"/>
          <w:lang w:val="en-GB"/>
        </w:rPr>
        <w:t xml:space="preserve">. The complete list of eligible trials and the disease indications extracted from them are provided in </w:t>
      </w:r>
      <w:bookmarkStart w:id="139" w:name="djd6di213m6o" w:colFirst="0" w:colLast="0"/>
      <w:bookmarkEnd w:id="139"/>
      <w:r w:rsidRPr="00C31E8B">
        <w:rPr>
          <w:b w:val="0"/>
          <w:bCs w:val="0"/>
          <w:color w:val="000000" w:themeColor="text1"/>
          <w:sz w:val="22"/>
          <w:szCs w:val="22"/>
          <w:lang w:val="en-GB"/>
        </w:rPr>
        <w:t>Supplementary Table 16</w:t>
      </w:r>
      <w:r w:rsidRPr="00B808A3">
        <w:rPr>
          <w:b w:val="0"/>
          <w:bCs w:val="0"/>
          <w:color w:val="000000" w:themeColor="text1"/>
          <w:sz w:val="22"/>
          <w:szCs w:val="22"/>
          <w:lang w:val="en-GB"/>
        </w:rPr>
        <w:t>.</w:t>
      </w:r>
    </w:p>
    <w:p w14:paraId="3D1E37DE" w14:textId="342BF4CB" w:rsidR="00E21EC8" w:rsidRPr="008C12C7" w:rsidRDefault="00E21EC8" w:rsidP="00E21EC8">
      <w:pPr>
        <w:pStyle w:val="Heading1"/>
        <w:rPr>
          <w:lang w:val="en-GB"/>
        </w:rPr>
      </w:pPr>
      <w:bookmarkStart w:id="140" w:name="_Hlk241077027"/>
      <w:r w:rsidRPr="008C12C7">
        <w:rPr>
          <w:lang w:val="en-GB"/>
        </w:rPr>
        <w:lastRenderedPageBreak/>
        <w:t>References</w:t>
      </w:r>
    </w:p>
    <w:p w14:paraId="0C6F6396" w14:textId="77777777" w:rsidR="001865ED" w:rsidRPr="001865ED" w:rsidRDefault="008C6629" w:rsidP="001865ED">
      <w:pPr>
        <w:pStyle w:val="Bibliography"/>
        <w:rPr>
          <w:lang w:val="en-GB"/>
        </w:rPr>
      </w:pPr>
      <w:r w:rsidRPr="008C12C7">
        <w:rPr>
          <w:lang w:val="en-GB"/>
        </w:rPr>
        <w:fldChar w:fldCharType="begin"/>
      </w:r>
      <w:r w:rsidR="001865ED">
        <w:rPr>
          <w:lang w:val="en-GB"/>
        </w:rPr>
        <w:instrText xml:space="preserve"> ADDIN ZOTERO_BIBL {"uncited":[],"omitted":[],"custom":[]} CSL_BIBLIOGRAPHY </w:instrText>
      </w:r>
      <w:r w:rsidRPr="008C12C7">
        <w:rPr>
          <w:lang w:val="en-GB"/>
        </w:rPr>
        <w:fldChar w:fldCharType="separate"/>
      </w:r>
      <w:r w:rsidR="001865ED" w:rsidRPr="001865ED">
        <w:rPr>
          <w:lang w:val="en-GB"/>
        </w:rPr>
        <w:t xml:space="preserve">1. </w:t>
      </w:r>
      <w:r w:rsidR="001865ED" w:rsidRPr="001865ED">
        <w:rPr>
          <w:lang w:val="en-GB"/>
        </w:rPr>
        <w:tab/>
      </w:r>
      <w:proofErr w:type="spellStart"/>
      <w:r w:rsidR="001865ED" w:rsidRPr="001865ED">
        <w:rPr>
          <w:lang w:val="en-GB"/>
        </w:rPr>
        <w:t>Ridker</w:t>
      </w:r>
      <w:proofErr w:type="spellEnd"/>
      <w:r w:rsidR="001865ED" w:rsidRPr="001865ED">
        <w:rPr>
          <w:lang w:val="en-GB"/>
        </w:rPr>
        <w:t xml:space="preserve"> PM. Clinician’s Guide to Reducing Inflammation to Reduce Atherothrombotic Risk: JACC Review Topic of the Week. </w:t>
      </w:r>
      <w:r w:rsidR="001865ED" w:rsidRPr="001865ED">
        <w:rPr>
          <w:i/>
          <w:iCs/>
          <w:lang w:val="en-GB"/>
        </w:rPr>
        <w:t xml:space="preserve">J Am Coll </w:t>
      </w:r>
      <w:proofErr w:type="spellStart"/>
      <w:r w:rsidR="001865ED" w:rsidRPr="001865ED">
        <w:rPr>
          <w:i/>
          <w:iCs/>
          <w:lang w:val="en-GB"/>
        </w:rPr>
        <w:t>Cardiol</w:t>
      </w:r>
      <w:proofErr w:type="spellEnd"/>
      <w:r w:rsidR="001865ED" w:rsidRPr="001865ED">
        <w:rPr>
          <w:lang w:val="en-GB"/>
        </w:rPr>
        <w:t xml:space="preserve"> </w:t>
      </w:r>
      <w:proofErr w:type="gramStart"/>
      <w:r w:rsidR="001865ED" w:rsidRPr="001865ED">
        <w:rPr>
          <w:lang w:val="en-GB"/>
        </w:rPr>
        <w:t>2018;</w:t>
      </w:r>
      <w:r w:rsidR="001865ED" w:rsidRPr="001865ED">
        <w:rPr>
          <w:b/>
          <w:bCs/>
          <w:lang w:val="en-GB"/>
        </w:rPr>
        <w:t>72</w:t>
      </w:r>
      <w:r w:rsidR="001865ED" w:rsidRPr="001865ED">
        <w:rPr>
          <w:lang w:val="en-GB"/>
        </w:rPr>
        <w:t>:3320</w:t>
      </w:r>
      <w:proofErr w:type="gramEnd"/>
      <w:r w:rsidR="001865ED" w:rsidRPr="001865ED">
        <w:rPr>
          <w:lang w:val="en-GB"/>
        </w:rPr>
        <w:t xml:space="preserve">–3331. </w:t>
      </w:r>
    </w:p>
    <w:p w14:paraId="284C38D3" w14:textId="77777777" w:rsidR="001865ED" w:rsidRPr="001865ED" w:rsidRDefault="001865ED" w:rsidP="001865ED">
      <w:pPr>
        <w:pStyle w:val="Bibliography"/>
        <w:rPr>
          <w:lang w:val="en-GB"/>
        </w:rPr>
      </w:pPr>
      <w:r w:rsidRPr="001865ED">
        <w:rPr>
          <w:lang w:val="en-GB"/>
        </w:rPr>
        <w:t xml:space="preserve">2. </w:t>
      </w:r>
      <w:r w:rsidRPr="001865ED">
        <w:rPr>
          <w:lang w:val="en-GB"/>
        </w:rPr>
        <w:tab/>
      </w:r>
      <w:proofErr w:type="spellStart"/>
      <w:r w:rsidRPr="001865ED">
        <w:rPr>
          <w:lang w:val="en-GB"/>
        </w:rPr>
        <w:t>Ridker</w:t>
      </w:r>
      <w:proofErr w:type="spellEnd"/>
      <w:r w:rsidRPr="001865ED">
        <w:rPr>
          <w:lang w:val="en-GB"/>
        </w:rPr>
        <w:t xml:space="preserve"> PM, Everett BM, Thuren T, MacFadyen JG, Chang WH, Ballantyne C, et al. </w:t>
      </w:r>
      <w:proofErr w:type="spellStart"/>
      <w:r w:rsidRPr="001865ED">
        <w:rPr>
          <w:lang w:val="en-GB"/>
        </w:rPr>
        <w:t>Antiinflammatory</w:t>
      </w:r>
      <w:proofErr w:type="spellEnd"/>
      <w:r w:rsidRPr="001865ED">
        <w:rPr>
          <w:lang w:val="en-GB"/>
        </w:rPr>
        <w:t xml:space="preserve"> Therapy with Canakinumab for Atherosclerotic Disease. </w:t>
      </w:r>
      <w:r w:rsidRPr="001865ED">
        <w:rPr>
          <w:i/>
          <w:iCs/>
          <w:lang w:val="en-GB"/>
        </w:rPr>
        <w:t>N Engl J Med</w:t>
      </w:r>
      <w:r w:rsidRPr="001865ED">
        <w:rPr>
          <w:lang w:val="en-GB"/>
        </w:rPr>
        <w:t xml:space="preserve"> </w:t>
      </w:r>
      <w:proofErr w:type="gramStart"/>
      <w:r w:rsidRPr="001865ED">
        <w:rPr>
          <w:lang w:val="en-GB"/>
        </w:rPr>
        <w:t>2017;</w:t>
      </w:r>
      <w:r w:rsidRPr="001865ED">
        <w:rPr>
          <w:b/>
          <w:bCs/>
          <w:lang w:val="en-GB"/>
        </w:rPr>
        <w:t>377</w:t>
      </w:r>
      <w:r w:rsidRPr="001865ED">
        <w:rPr>
          <w:lang w:val="en-GB"/>
        </w:rPr>
        <w:t>:1119</w:t>
      </w:r>
      <w:proofErr w:type="gramEnd"/>
      <w:r w:rsidRPr="001865ED">
        <w:rPr>
          <w:lang w:val="en-GB"/>
        </w:rPr>
        <w:t xml:space="preserve">–1131. </w:t>
      </w:r>
    </w:p>
    <w:p w14:paraId="0F2CCD7F" w14:textId="77777777" w:rsidR="001865ED" w:rsidRPr="001865ED" w:rsidRDefault="001865ED" w:rsidP="001865ED">
      <w:pPr>
        <w:pStyle w:val="Bibliography"/>
        <w:rPr>
          <w:lang w:val="en-GB"/>
        </w:rPr>
      </w:pPr>
      <w:r w:rsidRPr="001865ED">
        <w:rPr>
          <w:lang w:val="en-GB"/>
        </w:rPr>
        <w:t xml:space="preserve">3. </w:t>
      </w:r>
      <w:r w:rsidRPr="001865ED">
        <w:rPr>
          <w:lang w:val="en-GB"/>
        </w:rPr>
        <w:tab/>
      </w:r>
      <w:proofErr w:type="spellStart"/>
      <w:r w:rsidRPr="001865ED">
        <w:rPr>
          <w:lang w:val="en-GB"/>
        </w:rPr>
        <w:t>Nidorf</w:t>
      </w:r>
      <w:proofErr w:type="spellEnd"/>
      <w:r w:rsidRPr="001865ED">
        <w:rPr>
          <w:lang w:val="en-GB"/>
        </w:rPr>
        <w:t xml:space="preserve"> SM, </w:t>
      </w:r>
      <w:proofErr w:type="spellStart"/>
      <w:r w:rsidRPr="001865ED">
        <w:rPr>
          <w:lang w:val="en-GB"/>
        </w:rPr>
        <w:t>Fiolet</w:t>
      </w:r>
      <w:proofErr w:type="spellEnd"/>
      <w:r w:rsidRPr="001865ED">
        <w:rPr>
          <w:lang w:val="en-GB"/>
        </w:rPr>
        <w:t xml:space="preserve"> ATL, </w:t>
      </w:r>
      <w:proofErr w:type="spellStart"/>
      <w:r w:rsidRPr="001865ED">
        <w:rPr>
          <w:lang w:val="en-GB"/>
        </w:rPr>
        <w:t>Mosterd</w:t>
      </w:r>
      <w:proofErr w:type="spellEnd"/>
      <w:r w:rsidRPr="001865ED">
        <w:rPr>
          <w:lang w:val="en-GB"/>
        </w:rPr>
        <w:t xml:space="preserve"> A, </w:t>
      </w:r>
      <w:proofErr w:type="spellStart"/>
      <w:r w:rsidRPr="001865ED">
        <w:rPr>
          <w:lang w:val="en-GB"/>
        </w:rPr>
        <w:t>Eikelboom</w:t>
      </w:r>
      <w:proofErr w:type="spellEnd"/>
      <w:r w:rsidRPr="001865ED">
        <w:rPr>
          <w:lang w:val="en-GB"/>
        </w:rPr>
        <w:t xml:space="preserve"> JW, Schut A, </w:t>
      </w:r>
      <w:proofErr w:type="spellStart"/>
      <w:r w:rsidRPr="001865ED">
        <w:rPr>
          <w:lang w:val="en-GB"/>
        </w:rPr>
        <w:t>Opstal</w:t>
      </w:r>
      <w:proofErr w:type="spellEnd"/>
      <w:r w:rsidRPr="001865ED">
        <w:rPr>
          <w:lang w:val="en-GB"/>
        </w:rPr>
        <w:t xml:space="preserve"> TSJ, et al. Colchicine in Patients with Chronic Coronary Disease. </w:t>
      </w:r>
      <w:r w:rsidRPr="001865ED">
        <w:rPr>
          <w:i/>
          <w:iCs/>
          <w:lang w:val="en-GB"/>
        </w:rPr>
        <w:t>N Engl J Med</w:t>
      </w:r>
      <w:r w:rsidRPr="001865ED">
        <w:rPr>
          <w:lang w:val="en-GB"/>
        </w:rPr>
        <w:t xml:space="preserve"> </w:t>
      </w:r>
      <w:proofErr w:type="gramStart"/>
      <w:r w:rsidRPr="001865ED">
        <w:rPr>
          <w:lang w:val="en-GB"/>
        </w:rPr>
        <w:t>2020;</w:t>
      </w:r>
      <w:r w:rsidRPr="001865ED">
        <w:rPr>
          <w:b/>
          <w:bCs/>
          <w:lang w:val="en-GB"/>
        </w:rPr>
        <w:t>383</w:t>
      </w:r>
      <w:r w:rsidRPr="001865ED">
        <w:rPr>
          <w:lang w:val="en-GB"/>
        </w:rPr>
        <w:t>:1838</w:t>
      </w:r>
      <w:proofErr w:type="gramEnd"/>
      <w:r w:rsidRPr="001865ED">
        <w:rPr>
          <w:lang w:val="en-GB"/>
        </w:rPr>
        <w:t xml:space="preserve">–1847. </w:t>
      </w:r>
    </w:p>
    <w:p w14:paraId="44D4489E" w14:textId="77777777" w:rsidR="001865ED" w:rsidRPr="001865ED" w:rsidRDefault="001865ED" w:rsidP="001865ED">
      <w:pPr>
        <w:pStyle w:val="Bibliography"/>
        <w:rPr>
          <w:lang w:val="en-GB"/>
        </w:rPr>
      </w:pPr>
      <w:r w:rsidRPr="001865ED">
        <w:rPr>
          <w:lang w:val="en-GB"/>
        </w:rPr>
        <w:t xml:space="preserve">4. </w:t>
      </w:r>
      <w:r w:rsidRPr="001865ED">
        <w:rPr>
          <w:lang w:val="en-GB"/>
        </w:rPr>
        <w:tab/>
        <w:t xml:space="preserve">Jolly SS, </w:t>
      </w:r>
      <w:proofErr w:type="spellStart"/>
      <w:r w:rsidRPr="001865ED">
        <w:rPr>
          <w:lang w:val="en-GB"/>
        </w:rPr>
        <w:t>d’Entremont</w:t>
      </w:r>
      <w:proofErr w:type="spellEnd"/>
      <w:r w:rsidRPr="001865ED">
        <w:rPr>
          <w:lang w:val="en-GB"/>
        </w:rPr>
        <w:t xml:space="preserve"> M-A, Lee SF, Mian R, Tyrwhitt J, </w:t>
      </w:r>
      <w:proofErr w:type="spellStart"/>
      <w:r w:rsidRPr="001865ED">
        <w:rPr>
          <w:lang w:val="en-GB"/>
        </w:rPr>
        <w:t>Kedev</w:t>
      </w:r>
      <w:proofErr w:type="spellEnd"/>
      <w:r w:rsidRPr="001865ED">
        <w:rPr>
          <w:lang w:val="en-GB"/>
        </w:rPr>
        <w:t xml:space="preserve"> S, et al. Colchicine in Acute Myocardial Infarction. </w:t>
      </w:r>
      <w:r w:rsidRPr="001865ED">
        <w:rPr>
          <w:i/>
          <w:iCs/>
          <w:lang w:val="en-GB"/>
        </w:rPr>
        <w:t>N Engl J Med</w:t>
      </w:r>
      <w:r w:rsidRPr="001865ED">
        <w:rPr>
          <w:lang w:val="en-GB"/>
        </w:rPr>
        <w:t xml:space="preserve"> </w:t>
      </w:r>
      <w:proofErr w:type="gramStart"/>
      <w:r w:rsidRPr="001865ED">
        <w:rPr>
          <w:lang w:val="en-GB"/>
        </w:rPr>
        <w:t>2025;</w:t>
      </w:r>
      <w:r w:rsidRPr="001865ED">
        <w:rPr>
          <w:b/>
          <w:bCs/>
          <w:lang w:val="en-GB"/>
        </w:rPr>
        <w:t>392</w:t>
      </w:r>
      <w:r w:rsidRPr="001865ED">
        <w:rPr>
          <w:lang w:val="en-GB"/>
        </w:rPr>
        <w:t>:633</w:t>
      </w:r>
      <w:proofErr w:type="gramEnd"/>
      <w:r w:rsidRPr="001865ED">
        <w:rPr>
          <w:lang w:val="en-GB"/>
        </w:rPr>
        <w:t xml:space="preserve">–642. </w:t>
      </w:r>
    </w:p>
    <w:p w14:paraId="1EF2BA2E" w14:textId="77777777" w:rsidR="001865ED" w:rsidRPr="001865ED" w:rsidRDefault="001865ED" w:rsidP="001865ED">
      <w:pPr>
        <w:pStyle w:val="Bibliography"/>
        <w:rPr>
          <w:lang w:val="en-GB"/>
        </w:rPr>
      </w:pPr>
      <w:r w:rsidRPr="001865ED">
        <w:rPr>
          <w:lang w:val="en-GB"/>
        </w:rPr>
        <w:t xml:space="preserve">5. </w:t>
      </w:r>
      <w:r w:rsidRPr="001865ED">
        <w:rPr>
          <w:lang w:val="en-GB"/>
        </w:rPr>
        <w:tab/>
        <w:t xml:space="preserve">Yao Z, Blaha MJ, Zahid S. Preparing for the Full ZEUS Results and the Unfinished Question of IL-6 Inhibition. </w:t>
      </w:r>
      <w:r w:rsidRPr="001865ED">
        <w:rPr>
          <w:i/>
          <w:iCs/>
          <w:lang w:val="en-GB"/>
        </w:rPr>
        <w:t xml:space="preserve">Am J Prev </w:t>
      </w:r>
      <w:proofErr w:type="spellStart"/>
      <w:r w:rsidRPr="001865ED">
        <w:rPr>
          <w:i/>
          <w:iCs/>
          <w:lang w:val="en-GB"/>
        </w:rPr>
        <w:t>Cardiol</w:t>
      </w:r>
      <w:proofErr w:type="spellEnd"/>
      <w:r w:rsidRPr="001865ED">
        <w:rPr>
          <w:lang w:val="en-GB"/>
        </w:rPr>
        <w:t xml:space="preserve"> 2026:101799. </w:t>
      </w:r>
    </w:p>
    <w:p w14:paraId="60DD35F3" w14:textId="77777777" w:rsidR="001865ED" w:rsidRPr="001865ED" w:rsidRDefault="001865ED" w:rsidP="001865ED">
      <w:pPr>
        <w:pStyle w:val="Bibliography"/>
        <w:rPr>
          <w:lang w:val="en-GB"/>
        </w:rPr>
      </w:pPr>
      <w:r w:rsidRPr="001865ED">
        <w:rPr>
          <w:lang w:val="en-GB"/>
        </w:rPr>
        <w:t xml:space="preserve">6. </w:t>
      </w:r>
      <w:r w:rsidRPr="001865ED">
        <w:rPr>
          <w:lang w:val="en-GB"/>
        </w:rPr>
        <w:tab/>
        <w:t xml:space="preserve">Swanson KV, Deng M, Ting JP-Y. The NLRP3 inflammasome: molecular activation and regulation to therapeutics. </w:t>
      </w:r>
      <w:r w:rsidRPr="001865ED">
        <w:rPr>
          <w:i/>
          <w:iCs/>
          <w:lang w:val="en-GB"/>
        </w:rPr>
        <w:t>Nat Rev Immunol</w:t>
      </w:r>
      <w:r w:rsidRPr="001865ED">
        <w:rPr>
          <w:lang w:val="en-GB"/>
        </w:rPr>
        <w:t xml:space="preserve"> </w:t>
      </w:r>
      <w:proofErr w:type="gramStart"/>
      <w:r w:rsidRPr="001865ED">
        <w:rPr>
          <w:lang w:val="en-GB"/>
        </w:rPr>
        <w:t>2019;</w:t>
      </w:r>
      <w:r w:rsidRPr="001865ED">
        <w:rPr>
          <w:b/>
          <w:bCs/>
          <w:lang w:val="en-GB"/>
        </w:rPr>
        <w:t>19</w:t>
      </w:r>
      <w:r w:rsidRPr="001865ED">
        <w:rPr>
          <w:lang w:val="en-GB"/>
        </w:rPr>
        <w:t>:477</w:t>
      </w:r>
      <w:proofErr w:type="gramEnd"/>
      <w:r w:rsidRPr="001865ED">
        <w:rPr>
          <w:lang w:val="en-GB"/>
        </w:rPr>
        <w:t xml:space="preserve">–489. </w:t>
      </w:r>
    </w:p>
    <w:p w14:paraId="216B90CF" w14:textId="77777777" w:rsidR="001865ED" w:rsidRPr="001865ED" w:rsidRDefault="001865ED" w:rsidP="001865ED">
      <w:pPr>
        <w:pStyle w:val="Bibliography"/>
        <w:rPr>
          <w:lang w:val="en-GB"/>
        </w:rPr>
      </w:pPr>
      <w:r w:rsidRPr="001865ED">
        <w:rPr>
          <w:lang w:val="en-GB"/>
        </w:rPr>
        <w:t xml:space="preserve">7. </w:t>
      </w:r>
      <w:r w:rsidRPr="001865ED">
        <w:rPr>
          <w:lang w:val="en-GB"/>
        </w:rPr>
        <w:tab/>
        <w:t xml:space="preserve">Lee J-K, Kim S-H, Lewis EC, Azam T, Reznikov LL, </w:t>
      </w:r>
      <w:proofErr w:type="spellStart"/>
      <w:r w:rsidRPr="001865ED">
        <w:rPr>
          <w:lang w:val="en-GB"/>
        </w:rPr>
        <w:t>Dinarello</w:t>
      </w:r>
      <w:proofErr w:type="spellEnd"/>
      <w:r w:rsidRPr="001865ED">
        <w:rPr>
          <w:lang w:val="en-GB"/>
        </w:rPr>
        <w:t xml:space="preserve"> CA. Differences in </w:t>
      </w:r>
      <w:proofErr w:type="spellStart"/>
      <w:r w:rsidRPr="001865ED">
        <w:rPr>
          <w:lang w:val="en-GB"/>
        </w:rPr>
        <w:t>signaling</w:t>
      </w:r>
      <w:proofErr w:type="spellEnd"/>
      <w:r w:rsidRPr="001865ED">
        <w:rPr>
          <w:lang w:val="en-GB"/>
        </w:rPr>
        <w:t xml:space="preserve"> pathways by IL-1β and IL-18. </w:t>
      </w:r>
      <w:r w:rsidRPr="001865ED">
        <w:rPr>
          <w:i/>
          <w:iCs/>
          <w:lang w:val="en-GB"/>
        </w:rPr>
        <w:t xml:space="preserve">Proc Natl </w:t>
      </w:r>
      <w:proofErr w:type="spellStart"/>
      <w:r w:rsidRPr="001865ED">
        <w:rPr>
          <w:i/>
          <w:iCs/>
          <w:lang w:val="en-GB"/>
        </w:rPr>
        <w:t>Acad</w:t>
      </w:r>
      <w:proofErr w:type="spellEnd"/>
      <w:r w:rsidRPr="001865ED">
        <w:rPr>
          <w:i/>
          <w:iCs/>
          <w:lang w:val="en-GB"/>
        </w:rPr>
        <w:t xml:space="preserve"> Sci U S A</w:t>
      </w:r>
      <w:r w:rsidRPr="001865ED">
        <w:rPr>
          <w:lang w:val="en-GB"/>
        </w:rPr>
        <w:t xml:space="preserve"> </w:t>
      </w:r>
      <w:proofErr w:type="gramStart"/>
      <w:r w:rsidRPr="001865ED">
        <w:rPr>
          <w:lang w:val="en-GB"/>
        </w:rPr>
        <w:t>2004;</w:t>
      </w:r>
      <w:r w:rsidRPr="001865ED">
        <w:rPr>
          <w:b/>
          <w:bCs/>
          <w:lang w:val="en-GB"/>
        </w:rPr>
        <w:t>101</w:t>
      </w:r>
      <w:r w:rsidRPr="001865ED">
        <w:rPr>
          <w:lang w:val="en-GB"/>
        </w:rPr>
        <w:t>:8815</w:t>
      </w:r>
      <w:proofErr w:type="gramEnd"/>
      <w:r w:rsidRPr="001865ED">
        <w:rPr>
          <w:lang w:val="en-GB"/>
        </w:rPr>
        <w:t xml:space="preserve">–8820. </w:t>
      </w:r>
    </w:p>
    <w:p w14:paraId="369F0D65" w14:textId="77777777" w:rsidR="001865ED" w:rsidRPr="001865ED" w:rsidRDefault="001865ED" w:rsidP="001865ED">
      <w:pPr>
        <w:pStyle w:val="Bibliography"/>
        <w:rPr>
          <w:lang w:val="en-GB"/>
        </w:rPr>
      </w:pPr>
      <w:r w:rsidRPr="001865ED">
        <w:rPr>
          <w:lang w:val="en-GB"/>
        </w:rPr>
        <w:t xml:space="preserve">8. </w:t>
      </w:r>
      <w:r w:rsidRPr="001865ED">
        <w:rPr>
          <w:lang w:val="en-GB"/>
        </w:rPr>
        <w:tab/>
        <w:t xml:space="preserve">Bartlett DB, Connelly MA, </w:t>
      </w:r>
      <w:proofErr w:type="spellStart"/>
      <w:r w:rsidRPr="001865ED">
        <w:rPr>
          <w:lang w:val="en-GB"/>
        </w:rPr>
        <w:t>AbouAssi</w:t>
      </w:r>
      <w:proofErr w:type="spellEnd"/>
      <w:r w:rsidRPr="001865ED">
        <w:rPr>
          <w:lang w:val="en-GB"/>
        </w:rPr>
        <w:t xml:space="preserve"> H, Bateman LA, Tune KN, Huebner JL, et al. A novel inflammatory biomarker, </w:t>
      </w:r>
      <w:proofErr w:type="spellStart"/>
      <w:r w:rsidRPr="001865ED">
        <w:rPr>
          <w:lang w:val="en-GB"/>
        </w:rPr>
        <w:t>GlycA</w:t>
      </w:r>
      <w:proofErr w:type="spellEnd"/>
      <w:r w:rsidRPr="001865ED">
        <w:rPr>
          <w:lang w:val="en-GB"/>
        </w:rPr>
        <w:t xml:space="preserve">, associates with disease activity in rheumatoid arthritis and cardio-metabolic risk in BMI-matched controls. </w:t>
      </w:r>
      <w:r w:rsidRPr="001865ED">
        <w:rPr>
          <w:i/>
          <w:iCs/>
          <w:lang w:val="en-GB"/>
        </w:rPr>
        <w:t>Arthritis Res Ther</w:t>
      </w:r>
      <w:r w:rsidRPr="001865ED">
        <w:rPr>
          <w:lang w:val="en-GB"/>
        </w:rPr>
        <w:t xml:space="preserve"> </w:t>
      </w:r>
      <w:proofErr w:type="gramStart"/>
      <w:r w:rsidRPr="001865ED">
        <w:rPr>
          <w:lang w:val="en-GB"/>
        </w:rPr>
        <w:t>2016;</w:t>
      </w:r>
      <w:r w:rsidRPr="001865ED">
        <w:rPr>
          <w:b/>
          <w:bCs/>
          <w:lang w:val="en-GB"/>
        </w:rPr>
        <w:t>18</w:t>
      </w:r>
      <w:r w:rsidRPr="001865ED">
        <w:rPr>
          <w:lang w:val="en-GB"/>
        </w:rPr>
        <w:t>:86</w:t>
      </w:r>
      <w:proofErr w:type="gramEnd"/>
      <w:r w:rsidRPr="001865ED">
        <w:rPr>
          <w:lang w:val="en-GB"/>
        </w:rPr>
        <w:t xml:space="preserve">. </w:t>
      </w:r>
    </w:p>
    <w:p w14:paraId="0ED1BE60" w14:textId="77777777" w:rsidR="001865ED" w:rsidRPr="001865ED" w:rsidRDefault="001865ED" w:rsidP="001865ED">
      <w:pPr>
        <w:pStyle w:val="Bibliography"/>
        <w:rPr>
          <w:lang w:val="de-DE"/>
        </w:rPr>
      </w:pPr>
      <w:r w:rsidRPr="001865ED">
        <w:rPr>
          <w:lang w:val="en-GB"/>
        </w:rPr>
        <w:t xml:space="preserve">9. </w:t>
      </w:r>
      <w:r w:rsidRPr="001865ED">
        <w:rPr>
          <w:lang w:val="en-GB"/>
        </w:rPr>
        <w:tab/>
        <w:t xml:space="preserve">Sreejit G, </w:t>
      </w:r>
      <w:proofErr w:type="spellStart"/>
      <w:r w:rsidRPr="001865ED">
        <w:rPr>
          <w:lang w:val="en-GB"/>
        </w:rPr>
        <w:t>Nooti</w:t>
      </w:r>
      <w:proofErr w:type="spellEnd"/>
      <w:r w:rsidRPr="001865ED">
        <w:rPr>
          <w:lang w:val="en-GB"/>
        </w:rPr>
        <w:t xml:space="preserve"> SK, Jaggers RM, Athmanathan B, Ho Park K, Al-Sharea A, et al. Retention of the NLRP3 Inflammasome-Primed Neutrophils in the Bone Marrow Is Essential for Myocardial Infarction-Induced Granulopoiesis. </w:t>
      </w:r>
      <w:proofErr w:type="spellStart"/>
      <w:r w:rsidRPr="001865ED">
        <w:rPr>
          <w:i/>
          <w:iCs/>
          <w:lang w:val="de-DE"/>
        </w:rPr>
        <w:t>Circulation</w:t>
      </w:r>
      <w:proofErr w:type="spellEnd"/>
      <w:r w:rsidRPr="001865ED">
        <w:rPr>
          <w:lang w:val="de-DE"/>
        </w:rPr>
        <w:t xml:space="preserve"> </w:t>
      </w:r>
      <w:proofErr w:type="gramStart"/>
      <w:r w:rsidRPr="001865ED">
        <w:rPr>
          <w:lang w:val="de-DE"/>
        </w:rPr>
        <w:t>2022;</w:t>
      </w:r>
      <w:r w:rsidRPr="001865ED">
        <w:rPr>
          <w:b/>
          <w:bCs/>
          <w:lang w:val="de-DE"/>
        </w:rPr>
        <w:t>145</w:t>
      </w:r>
      <w:r w:rsidRPr="001865ED">
        <w:rPr>
          <w:lang w:val="de-DE"/>
        </w:rPr>
        <w:t>:31</w:t>
      </w:r>
      <w:proofErr w:type="gramEnd"/>
      <w:r w:rsidRPr="001865ED">
        <w:rPr>
          <w:lang w:val="de-DE"/>
        </w:rPr>
        <w:t xml:space="preserve">–44. </w:t>
      </w:r>
    </w:p>
    <w:p w14:paraId="1F8124D2" w14:textId="77777777" w:rsidR="001865ED" w:rsidRPr="001865ED" w:rsidRDefault="001865ED" w:rsidP="001865ED">
      <w:pPr>
        <w:pStyle w:val="Bibliography"/>
        <w:rPr>
          <w:lang w:val="en-GB"/>
        </w:rPr>
      </w:pPr>
      <w:r w:rsidRPr="001865ED">
        <w:rPr>
          <w:lang w:val="de-DE"/>
        </w:rPr>
        <w:t xml:space="preserve">10. </w:t>
      </w:r>
      <w:r w:rsidRPr="001865ED">
        <w:rPr>
          <w:lang w:val="de-DE"/>
        </w:rPr>
        <w:tab/>
        <w:t xml:space="preserve">van der </w:t>
      </w:r>
      <w:proofErr w:type="spellStart"/>
      <w:r w:rsidRPr="001865ED">
        <w:rPr>
          <w:lang w:val="de-DE"/>
        </w:rPr>
        <w:t>Heijden</w:t>
      </w:r>
      <w:proofErr w:type="spellEnd"/>
      <w:r w:rsidRPr="001865ED">
        <w:rPr>
          <w:lang w:val="de-DE"/>
        </w:rPr>
        <w:t xml:space="preserve"> T, Kritikou E, Venema W, van Duijn J, van Santbrink PJ, </w:t>
      </w:r>
      <w:proofErr w:type="spellStart"/>
      <w:r w:rsidRPr="001865ED">
        <w:rPr>
          <w:lang w:val="de-DE"/>
        </w:rPr>
        <w:t>Slütter</w:t>
      </w:r>
      <w:proofErr w:type="spellEnd"/>
      <w:r w:rsidRPr="001865ED">
        <w:rPr>
          <w:lang w:val="de-DE"/>
        </w:rPr>
        <w:t xml:space="preserve"> B, et al. </w:t>
      </w:r>
      <w:r w:rsidRPr="001865ED">
        <w:rPr>
          <w:lang w:val="en-GB"/>
        </w:rPr>
        <w:t xml:space="preserve">NLRP3 Inflammasome Inhibition by MCC950 Reduces Atherosclerotic Lesion Development in Apolipoprotein E–Deficient Mice—Brief Report. </w:t>
      </w:r>
      <w:proofErr w:type="spellStart"/>
      <w:r w:rsidRPr="001865ED">
        <w:rPr>
          <w:i/>
          <w:iCs/>
          <w:lang w:val="en-GB"/>
        </w:rPr>
        <w:t>Arterioscler</w:t>
      </w:r>
      <w:proofErr w:type="spellEnd"/>
      <w:r w:rsidRPr="001865ED">
        <w:rPr>
          <w:i/>
          <w:iCs/>
          <w:lang w:val="en-GB"/>
        </w:rPr>
        <w:t xml:space="preserve"> </w:t>
      </w:r>
      <w:proofErr w:type="spellStart"/>
      <w:r w:rsidRPr="001865ED">
        <w:rPr>
          <w:i/>
          <w:iCs/>
          <w:lang w:val="en-GB"/>
        </w:rPr>
        <w:t>Thromb</w:t>
      </w:r>
      <w:proofErr w:type="spellEnd"/>
      <w:r w:rsidRPr="001865ED">
        <w:rPr>
          <w:i/>
          <w:iCs/>
          <w:lang w:val="en-GB"/>
        </w:rPr>
        <w:t xml:space="preserve"> </w:t>
      </w:r>
      <w:proofErr w:type="spellStart"/>
      <w:r w:rsidRPr="001865ED">
        <w:rPr>
          <w:i/>
          <w:iCs/>
          <w:lang w:val="en-GB"/>
        </w:rPr>
        <w:t>Vasc</w:t>
      </w:r>
      <w:proofErr w:type="spellEnd"/>
      <w:r w:rsidRPr="001865ED">
        <w:rPr>
          <w:i/>
          <w:iCs/>
          <w:lang w:val="en-GB"/>
        </w:rPr>
        <w:t xml:space="preserve"> </w:t>
      </w:r>
      <w:proofErr w:type="spellStart"/>
      <w:r w:rsidRPr="001865ED">
        <w:rPr>
          <w:i/>
          <w:iCs/>
          <w:lang w:val="en-GB"/>
        </w:rPr>
        <w:t>Biol</w:t>
      </w:r>
      <w:proofErr w:type="spellEnd"/>
      <w:r w:rsidRPr="001865ED">
        <w:rPr>
          <w:lang w:val="en-GB"/>
        </w:rPr>
        <w:t xml:space="preserve"> </w:t>
      </w:r>
      <w:proofErr w:type="gramStart"/>
      <w:r w:rsidRPr="001865ED">
        <w:rPr>
          <w:lang w:val="en-GB"/>
        </w:rPr>
        <w:t>2017;</w:t>
      </w:r>
      <w:r w:rsidRPr="001865ED">
        <w:rPr>
          <w:b/>
          <w:bCs/>
          <w:lang w:val="en-GB"/>
        </w:rPr>
        <w:t>37</w:t>
      </w:r>
      <w:r w:rsidRPr="001865ED">
        <w:rPr>
          <w:lang w:val="en-GB"/>
        </w:rPr>
        <w:t>:1457</w:t>
      </w:r>
      <w:proofErr w:type="gramEnd"/>
      <w:r w:rsidRPr="001865ED">
        <w:rPr>
          <w:lang w:val="en-GB"/>
        </w:rPr>
        <w:t xml:space="preserve">–1461. </w:t>
      </w:r>
    </w:p>
    <w:p w14:paraId="386E4BC1" w14:textId="77777777" w:rsidR="001865ED" w:rsidRPr="001865ED" w:rsidRDefault="001865ED" w:rsidP="001865ED">
      <w:pPr>
        <w:pStyle w:val="Bibliography"/>
        <w:rPr>
          <w:lang w:val="en-GB"/>
        </w:rPr>
      </w:pPr>
      <w:r w:rsidRPr="001865ED">
        <w:rPr>
          <w:lang w:val="en-GB"/>
        </w:rPr>
        <w:t xml:space="preserve">11. </w:t>
      </w:r>
      <w:r w:rsidRPr="001865ED">
        <w:rPr>
          <w:lang w:val="en-GB"/>
        </w:rPr>
        <w:tab/>
        <w:t xml:space="preserve">Jiang Y, Qiang Z, Liu Y, Zhu L, Xiao L, Du Z, et al. Diverse functions of NLRP3 inflammasome in </w:t>
      </w:r>
      <w:proofErr w:type="spellStart"/>
      <w:r w:rsidRPr="001865ED">
        <w:rPr>
          <w:lang w:val="en-GB"/>
        </w:rPr>
        <w:t>PANoptosis</w:t>
      </w:r>
      <w:proofErr w:type="spellEnd"/>
      <w:r w:rsidRPr="001865ED">
        <w:rPr>
          <w:lang w:val="en-GB"/>
        </w:rPr>
        <w:t xml:space="preserve"> and diseases. </w:t>
      </w:r>
      <w:r w:rsidRPr="001865ED">
        <w:rPr>
          <w:i/>
          <w:iCs/>
          <w:lang w:val="en-GB"/>
        </w:rPr>
        <w:t xml:space="preserve">Cell Death </w:t>
      </w:r>
      <w:proofErr w:type="spellStart"/>
      <w:r w:rsidRPr="001865ED">
        <w:rPr>
          <w:i/>
          <w:iCs/>
          <w:lang w:val="en-GB"/>
        </w:rPr>
        <w:t>Discov</w:t>
      </w:r>
      <w:proofErr w:type="spellEnd"/>
      <w:r w:rsidRPr="001865ED">
        <w:rPr>
          <w:lang w:val="en-GB"/>
        </w:rPr>
        <w:t xml:space="preserve"> </w:t>
      </w:r>
      <w:proofErr w:type="gramStart"/>
      <w:r w:rsidRPr="001865ED">
        <w:rPr>
          <w:lang w:val="en-GB"/>
        </w:rPr>
        <w:t>2025;</w:t>
      </w:r>
      <w:r w:rsidRPr="001865ED">
        <w:rPr>
          <w:b/>
          <w:bCs/>
          <w:lang w:val="en-GB"/>
        </w:rPr>
        <w:t>11</w:t>
      </w:r>
      <w:r w:rsidRPr="001865ED">
        <w:rPr>
          <w:lang w:val="en-GB"/>
        </w:rPr>
        <w:t>:389</w:t>
      </w:r>
      <w:proofErr w:type="gramEnd"/>
      <w:r w:rsidRPr="001865ED">
        <w:rPr>
          <w:lang w:val="en-GB"/>
        </w:rPr>
        <w:t xml:space="preserve">. </w:t>
      </w:r>
    </w:p>
    <w:p w14:paraId="7A5CFF2E" w14:textId="77777777" w:rsidR="001865ED" w:rsidRPr="001865ED" w:rsidRDefault="001865ED" w:rsidP="001865ED">
      <w:pPr>
        <w:pStyle w:val="Bibliography"/>
        <w:rPr>
          <w:lang w:val="en-GB"/>
        </w:rPr>
      </w:pPr>
      <w:r w:rsidRPr="001865ED">
        <w:rPr>
          <w:lang w:val="en-GB"/>
        </w:rPr>
        <w:t xml:space="preserve">12. </w:t>
      </w:r>
      <w:r w:rsidRPr="001865ED">
        <w:rPr>
          <w:lang w:val="en-GB"/>
        </w:rPr>
        <w:tab/>
        <w:t xml:space="preserve">Ference BA, Robinson JG, Brook RD, Catapano AL, Chapman MJ, Neff DR, et al. Variation in PCSK9 and HMGCR and Risk of Cardiovascular Disease and Diabetes. </w:t>
      </w:r>
      <w:r w:rsidRPr="001865ED">
        <w:rPr>
          <w:i/>
          <w:iCs/>
          <w:lang w:val="en-GB"/>
        </w:rPr>
        <w:t>N Engl J Med</w:t>
      </w:r>
      <w:r w:rsidRPr="001865ED">
        <w:rPr>
          <w:lang w:val="en-GB"/>
        </w:rPr>
        <w:t xml:space="preserve"> </w:t>
      </w:r>
      <w:proofErr w:type="gramStart"/>
      <w:r w:rsidRPr="001865ED">
        <w:rPr>
          <w:lang w:val="en-GB"/>
        </w:rPr>
        <w:t>2016;</w:t>
      </w:r>
      <w:r w:rsidRPr="001865ED">
        <w:rPr>
          <w:b/>
          <w:bCs/>
          <w:lang w:val="en-GB"/>
        </w:rPr>
        <w:t>375</w:t>
      </w:r>
      <w:r w:rsidRPr="001865ED">
        <w:rPr>
          <w:lang w:val="en-GB"/>
        </w:rPr>
        <w:t>:2144</w:t>
      </w:r>
      <w:proofErr w:type="gramEnd"/>
      <w:r w:rsidRPr="001865ED">
        <w:rPr>
          <w:lang w:val="en-GB"/>
        </w:rPr>
        <w:t xml:space="preserve">–2153. </w:t>
      </w:r>
    </w:p>
    <w:p w14:paraId="5CB68045" w14:textId="77777777" w:rsidR="001865ED" w:rsidRPr="001865ED" w:rsidRDefault="001865ED" w:rsidP="001865ED">
      <w:pPr>
        <w:pStyle w:val="Bibliography"/>
        <w:rPr>
          <w:lang w:val="en-GB"/>
        </w:rPr>
      </w:pPr>
      <w:r w:rsidRPr="001865ED">
        <w:rPr>
          <w:lang w:val="en-GB"/>
        </w:rPr>
        <w:t xml:space="preserve">13. </w:t>
      </w:r>
      <w:r w:rsidRPr="001865ED">
        <w:rPr>
          <w:lang w:val="en-GB"/>
        </w:rPr>
        <w:tab/>
        <w:t xml:space="preserve">Gregson JM, Freitag DF, Surendran P, </w:t>
      </w:r>
      <w:proofErr w:type="spellStart"/>
      <w:r w:rsidRPr="001865ED">
        <w:rPr>
          <w:lang w:val="en-GB"/>
        </w:rPr>
        <w:t>Stitziel</w:t>
      </w:r>
      <w:proofErr w:type="spellEnd"/>
      <w:r w:rsidRPr="001865ED">
        <w:rPr>
          <w:lang w:val="en-GB"/>
        </w:rPr>
        <w:t xml:space="preserve"> NO, Chowdhury R, Burgess S, et al. Genetic invalidation of Lp-PLA2 as a therapeutic target: Large-scale study of five functional Lp-PLA2-lowering alleles. </w:t>
      </w:r>
      <w:proofErr w:type="spellStart"/>
      <w:r w:rsidRPr="001865ED">
        <w:rPr>
          <w:i/>
          <w:iCs/>
          <w:lang w:val="en-GB"/>
        </w:rPr>
        <w:t>Eur</w:t>
      </w:r>
      <w:proofErr w:type="spellEnd"/>
      <w:r w:rsidRPr="001865ED">
        <w:rPr>
          <w:i/>
          <w:iCs/>
          <w:lang w:val="en-GB"/>
        </w:rPr>
        <w:t xml:space="preserve"> J Prev </w:t>
      </w:r>
      <w:proofErr w:type="spellStart"/>
      <w:r w:rsidRPr="001865ED">
        <w:rPr>
          <w:i/>
          <w:iCs/>
          <w:lang w:val="en-GB"/>
        </w:rPr>
        <w:t>Cardiol</w:t>
      </w:r>
      <w:proofErr w:type="spellEnd"/>
      <w:r w:rsidRPr="001865ED">
        <w:rPr>
          <w:lang w:val="en-GB"/>
        </w:rPr>
        <w:t xml:space="preserve"> </w:t>
      </w:r>
      <w:proofErr w:type="gramStart"/>
      <w:r w:rsidRPr="001865ED">
        <w:rPr>
          <w:lang w:val="en-GB"/>
        </w:rPr>
        <w:t>2017;</w:t>
      </w:r>
      <w:r w:rsidRPr="001865ED">
        <w:rPr>
          <w:b/>
          <w:bCs/>
          <w:lang w:val="en-GB"/>
        </w:rPr>
        <w:t>24</w:t>
      </w:r>
      <w:r w:rsidRPr="001865ED">
        <w:rPr>
          <w:lang w:val="en-GB"/>
        </w:rPr>
        <w:t>:492</w:t>
      </w:r>
      <w:proofErr w:type="gramEnd"/>
      <w:r w:rsidRPr="001865ED">
        <w:rPr>
          <w:lang w:val="en-GB"/>
        </w:rPr>
        <w:t xml:space="preserve">–504. </w:t>
      </w:r>
    </w:p>
    <w:p w14:paraId="6063BAF2" w14:textId="77777777" w:rsidR="001865ED" w:rsidRPr="001865ED" w:rsidRDefault="001865ED" w:rsidP="001865ED">
      <w:pPr>
        <w:pStyle w:val="Bibliography"/>
        <w:rPr>
          <w:lang w:val="en-GB"/>
        </w:rPr>
      </w:pPr>
      <w:r w:rsidRPr="001865ED">
        <w:rPr>
          <w:lang w:val="en-GB"/>
        </w:rPr>
        <w:t xml:space="preserve">14. </w:t>
      </w:r>
      <w:r w:rsidRPr="001865ED">
        <w:rPr>
          <w:lang w:val="en-GB"/>
        </w:rPr>
        <w:tab/>
        <w:t xml:space="preserve">Said S, </w:t>
      </w:r>
      <w:proofErr w:type="spellStart"/>
      <w:r w:rsidRPr="001865ED">
        <w:rPr>
          <w:lang w:val="en-GB"/>
        </w:rPr>
        <w:t>Pazoki</w:t>
      </w:r>
      <w:proofErr w:type="spellEnd"/>
      <w:r w:rsidRPr="001865ED">
        <w:rPr>
          <w:lang w:val="en-GB"/>
        </w:rPr>
        <w:t xml:space="preserve"> R, Karhunen V, Võsa U, </w:t>
      </w:r>
      <w:proofErr w:type="spellStart"/>
      <w:r w:rsidRPr="001865ED">
        <w:rPr>
          <w:lang w:val="en-GB"/>
        </w:rPr>
        <w:t>Ligthart</w:t>
      </w:r>
      <w:proofErr w:type="spellEnd"/>
      <w:r w:rsidRPr="001865ED">
        <w:rPr>
          <w:lang w:val="en-GB"/>
        </w:rPr>
        <w:t xml:space="preserve"> S, </w:t>
      </w:r>
      <w:proofErr w:type="spellStart"/>
      <w:r w:rsidRPr="001865ED">
        <w:rPr>
          <w:lang w:val="en-GB"/>
        </w:rPr>
        <w:t>Bodinier</w:t>
      </w:r>
      <w:proofErr w:type="spellEnd"/>
      <w:r w:rsidRPr="001865ED">
        <w:rPr>
          <w:lang w:val="en-GB"/>
        </w:rPr>
        <w:t xml:space="preserve"> B, et al. Genetic analysis of over half a million people </w:t>
      </w:r>
      <w:proofErr w:type="gramStart"/>
      <w:r w:rsidRPr="001865ED">
        <w:rPr>
          <w:lang w:val="en-GB"/>
        </w:rPr>
        <w:t>characterises</w:t>
      </w:r>
      <w:proofErr w:type="gramEnd"/>
      <w:r w:rsidRPr="001865ED">
        <w:rPr>
          <w:lang w:val="en-GB"/>
        </w:rPr>
        <w:t xml:space="preserve"> C-reactive protein loci. </w:t>
      </w:r>
      <w:r w:rsidRPr="001865ED">
        <w:rPr>
          <w:i/>
          <w:iCs/>
          <w:lang w:val="en-GB"/>
        </w:rPr>
        <w:t>Nat Commun</w:t>
      </w:r>
      <w:r w:rsidRPr="001865ED">
        <w:rPr>
          <w:lang w:val="en-GB"/>
        </w:rPr>
        <w:t xml:space="preserve"> </w:t>
      </w:r>
      <w:proofErr w:type="gramStart"/>
      <w:r w:rsidRPr="001865ED">
        <w:rPr>
          <w:lang w:val="en-GB"/>
        </w:rPr>
        <w:t>2022;</w:t>
      </w:r>
      <w:r w:rsidRPr="001865ED">
        <w:rPr>
          <w:b/>
          <w:bCs/>
          <w:lang w:val="en-GB"/>
        </w:rPr>
        <w:t>13</w:t>
      </w:r>
      <w:r w:rsidRPr="001865ED">
        <w:rPr>
          <w:lang w:val="en-GB"/>
        </w:rPr>
        <w:t>:2198</w:t>
      </w:r>
      <w:proofErr w:type="gramEnd"/>
      <w:r w:rsidRPr="001865ED">
        <w:rPr>
          <w:lang w:val="en-GB"/>
        </w:rPr>
        <w:t xml:space="preserve">. </w:t>
      </w:r>
    </w:p>
    <w:p w14:paraId="6D07B49F" w14:textId="77777777" w:rsidR="001865ED" w:rsidRPr="001865ED" w:rsidRDefault="001865ED" w:rsidP="001865ED">
      <w:pPr>
        <w:pStyle w:val="Bibliography"/>
        <w:rPr>
          <w:lang w:val="en-GB"/>
        </w:rPr>
      </w:pPr>
      <w:r w:rsidRPr="001865ED">
        <w:rPr>
          <w:lang w:val="en-GB"/>
        </w:rPr>
        <w:lastRenderedPageBreak/>
        <w:t xml:space="preserve">15. </w:t>
      </w:r>
      <w:r w:rsidRPr="001865ED">
        <w:rPr>
          <w:lang w:val="en-GB"/>
        </w:rPr>
        <w:tab/>
      </w:r>
      <w:proofErr w:type="spellStart"/>
      <w:r w:rsidRPr="001865ED">
        <w:rPr>
          <w:lang w:val="en-GB"/>
        </w:rPr>
        <w:t>Zoodsma</w:t>
      </w:r>
      <w:proofErr w:type="spellEnd"/>
      <w:r w:rsidRPr="001865ED">
        <w:rPr>
          <w:lang w:val="en-GB"/>
        </w:rPr>
        <w:t xml:space="preserve"> M, </w:t>
      </w:r>
      <w:proofErr w:type="spellStart"/>
      <w:r w:rsidRPr="001865ED">
        <w:rPr>
          <w:lang w:val="en-GB"/>
        </w:rPr>
        <w:t>Beuchel</w:t>
      </w:r>
      <w:proofErr w:type="spellEnd"/>
      <w:r w:rsidRPr="001865ED">
        <w:rPr>
          <w:lang w:val="en-GB"/>
        </w:rPr>
        <w:t xml:space="preserve"> C, Yasmeen S, </w:t>
      </w:r>
      <w:proofErr w:type="spellStart"/>
      <w:r w:rsidRPr="001865ED">
        <w:rPr>
          <w:lang w:val="en-GB"/>
        </w:rPr>
        <w:t>Kohleick</w:t>
      </w:r>
      <w:proofErr w:type="spellEnd"/>
      <w:r w:rsidRPr="001865ED">
        <w:rPr>
          <w:lang w:val="en-GB"/>
        </w:rPr>
        <w:t xml:space="preserve"> L, Nepal A, </w:t>
      </w:r>
      <w:proofErr w:type="spellStart"/>
      <w:r w:rsidRPr="001865ED">
        <w:rPr>
          <w:lang w:val="en-GB"/>
        </w:rPr>
        <w:t>Koprulu</w:t>
      </w:r>
      <w:proofErr w:type="spellEnd"/>
      <w:r w:rsidRPr="001865ED">
        <w:rPr>
          <w:lang w:val="en-GB"/>
        </w:rPr>
        <w:t xml:space="preserve"> M, et al. A genetic map of human metabolism across the allele frequency spectrum. </w:t>
      </w:r>
      <w:r w:rsidRPr="001865ED">
        <w:rPr>
          <w:i/>
          <w:iCs/>
          <w:lang w:val="en-GB"/>
        </w:rPr>
        <w:t>Nat Genet</w:t>
      </w:r>
      <w:r w:rsidRPr="001865ED">
        <w:rPr>
          <w:lang w:val="en-GB"/>
        </w:rPr>
        <w:t xml:space="preserve"> </w:t>
      </w:r>
      <w:proofErr w:type="gramStart"/>
      <w:r w:rsidRPr="001865ED">
        <w:rPr>
          <w:lang w:val="en-GB"/>
        </w:rPr>
        <w:t>2025;</w:t>
      </w:r>
      <w:r w:rsidRPr="001865ED">
        <w:rPr>
          <w:b/>
          <w:bCs/>
          <w:lang w:val="en-GB"/>
        </w:rPr>
        <w:t>57</w:t>
      </w:r>
      <w:r w:rsidRPr="001865ED">
        <w:rPr>
          <w:lang w:val="en-GB"/>
        </w:rPr>
        <w:t>:2445</w:t>
      </w:r>
      <w:proofErr w:type="gramEnd"/>
      <w:r w:rsidRPr="001865ED">
        <w:rPr>
          <w:lang w:val="en-GB"/>
        </w:rPr>
        <w:t xml:space="preserve">–2455. </w:t>
      </w:r>
    </w:p>
    <w:p w14:paraId="5BA92861" w14:textId="77777777" w:rsidR="001865ED" w:rsidRPr="001865ED" w:rsidRDefault="001865ED" w:rsidP="001865ED">
      <w:pPr>
        <w:pStyle w:val="Bibliography"/>
        <w:rPr>
          <w:lang w:val="en-GB"/>
        </w:rPr>
      </w:pPr>
      <w:r w:rsidRPr="001865ED">
        <w:rPr>
          <w:lang w:val="en-GB"/>
        </w:rPr>
        <w:t xml:space="preserve">16. </w:t>
      </w:r>
      <w:r w:rsidRPr="001865ED">
        <w:rPr>
          <w:lang w:val="en-GB"/>
        </w:rPr>
        <w:tab/>
        <w:t xml:space="preserve">Chen M-H, Raffield LM, Mousas A, </w:t>
      </w:r>
      <w:proofErr w:type="spellStart"/>
      <w:r w:rsidRPr="001865ED">
        <w:rPr>
          <w:lang w:val="en-GB"/>
        </w:rPr>
        <w:t>Sakaue</w:t>
      </w:r>
      <w:proofErr w:type="spellEnd"/>
      <w:r w:rsidRPr="001865ED">
        <w:rPr>
          <w:lang w:val="en-GB"/>
        </w:rPr>
        <w:t xml:space="preserve"> S, Huffman JE, Moscati A, et al. Trans-ethnic and Ancestry-Specific Blood-Cell Genetics in 746,667 Individuals from 5 Global Populations. </w:t>
      </w:r>
      <w:r w:rsidRPr="001865ED">
        <w:rPr>
          <w:i/>
          <w:iCs/>
          <w:lang w:val="en-GB"/>
        </w:rPr>
        <w:t>Cell</w:t>
      </w:r>
      <w:r w:rsidRPr="001865ED">
        <w:rPr>
          <w:lang w:val="en-GB"/>
        </w:rPr>
        <w:t xml:space="preserve"> </w:t>
      </w:r>
      <w:proofErr w:type="gramStart"/>
      <w:r w:rsidRPr="001865ED">
        <w:rPr>
          <w:lang w:val="en-GB"/>
        </w:rPr>
        <w:t>2020;</w:t>
      </w:r>
      <w:r w:rsidRPr="001865ED">
        <w:rPr>
          <w:b/>
          <w:bCs/>
          <w:lang w:val="en-GB"/>
        </w:rPr>
        <w:t>182</w:t>
      </w:r>
      <w:r w:rsidRPr="001865ED">
        <w:rPr>
          <w:lang w:val="en-GB"/>
        </w:rPr>
        <w:t>:1198</w:t>
      </w:r>
      <w:proofErr w:type="gramEnd"/>
      <w:r w:rsidRPr="001865ED">
        <w:rPr>
          <w:lang w:val="en-GB"/>
        </w:rPr>
        <w:t xml:space="preserve">-1213.e14. </w:t>
      </w:r>
    </w:p>
    <w:p w14:paraId="037EEB62" w14:textId="77777777" w:rsidR="001865ED" w:rsidRPr="001865ED" w:rsidRDefault="001865ED" w:rsidP="001865ED">
      <w:pPr>
        <w:pStyle w:val="Bibliography"/>
        <w:rPr>
          <w:lang w:val="en-GB"/>
        </w:rPr>
      </w:pPr>
      <w:r w:rsidRPr="001865ED">
        <w:rPr>
          <w:lang w:val="en-GB"/>
        </w:rPr>
        <w:t xml:space="preserve">17. </w:t>
      </w:r>
      <w:r w:rsidRPr="001865ED">
        <w:rPr>
          <w:lang w:val="en-GB"/>
        </w:rPr>
        <w:tab/>
      </w:r>
      <w:proofErr w:type="spellStart"/>
      <w:r w:rsidRPr="001865ED">
        <w:rPr>
          <w:lang w:val="en-GB"/>
        </w:rPr>
        <w:t>Tokolyi</w:t>
      </w:r>
      <w:proofErr w:type="spellEnd"/>
      <w:r w:rsidRPr="001865ED">
        <w:rPr>
          <w:lang w:val="en-GB"/>
        </w:rPr>
        <w:t xml:space="preserve"> A, Persyn E, Nath AP, Burnham KL, Marten J, </w:t>
      </w:r>
      <w:proofErr w:type="spellStart"/>
      <w:r w:rsidRPr="001865ED">
        <w:rPr>
          <w:lang w:val="en-GB"/>
        </w:rPr>
        <w:t>Vanderstichele</w:t>
      </w:r>
      <w:proofErr w:type="spellEnd"/>
      <w:r w:rsidRPr="001865ED">
        <w:rPr>
          <w:lang w:val="en-GB"/>
        </w:rPr>
        <w:t xml:space="preserve"> T, et al. The contribution of genetic determinants of blood gene expression and splicing to molecular phenotypes and health outcomes. </w:t>
      </w:r>
      <w:r w:rsidRPr="001865ED">
        <w:rPr>
          <w:i/>
          <w:iCs/>
          <w:lang w:val="en-GB"/>
        </w:rPr>
        <w:t>Nat Genet</w:t>
      </w:r>
      <w:r w:rsidRPr="001865ED">
        <w:rPr>
          <w:lang w:val="en-GB"/>
        </w:rPr>
        <w:t xml:space="preserve"> </w:t>
      </w:r>
      <w:proofErr w:type="gramStart"/>
      <w:r w:rsidRPr="001865ED">
        <w:rPr>
          <w:lang w:val="en-GB"/>
        </w:rPr>
        <w:t>2025;</w:t>
      </w:r>
      <w:r w:rsidRPr="001865ED">
        <w:rPr>
          <w:b/>
          <w:bCs/>
          <w:lang w:val="en-GB"/>
        </w:rPr>
        <w:t>57</w:t>
      </w:r>
      <w:r w:rsidRPr="001865ED">
        <w:rPr>
          <w:lang w:val="en-GB"/>
        </w:rPr>
        <w:t>:616</w:t>
      </w:r>
      <w:proofErr w:type="gramEnd"/>
      <w:r w:rsidRPr="001865ED">
        <w:rPr>
          <w:lang w:val="en-GB"/>
        </w:rPr>
        <w:t xml:space="preserve">–625. </w:t>
      </w:r>
    </w:p>
    <w:p w14:paraId="3718AF6C" w14:textId="77777777" w:rsidR="001865ED" w:rsidRPr="001865ED" w:rsidRDefault="001865ED" w:rsidP="001865ED">
      <w:pPr>
        <w:pStyle w:val="Bibliography"/>
        <w:rPr>
          <w:lang w:val="de-DE"/>
        </w:rPr>
      </w:pPr>
      <w:r w:rsidRPr="001865ED">
        <w:rPr>
          <w:lang w:val="en-GB"/>
        </w:rPr>
        <w:t xml:space="preserve">18. </w:t>
      </w:r>
      <w:r w:rsidRPr="001865ED">
        <w:rPr>
          <w:lang w:val="en-GB"/>
        </w:rPr>
        <w:tab/>
        <w:t xml:space="preserve">Sun BB, Chiou J, Traylor M, Benner C, Hsu Y-H, Richardson TG, et al. Plasma proteomic associations with genetics and health in the UK Biobank. </w:t>
      </w:r>
      <w:r w:rsidRPr="001865ED">
        <w:rPr>
          <w:i/>
          <w:iCs/>
          <w:lang w:val="de-DE"/>
        </w:rPr>
        <w:t>Nature</w:t>
      </w:r>
      <w:r w:rsidRPr="001865ED">
        <w:rPr>
          <w:lang w:val="de-DE"/>
        </w:rPr>
        <w:t xml:space="preserve"> </w:t>
      </w:r>
      <w:proofErr w:type="gramStart"/>
      <w:r w:rsidRPr="001865ED">
        <w:rPr>
          <w:lang w:val="de-DE"/>
        </w:rPr>
        <w:t>2023;</w:t>
      </w:r>
      <w:r w:rsidRPr="001865ED">
        <w:rPr>
          <w:b/>
          <w:bCs/>
          <w:lang w:val="de-DE"/>
        </w:rPr>
        <w:t>622</w:t>
      </w:r>
      <w:r w:rsidRPr="001865ED">
        <w:rPr>
          <w:lang w:val="de-DE"/>
        </w:rPr>
        <w:t>:329</w:t>
      </w:r>
      <w:proofErr w:type="gramEnd"/>
      <w:r w:rsidRPr="001865ED">
        <w:rPr>
          <w:lang w:val="de-DE"/>
        </w:rPr>
        <w:t xml:space="preserve">–338. </w:t>
      </w:r>
    </w:p>
    <w:p w14:paraId="490E8B24" w14:textId="77777777" w:rsidR="001865ED" w:rsidRPr="001865ED" w:rsidRDefault="001865ED" w:rsidP="001865ED">
      <w:pPr>
        <w:pStyle w:val="Bibliography"/>
        <w:rPr>
          <w:lang w:val="en-GB"/>
        </w:rPr>
      </w:pPr>
      <w:r w:rsidRPr="001865ED">
        <w:rPr>
          <w:lang w:val="de-DE"/>
        </w:rPr>
        <w:t xml:space="preserve">19. </w:t>
      </w:r>
      <w:r w:rsidRPr="001865ED">
        <w:rPr>
          <w:lang w:val="de-DE"/>
        </w:rPr>
        <w:tab/>
        <w:t xml:space="preserve">Aragam KG, Jiang T, Goel A, Kanoni S, Wolford BN, Atri DS, et al. </w:t>
      </w:r>
      <w:r w:rsidRPr="001865ED">
        <w:rPr>
          <w:lang w:val="en-GB"/>
        </w:rPr>
        <w:t xml:space="preserve">Discovery and systematic characterization of risk variants and genes for coronary artery disease in over a million participants. </w:t>
      </w:r>
      <w:r w:rsidRPr="001865ED">
        <w:rPr>
          <w:i/>
          <w:iCs/>
          <w:lang w:val="en-GB"/>
        </w:rPr>
        <w:t>Nat Genet</w:t>
      </w:r>
      <w:r w:rsidRPr="001865ED">
        <w:rPr>
          <w:lang w:val="en-GB"/>
        </w:rPr>
        <w:t xml:space="preserve"> </w:t>
      </w:r>
      <w:proofErr w:type="gramStart"/>
      <w:r w:rsidRPr="001865ED">
        <w:rPr>
          <w:lang w:val="en-GB"/>
        </w:rPr>
        <w:t>2022;</w:t>
      </w:r>
      <w:r w:rsidRPr="001865ED">
        <w:rPr>
          <w:b/>
          <w:bCs/>
          <w:lang w:val="en-GB"/>
        </w:rPr>
        <w:t>54</w:t>
      </w:r>
      <w:r w:rsidRPr="001865ED">
        <w:rPr>
          <w:lang w:val="en-GB"/>
        </w:rPr>
        <w:t>:1803</w:t>
      </w:r>
      <w:proofErr w:type="gramEnd"/>
      <w:r w:rsidRPr="001865ED">
        <w:rPr>
          <w:lang w:val="en-GB"/>
        </w:rPr>
        <w:t xml:space="preserve">–1815. </w:t>
      </w:r>
    </w:p>
    <w:p w14:paraId="4DFCB3CD" w14:textId="77777777" w:rsidR="001865ED" w:rsidRPr="001865ED" w:rsidRDefault="001865ED" w:rsidP="001865ED">
      <w:pPr>
        <w:pStyle w:val="Bibliography"/>
        <w:rPr>
          <w:lang w:val="en-GB"/>
        </w:rPr>
      </w:pPr>
      <w:r w:rsidRPr="001865ED">
        <w:rPr>
          <w:lang w:val="en-GB"/>
        </w:rPr>
        <w:t xml:space="preserve">20. </w:t>
      </w:r>
      <w:r w:rsidRPr="001865ED">
        <w:rPr>
          <w:lang w:val="en-GB"/>
        </w:rPr>
        <w:tab/>
        <w:t xml:space="preserve">Verma A, Huffman JE, Rodriguez A, Conery M, Liu M, Ho Y-L, et al. Diversity and scale: Genetic architecture of 2068 traits in the VA Million Veteran Program. </w:t>
      </w:r>
      <w:r w:rsidRPr="001865ED">
        <w:rPr>
          <w:i/>
          <w:iCs/>
          <w:lang w:val="en-GB"/>
        </w:rPr>
        <w:t>Science</w:t>
      </w:r>
      <w:r w:rsidRPr="001865ED">
        <w:rPr>
          <w:lang w:val="en-GB"/>
        </w:rPr>
        <w:t xml:space="preserve"> 2024;</w:t>
      </w:r>
      <w:proofErr w:type="gramStart"/>
      <w:r w:rsidRPr="001865ED">
        <w:rPr>
          <w:b/>
          <w:bCs/>
          <w:lang w:val="en-GB"/>
        </w:rPr>
        <w:t>385</w:t>
      </w:r>
      <w:r w:rsidRPr="001865ED">
        <w:rPr>
          <w:lang w:val="en-GB"/>
        </w:rPr>
        <w:t>:eadj</w:t>
      </w:r>
      <w:proofErr w:type="gramEnd"/>
      <w:r w:rsidRPr="001865ED">
        <w:rPr>
          <w:lang w:val="en-GB"/>
        </w:rPr>
        <w:t xml:space="preserve">1182. </w:t>
      </w:r>
    </w:p>
    <w:p w14:paraId="728AA380" w14:textId="77777777" w:rsidR="001865ED" w:rsidRPr="001865ED" w:rsidRDefault="001865ED" w:rsidP="001865ED">
      <w:pPr>
        <w:pStyle w:val="Bibliography"/>
        <w:rPr>
          <w:lang w:val="en-GB"/>
        </w:rPr>
      </w:pPr>
      <w:r w:rsidRPr="001865ED">
        <w:rPr>
          <w:lang w:val="en-GB"/>
        </w:rPr>
        <w:t xml:space="preserve">21. </w:t>
      </w:r>
      <w:r w:rsidRPr="001865ED">
        <w:rPr>
          <w:lang w:val="en-GB"/>
        </w:rPr>
        <w:tab/>
        <w:t xml:space="preserve">Lu W, Carroll RJ, Solomonson M, Guez J, He MK, Marten DJ, et al. Systematic common and rare variant association testing in 392,030 whole genomes in All of Us. </w:t>
      </w:r>
      <w:proofErr w:type="spellStart"/>
      <w:r w:rsidRPr="001865ED">
        <w:rPr>
          <w:i/>
          <w:iCs/>
          <w:lang w:val="en-GB"/>
        </w:rPr>
        <w:t>medRxiv</w:t>
      </w:r>
      <w:proofErr w:type="spellEnd"/>
      <w:r w:rsidRPr="001865ED">
        <w:rPr>
          <w:lang w:val="en-GB"/>
        </w:rPr>
        <w:t xml:space="preserve"> 2026. Available from: https://doi.org/10.64898/2026.05.08.26350964.</w:t>
      </w:r>
    </w:p>
    <w:p w14:paraId="4BAF5225" w14:textId="77777777" w:rsidR="001865ED" w:rsidRPr="001865ED" w:rsidRDefault="001865ED" w:rsidP="001865ED">
      <w:pPr>
        <w:pStyle w:val="Bibliography"/>
        <w:rPr>
          <w:lang w:val="en-GB"/>
        </w:rPr>
      </w:pPr>
      <w:r w:rsidRPr="001865ED">
        <w:rPr>
          <w:lang w:val="en-GB"/>
        </w:rPr>
        <w:t xml:space="preserve">22. </w:t>
      </w:r>
      <w:r w:rsidRPr="001865ED">
        <w:rPr>
          <w:lang w:val="en-GB"/>
        </w:rPr>
        <w:tab/>
        <w:t xml:space="preserve">Kurki MI, Karjalainen J, Palta P, Sipilä TP, Kristiansson K, Donner KM, et al. </w:t>
      </w:r>
      <w:proofErr w:type="spellStart"/>
      <w:r w:rsidRPr="001865ED">
        <w:rPr>
          <w:lang w:val="en-GB"/>
        </w:rPr>
        <w:t>FinnGen</w:t>
      </w:r>
      <w:proofErr w:type="spellEnd"/>
      <w:r w:rsidRPr="001865ED">
        <w:rPr>
          <w:lang w:val="en-GB"/>
        </w:rPr>
        <w:t xml:space="preserve"> provides genetic insights from a well-</w:t>
      </w:r>
      <w:proofErr w:type="spellStart"/>
      <w:r w:rsidRPr="001865ED">
        <w:rPr>
          <w:lang w:val="en-GB"/>
        </w:rPr>
        <w:t>phenotyped</w:t>
      </w:r>
      <w:proofErr w:type="spellEnd"/>
      <w:r w:rsidRPr="001865ED">
        <w:rPr>
          <w:lang w:val="en-GB"/>
        </w:rPr>
        <w:t xml:space="preserve"> isolated population. </w:t>
      </w:r>
      <w:r w:rsidRPr="001865ED">
        <w:rPr>
          <w:i/>
          <w:iCs/>
          <w:lang w:val="en-GB"/>
        </w:rPr>
        <w:t>Nature</w:t>
      </w:r>
      <w:r w:rsidRPr="001865ED">
        <w:rPr>
          <w:lang w:val="en-GB"/>
        </w:rPr>
        <w:t xml:space="preserve"> </w:t>
      </w:r>
      <w:proofErr w:type="gramStart"/>
      <w:r w:rsidRPr="001865ED">
        <w:rPr>
          <w:lang w:val="en-GB"/>
        </w:rPr>
        <w:t>2023;</w:t>
      </w:r>
      <w:r w:rsidRPr="001865ED">
        <w:rPr>
          <w:b/>
          <w:bCs/>
          <w:lang w:val="en-GB"/>
        </w:rPr>
        <w:t>613</w:t>
      </w:r>
      <w:r w:rsidRPr="001865ED">
        <w:rPr>
          <w:lang w:val="en-GB"/>
        </w:rPr>
        <w:t>:508</w:t>
      </w:r>
      <w:proofErr w:type="gramEnd"/>
      <w:r w:rsidRPr="001865ED">
        <w:rPr>
          <w:lang w:val="en-GB"/>
        </w:rPr>
        <w:t xml:space="preserve">–518. </w:t>
      </w:r>
    </w:p>
    <w:p w14:paraId="1FEF3DD2" w14:textId="77777777" w:rsidR="001865ED" w:rsidRPr="001865ED" w:rsidRDefault="001865ED" w:rsidP="001865ED">
      <w:pPr>
        <w:pStyle w:val="Bibliography"/>
        <w:rPr>
          <w:lang w:val="en-GB"/>
        </w:rPr>
      </w:pPr>
      <w:r w:rsidRPr="001865ED">
        <w:rPr>
          <w:lang w:val="en-GB"/>
        </w:rPr>
        <w:t xml:space="preserve">23. </w:t>
      </w:r>
      <w:r w:rsidRPr="001865ED">
        <w:rPr>
          <w:lang w:val="en-GB"/>
        </w:rPr>
        <w:tab/>
        <w:t xml:space="preserve">Gummesson A, Lundmark P, Chen QS, Björnson E, Dekkers KF, Hammar U, et al. A genome-wide association study of imaging-defined atherosclerosis. </w:t>
      </w:r>
      <w:r w:rsidRPr="001865ED">
        <w:rPr>
          <w:i/>
          <w:iCs/>
          <w:lang w:val="en-GB"/>
        </w:rPr>
        <w:t>Nat Commun</w:t>
      </w:r>
      <w:r w:rsidRPr="001865ED">
        <w:rPr>
          <w:lang w:val="en-GB"/>
        </w:rPr>
        <w:t xml:space="preserve"> </w:t>
      </w:r>
      <w:proofErr w:type="gramStart"/>
      <w:r w:rsidRPr="001865ED">
        <w:rPr>
          <w:lang w:val="en-GB"/>
        </w:rPr>
        <w:t>2025;</w:t>
      </w:r>
      <w:r w:rsidRPr="001865ED">
        <w:rPr>
          <w:b/>
          <w:bCs/>
          <w:lang w:val="en-GB"/>
        </w:rPr>
        <w:t>16</w:t>
      </w:r>
      <w:r w:rsidRPr="001865ED">
        <w:rPr>
          <w:lang w:val="en-GB"/>
        </w:rPr>
        <w:t>:2266</w:t>
      </w:r>
      <w:proofErr w:type="gramEnd"/>
      <w:r w:rsidRPr="001865ED">
        <w:rPr>
          <w:lang w:val="en-GB"/>
        </w:rPr>
        <w:t xml:space="preserve">. </w:t>
      </w:r>
    </w:p>
    <w:p w14:paraId="382355BD" w14:textId="77777777" w:rsidR="001865ED" w:rsidRPr="001865ED" w:rsidRDefault="001865ED" w:rsidP="001865ED">
      <w:pPr>
        <w:pStyle w:val="Bibliography"/>
        <w:rPr>
          <w:lang w:val="en-GB"/>
        </w:rPr>
      </w:pPr>
      <w:r w:rsidRPr="001865ED">
        <w:rPr>
          <w:lang w:val="en-GB"/>
        </w:rPr>
        <w:t xml:space="preserve">24. </w:t>
      </w:r>
      <w:r w:rsidRPr="001865ED">
        <w:rPr>
          <w:lang w:val="en-GB"/>
        </w:rPr>
        <w:tab/>
        <w:t xml:space="preserve">Rietveld CA, de Vlaming R, Slob EAW. The identification of mediating effects using genome-based restricted maximum likelihood estimation. </w:t>
      </w:r>
      <w:r w:rsidRPr="001865ED">
        <w:rPr>
          <w:i/>
          <w:iCs/>
          <w:lang w:val="en-GB"/>
        </w:rPr>
        <w:t>PLOS Genet</w:t>
      </w:r>
      <w:r w:rsidRPr="001865ED">
        <w:rPr>
          <w:lang w:val="en-GB"/>
        </w:rPr>
        <w:t xml:space="preserve"> 2023;</w:t>
      </w:r>
      <w:proofErr w:type="gramStart"/>
      <w:r w:rsidRPr="001865ED">
        <w:rPr>
          <w:b/>
          <w:bCs/>
          <w:lang w:val="en-GB"/>
        </w:rPr>
        <w:t>19</w:t>
      </w:r>
      <w:r w:rsidRPr="001865ED">
        <w:rPr>
          <w:lang w:val="en-GB"/>
        </w:rPr>
        <w:t>:e</w:t>
      </w:r>
      <w:proofErr w:type="gramEnd"/>
      <w:r w:rsidRPr="001865ED">
        <w:rPr>
          <w:lang w:val="en-GB"/>
        </w:rPr>
        <w:t xml:space="preserve">1010638. </w:t>
      </w:r>
    </w:p>
    <w:p w14:paraId="3E9D1332" w14:textId="77777777" w:rsidR="001865ED" w:rsidRPr="001865ED" w:rsidRDefault="001865ED" w:rsidP="001865ED">
      <w:pPr>
        <w:pStyle w:val="Bibliography"/>
        <w:rPr>
          <w:lang w:val="en-GB"/>
        </w:rPr>
      </w:pPr>
      <w:r w:rsidRPr="001865ED">
        <w:rPr>
          <w:lang w:val="en-GB"/>
        </w:rPr>
        <w:t xml:space="preserve">25. </w:t>
      </w:r>
      <w:r w:rsidRPr="001865ED">
        <w:rPr>
          <w:lang w:val="en-GB"/>
        </w:rPr>
        <w:tab/>
        <w:t xml:space="preserve">Foley CN, Staley JR, Breen PG, Sun BB, Kirk PDW, Burgess S, et al. A fast and efficient colocalization algorithm for identifying shared genetic risk factors across multiple traits. </w:t>
      </w:r>
      <w:r w:rsidRPr="001865ED">
        <w:rPr>
          <w:i/>
          <w:iCs/>
          <w:lang w:val="en-GB"/>
        </w:rPr>
        <w:t>Nat Commun</w:t>
      </w:r>
      <w:r w:rsidRPr="001865ED">
        <w:rPr>
          <w:lang w:val="en-GB"/>
        </w:rPr>
        <w:t xml:space="preserve"> </w:t>
      </w:r>
      <w:proofErr w:type="gramStart"/>
      <w:r w:rsidRPr="001865ED">
        <w:rPr>
          <w:lang w:val="en-GB"/>
        </w:rPr>
        <w:t>2021;</w:t>
      </w:r>
      <w:r w:rsidRPr="001865ED">
        <w:rPr>
          <w:b/>
          <w:bCs/>
          <w:lang w:val="en-GB"/>
        </w:rPr>
        <w:t>12</w:t>
      </w:r>
      <w:r w:rsidRPr="001865ED">
        <w:rPr>
          <w:lang w:val="en-GB"/>
        </w:rPr>
        <w:t>:764</w:t>
      </w:r>
      <w:proofErr w:type="gramEnd"/>
      <w:r w:rsidRPr="001865ED">
        <w:rPr>
          <w:lang w:val="en-GB"/>
        </w:rPr>
        <w:t xml:space="preserve">. </w:t>
      </w:r>
    </w:p>
    <w:p w14:paraId="2AF62F58" w14:textId="77777777" w:rsidR="001865ED" w:rsidRPr="001865ED" w:rsidRDefault="001865ED" w:rsidP="001865ED">
      <w:pPr>
        <w:pStyle w:val="Bibliography"/>
        <w:rPr>
          <w:lang w:val="en-GB"/>
        </w:rPr>
      </w:pPr>
      <w:r w:rsidRPr="001865ED">
        <w:rPr>
          <w:lang w:val="en-GB"/>
        </w:rPr>
        <w:t xml:space="preserve">26. </w:t>
      </w:r>
      <w:r w:rsidRPr="001865ED">
        <w:rPr>
          <w:lang w:val="en-GB"/>
        </w:rPr>
        <w:tab/>
        <w:t xml:space="preserve">Yang J, Ferreira T, Morris AP, Medland SE, Madden PAF, Heath AC, et al. Conditional and joint multiple-SNP analysis of GWAS summary statistics identifies additional variants influencing complex traits. </w:t>
      </w:r>
      <w:r w:rsidRPr="001865ED">
        <w:rPr>
          <w:i/>
          <w:iCs/>
          <w:lang w:val="en-GB"/>
        </w:rPr>
        <w:t>Nat Genet</w:t>
      </w:r>
      <w:r w:rsidRPr="001865ED">
        <w:rPr>
          <w:lang w:val="en-GB"/>
        </w:rPr>
        <w:t xml:space="preserve"> </w:t>
      </w:r>
      <w:proofErr w:type="gramStart"/>
      <w:r w:rsidRPr="001865ED">
        <w:rPr>
          <w:lang w:val="en-GB"/>
        </w:rPr>
        <w:t>2012;</w:t>
      </w:r>
      <w:r w:rsidRPr="001865ED">
        <w:rPr>
          <w:b/>
          <w:bCs/>
          <w:lang w:val="en-GB"/>
        </w:rPr>
        <w:t>44</w:t>
      </w:r>
      <w:r w:rsidRPr="001865ED">
        <w:rPr>
          <w:lang w:val="en-GB"/>
        </w:rPr>
        <w:t>:369</w:t>
      </w:r>
      <w:proofErr w:type="gramEnd"/>
      <w:r w:rsidRPr="001865ED">
        <w:rPr>
          <w:lang w:val="en-GB"/>
        </w:rPr>
        <w:t xml:space="preserve">–375. </w:t>
      </w:r>
    </w:p>
    <w:p w14:paraId="41831611" w14:textId="77777777" w:rsidR="001865ED" w:rsidRPr="001865ED" w:rsidRDefault="001865ED" w:rsidP="001865ED">
      <w:pPr>
        <w:pStyle w:val="Bibliography"/>
        <w:rPr>
          <w:lang w:val="en-GB"/>
        </w:rPr>
      </w:pPr>
      <w:r w:rsidRPr="001865ED">
        <w:rPr>
          <w:lang w:val="en-GB"/>
        </w:rPr>
        <w:t xml:space="preserve">27. </w:t>
      </w:r>
      <w:r w:rsidRPr="001865ED">
        <w:rPr>
          <w:lang w:val="en-GB"/>
        </w:rPr>
        <w:tab/>
        <w:t xml:space="preserve">Burgess S, Davey Smith G, Davies NM, </w:t>
      </w:r>
      <w:proofErr w:type="spellStart"/>
      <w:r w:rsidRPr="001865ED">
        <w:rPr>
          <w:lang w:val="en-GB"/>
        </w:rPr>
        <w:t>Dudbridge</w:t>
      </w:r>
      <w:proofErr w:type="spellEnd"/>
      <w:r w:rsidRPr="001865ED">
        <w:rPr>
          <w:lang w:val="en-GB"/>
        </w:rPr>
        <w:t xml:space="preserve"> F, Gill D, </w:t>
      </w:r>
      <w:proofErr w:type="spellStart"/>
      <w:r w:rsidRPr="001865ED">
        <w:rPr>
          <w:lang w:val="en-GB"/>
        </w:rPr>
        <w:t>Glymour</w:t>
      </w:r>
      <w:proofErr w:type="spellEnd"/>
      <w:r w:rsidRPr="001865ED">
        <w:rPr>
          <w:lang w:val="en-GB"/>
        </w:rPr>
        <w:t xml:space="preserve"> MM, et al. Guidelines for performing Mendelian randomization investigations: update for summer 2023. </w:t>
      </w:r>
      <w:proofErr w:type="spellStart"/>
      <w:r w:rsidRPr="001865ED">
        <w:rPr>
          <w:i/>
          <w:iCs/>
          <w:lang w:val="en-GB"/>
        </w:rPr>
        <w:t>Wellcome</w:t>
      </w:r>
      <w:proofErr w:type="spellEnd"/>
      <w:r w:rsidRPr="001865ED">
        <w:rPr>
          <w:i/>
          <w:iCs/>
          <w:lang w:val="en-GB"/>
        </w:rPr>
        <w:t xml:space="preserve"> Open Res</w:t>
      </w:r>
      <w:r w:rsidRPr="001865ED">
        <w:rPr>
          <w:lang w:val="en-GB"/>
        </w:rPr>
        <w:t xml:space="preserve"> </w:t>
      </w:r>
      <w:proofErr w:type="gramStart"/>
      <w:r w:rsidRPr="001865ED">
        <w:rPr>
          <w:lang w:val="en-GB"/>
        </w:rPr>
        <w:t>2023;</w:t>
      </w:r>
      <w:r w:rsidRPr="001865ED">
        <w:rPr>
          <w:b/>
          <w:bCs/>
          <w:lang w:val="en-GB"/>
        </w:rPr>
        <w:t>4</w:t>
      </w:r>
      <w:r w:rsidRPr="001865ED">
        <w:rPr>
          <w:lang w:val="en-GB"/>
        </w:rPr>
        <w:t>:186</w:t>
      </w:r>
      <w:proofErr w:type="gramEnd"/>
      <w:r w:rsidRPr="001865ED">
        <w:rPr>
          <w:lang w:val="en-GB"/>
        </w:rPr>
        <w:t xml:space="preserve">. </w:t>
      </w:r>
    </w:p>
    <w:p w14:paraId="5CF24E82" w14:textId="77777777" w:rsidR="001865ED" w:rsidRPr="001865ED" w:rsidRDefault="001865ED" w:rsidP="001865ED">
      <w:pPr>
        <w:pStyle w:val="Bibliography"/>
        <w:rPr>
          <w:lang w:val="en-GB"/>
        </w:rPr>
      </w:pPr>
      <w:r w:rsidRPr="001865ED">
        <w:rPr>
          <w:lang w:val="en-GB"/>
        </w:rPr>
        <w:t xml:space="preserve">28. </w:t>
      </w:r>
      <w:r w:rsidRPr="001865ED">
        <w:rPr>
          <w:lang w:val="en-GB"/>
        </w:rPr>
        <w:tab/>
        <w:t xml:space="preserve">Burgess S, </w:t>
      </w:r>
      <w:proofErr w:type="spellStart"/>
      <w:r w:rsidRPr="001865ED">
        <w:rPr>
          <w:lang w:val="en-GB"/>
        </w:rPr>
        <w:t>Yavorska</w:t>
      </w:r>
      <w:proofErr w:type="spellEnd"/>
      <w:r w:rsidRPr="001865ED">
        <w:rPr>
          <w:lang w:val="en-GB"/>
        </w:rPr>
        <w:t xml:space="preserve"> O. </w:t>
      </w:r>
      <w:proofErr w:type="spellStart"/>
      <w:r w:rsidRPr="001865ED">
        <w:rPr>
          <w:i/>
          <w:iCs/>
          <w:lang w:val="en-GB"/>
        </w:rPr>
        <w:t>MendelianRandomization</w:t>
      </w:r>
      <w:proofErr w:type="spellEnd"/>
      <w:r w:rsidRPr="001865ED">
        <w:rPr>
          <w:i/>
          <w:iCs/>
          <w:lang w:val="en-GB"/>
        </w:rPr>
        <w:t>: Mendelian Randomization Package</w:t>
      </w:r>
      <w:r w:rsidRPr="001865ED">
        <w:rPr>
          <w:lang w:val="en-GB"/>
        </w:rPr>
        <w:t xml:space="preserve">. 2024. </w:t>
      </w:r>
    </w:p>
    <w:p w14:paraId="56BAC43E" w14:textId="77777777" w:rsidR="001865ED" w:rsidRPr="001865ED" w:rsidRDefault="001865ED" w:rsidP="001865ED">
      <w:pPr>
        <w:pStyle w:val="Bibliography"/>
        <w:rPr>
          <w:lang w:val="en-GB"/>
        </w:rPr>
      </w:pPr>
      <w:r w:rsidRPr="001865ED">
        <w:rPr>
          <w:lang w:val="en-GB"/>
        </w:rPr>
        <w:t xml:space="preserve">29. </w:t>
      </w:r>
      <w:r w:rsidRPr="001865ED">
        <w:rPr>
          <w:lang w:val="en-GB"/>
        </w:rPr>
        <w:tab/>
        <w:t xml:space="preserve">Sanderson E, Davey Smith G, </w:t>
      </w:r>
      <w:proofErr w:type="spellStart"/>
      <w:r w:rsidRPr="001865ED">
        <w:rPr>
          <w:lang w:val="en-GB"/>
        </w:rPr>
        <w:t>Windmeijer</w:t>
      </w:r>
      <w:proofErr w:type="spellEnd"/>
      <w:r w:rsidRPr="001865ED">
        <w:rPr>
          <w:lang w:val="en-GB"/>
        </w:rPr>
        <w:t xml:space="preserve"> F, Bowden J. An examination of multivariable Mendelian randomization in the single-sample and two-sample summary data settings. </w:t>
      </w:r>
      <w:r w:rsidRPr="001865ED">
        <w:rPr>
          <w:i/>
          <w:iCs/>
          <w:lang w:val="en-GB"/>
        </w:rPr>
        <w:t xml:space="preserve">Int J </w:t>
      </w:r>
      <w:proofErr w:type="spellStart"/>
      <w:r w:rsidRPr="001865ED">
        <w:rPr>
          <w:i/>
          <w:iCs/>
          <w:lang w:val="en-GB"/>
        </w:rPr>
        <w:t>Epidemiol</w:t>
      </w:r>
      <w:proofErr w:type="spellEnd"/>
      <w:r w:rsidRPr="001865ED">
        <w:rPr>
          <w:lang w:val="en-GB"/>
        </w:rPr>
        <w:t xml:space="preserve"> </w:t>
      </w:r>
      <w:proofErr w:type="gramStart"/>
      <w:r w:rsidRPr="001865ED">
        <w:rPr>
          <w:lang w:val="en-GB"/>
        </w:rPr>
        <w:t>2019;</w:t>
      </w:r>
      <w:r w:rsidRPr="001865ED">
        <w:rPr>
          <w:b/>
          <w:bCs/>
          <w:lang w:val="en-GB"/>
        </w:rPr>
        <w:t>48</w:t>
      </w:r>
      <w:r w:rsidRPr="001865ED">
        <w:rPr>
          <w:lang w:val="en-GB"/>
        </w:rPr>
        <w:t>:713</w:t>
      </w:r>
      <w:proofErr w:type="gramEnd"/>
      <w:r w:rsidRPr="001865ED">
        <w:rPr>
          <w:lang w:val="en-GB"/>
        </w:rPr>
        <w:t xml:space="preserve">–727. </w:t>
      </w:r>
    </w:p>
    <w:p w14:paraId="56075165" w14:textId="77777777" w:rsidR="001865ED" w:rsidRPr="001865ED" w:rsidRDefault="001865ED" w:rsidP="001865ED">
      <w:pPr>
        <w:pStyle w:val="Bibliography"/>
        <w:rPr>
          <w:lang w:val="en-GB"/>
        </w:rPr>
      </w:pPr>
      <w:r w:rsidRPr="001865ED">
        <w:rPr>
          <w:lang w:val="en-GB"/>
        </w:rPr>
        <w:lastRenderedPageBreak/>
        <w:t xml:space="preserve">30. </w:t>
      </w:r>
      <w:r w:rsidRPr="001865ED">
        <w:rPr>
          <w:lang w:val="en-GB"/>
        </w:rPr>
        <w:tab/>
        <w:t xml:space="preserve">Libby P. The changing landscape of atherosclerosis. </w:t>
      </w:r>
      <w:r w:rsidRPr="001865ED">
        <w:rPr>
          <w:i/>
          <w:iCs/>
          <w:lang w:val="en-GB"/>
        </w:rPr>
        <w:t>Nature</w:t>
      </w:r>
      <w:r w:rsidRPr="001865ED">
        <w:rPr>
          <w:lang w:val="en-GB"/>
        </w:rPr>
        <w:t xml:space="preserve"> </w:t>
      </w:r>
      <w:proofErr w:type="gramStart"/>
      <w:r w:rsidRPr="001865ED">
        <w:rPr>
          <w:lang w:val="en-GB"/>
        </w:rPr>
        <w:t>2021;</w:t>
      </w:r>
      <w:r w:rsidRPr="001865ED">
        <w:rPr>
          <w:b/>
          <w:bCs/>
          <w:lang w:val="en-GB"/>
        </w:rPr>
        <w:t>592</w:t>
      </w:r>
      <w:r w:rsidRPr="001865ED">
        <w:rPr>
          <w:lang w:val="en-GB"/>
        </w:rPr>
        <w:t>:524</w:t>
      </w:r>
      <w:proofErr w:type="gramEnd"/>
      <w:r w:rsidRPr="001865ED">
        <w:rPr>
          <w:lang w:val="en-GB"/>
        </w:rPr>
        <w:t xml:space="preserve">–533. </w:t>
      </w:r>
    </w:p>
    <w:p w14:paraId="71CA657B" w14:textId="77777777" w:rsidR="001865ED" w:rsidRPr="001865ED" w:rsidRDefault="001865ED" w:rsidP="001865ED">
      <w:pPr>
        <w:pStyle w:val="Bibliography"/>
        <w:rPr>
          <w:lang w:val="en-GB"/>
        </w:rPr>
      </w:pPr>
      <w:r w:rsidRPr="001865ED">
        <w:rPr>
          <w:lang w:val="en-GB"/>
        </w:rPr>
        <w:t xml:space="preserve">31. </w:t>
      </w:r>
      <w:r w:rsidRPr="001865ED">
        <w:rPr>
          <w:lang w:val="en-GB"/>
        </w:rPr>
        <w:tab/>
        <w:t xml:space="preserve">Marston NA, Giugliano RP, Melloni GEM, Park J-G, Morrill V, Blazing MA, et al. Association of Apolipoprotein B-Containing Lipoproteins and Risk of Myocardial Infarction in Individuals </w:t>
      </w:r>
      <w:proofErr w:type="gramStart"/>
      <w:r w:rsidRPr="001865ED">
        <w:rPr>
          <w:lang w:val="en-GB"/>
        </w:rPr>
        <w:t>With</w:t>
      </w:r>
      <w:proofErr w:type="gramEnd"/>
      <w:r w:rsidRPr="001865ED">
        <w:rPr>
          <w:lang w:val="en-GB"/>
        </w:rPr>
        <w:t xml:space="preserve"> and Without Atherosclerosis: Distinguishing Between Particle Concentration, Type, and Content. </w:t>
      </w:r>
      <w:r w:rsidRPr="001865ED">
        <w:rPr>
          <w:i/>
          <w:iCs/>
          <w:lang w:val="en-GB"/>
        </w:rPr>
        <w:t xml:space="preserve">JAMA </w:t>
      </w:r>
      <w:proofErr w:type="spellStart"/>
      <w:r w:rsidRPr="001865ED">
        <w:rPr>
          <w:i/>
          <w:iCs/>
          <w:lang w:val="en-GB"/>
        </w:rPr>
        <w:t>Cardiol</w:t>
      </w:r>
      <w:proofErr w:type="spellEnd"/>
      <w:r w:rsidRPr="001865ED">
        <w:rPr>
          <w:lang w:val="en-GB"/>
        </w:rPr>
        <w:t xml:space="preserve"> </w:t>
      </w:r>
      <w:proofErr w:type="gramStart"/>
      <w:r w:rsidRPr="001865ED">
        <w:rPr>
          <w:lang w:val="en-GB"/>
        </w:rPr>
        <w:t>2022;</w:t>
      </w:r>
      <w:r w:rsidRPr="001865ED">
        <w:rPr>
          <w:b/>
          <w:bCs/>
          <w:lang w:val="en-GB"/>
        </w:rPr>
        <w:t>7</w:t>
      </w:r>
      <w:r w:rsidRPr="001865ED">
        <w:rPr>
          <w:lang w:val="en-GB"/>
        </w:rPr>
        <w:t>:250</w:t>
      </w:r>
      <w:proofErr w:type="gramEnd"/>
      <w:r w:rsidRPr="001865ED">
        <w:rPr>
          <w:lang w:val="en-GB"/>
        </w:rPr>
        <w:t xml:space="preserve">–256. </w:t>
      </w:r>
    </w:p>
    <w:p w14:paraId="7CA41F0F" w14:textId="77777777" w:rsidR="001865ED" w:rsidRPr="001865ED" w:rsidRDefault="001865ED" w:rsidP="001865ED">
      <w:pPr>
        <w:pStyle w:val="Bibliography"/>
        <w:rPr>
          <w:lang w:val="en-GB"/>
        </w:rPr>
      </w:pPr>
      <w:r w:rsidRPr="001865ED">
        <w:rPr>
          <w:lang w:val="en-GB"/>
        </w:rPr>
        <w:t xml:space="preserve">32. </w:t>
      </w:r>
      <w:r w:rsidRPr="001865ED">
        <w:rPr>
          <w:lang w:val="en-GB"/>
        </w:rPr>
        <w:tab/>
        <w:t xml:space="preserve">VanderWeele TJ, </w:t>
      </w:r>
      <w:proofErr w:type="spellStart"/>
      <w:r w:rsidRPr="001865ED">
        <w:rPr>
          <w:lang w:val="en-GB"/>
        </w:rPr>
        <w:t>Vansteelandt</w:t>
      </w:r>
      <w:proofErr w:type="spellEnd"/>
      <w:r w:rsidRPr="001865ED">
        <w:rPr>
          <w:lang w:val="en-GB"/>
        </w:rPr>
        <w:t xml:space="preserve"> S. Mediation Analysis with Multiple Mediators. </w:t>
      </w:r>
      <w:proofErr w:type="spellStart"/>
      <w:r w:rsidRPr="001865ED">
        <w:rPr>
          <w:i/>
          <w:iCs/>
          <w:lang w:val="en-GB"/>
        </w:rPr>
        <w:t>Epidemiol</w:t>
      </w:r>
      <w:proofErr w:type="spellEnd"/>
      <w:r w:rsidRPr="001865ED">
        <w:rPr>
          <w:i/>
          <w:iCs/>
          <w:lang w:val="en-GB"/>
        </w:rPr>
        <w:t xml:space="preserve"> Methods</w:t>
      </w:r>
      <w:r w:rsidRPr="001865ED">
        <w:rPr>
          <w:lang w:val="en-GB"/>
        </w:rPr>
        <w:t xml:space="preserve"> </w:t>
      </w:r>
      <w:proofErr w:type="gramStart"/>
      <w:r w:rsidRPr="001865ED">
        <w:rPr>
          <w:lang w:val="en-GB"/>
        </w:rPr>
        <w:t>2014;</w:t>
      </w:r>
      <w:r w:rsidRPr="001865ED">
        <w:rPr>
          <w:b/>
          <w:bCs/>
          <w:lang w:val="en-GB"/>
        </w:rPr>
        <w:t>2</w:t>
      </w:r>
      <w:r w:rsidRPr="001865ED">
        <w:rPr>
          <w:lang w:val="en-GB"/>
        </w:rPr>
        <w:t>:95</w:t>
      </w:r>
      <w:proofErr w:type="gramEnd"/>
      <w:r w:rsidRPr="001865ED">
        <w:rPr>
          <w:lang w:val="en-GB"/>
        </w:rPr>
        <w:t xml:space="preserve">–115. </w:t>
      </w:r>
    </w:p>
    <w:p w14:paraId="3F487A8F" w14:textId="77777777" w:rsidR="001865ED" w:rsidRPr="001865ED" w:rsidRDefault="001865ED" w:rsidP="001865ED">
      <w:pPr>
        <w:pStyle w:val="Bibliography"/>
        <w:rPr>
          <w:lang w:val="en-GB"/>
        </w:rPr>
      </w:pPr>
      <w:r w:rsidRPr="001865ED">
        <w:rPr>
          <w:lang w:val="en-GB"/>
        </w:rPr>
        <w:t xml:space="preserve">33. </w:t>
      </w:r>
      <w:r w:rsidRPr="001865ED">
        <w:rPr>
          <w:lang w:val="en-GB"/>
        </w:rPr>
        <w:tab/>
        <w:t xml:space="preserve">Suzuki K, </w:t>
      </w:r>
      <w:proofErr w:type="spellStart"/>
      <w:r w:rsidRPr="001865ED">
        <w:rPr>
          <w:lang w:val="en-GB"/>
        </w:rPr>
        <w:t>Hatzikotoulas</w:t>
      </w:r>
      <w:proofErr w:type="spellEnd"/>
      <w:r w:rsidRPr="001865ED">
        <w:rPr>
          <w:lang w:val="en-GB"/>
        </w:rPr>
        <w:t xml:space="preserve"> K, Southam L, Taylor HJ, Yin X, Lorenz KM, et al. Genetic drivers of heterogeneity in type 2 diabetes pathophysiology. </w:t>
      </w:r>
      <w:r w:rsidRPr="001865ED">
        <w:rPr>
          <w:i/>
          <w:iCs/>
          <w:lang w:val="en-GB"/>
        </w:rPr>
        <w:t>Nature</w:t>
      </w:r>
      <w:r w:rsidRPr="001865ED">
        <w:rPr>
          <w:lang w:val="en-GB"/>
        </w:rPr>
        <w:t xml:space="preserve"> </w:t>
      </w:r>
      <w:proofErr w:type="gramStart"/>
      <w:r w:rsidRPr="001865ED">
        <w:rPr>
          <w:lang w:val="en-GB"/>
        </w:rPr>
        <w:t>2024;</w:t>
      </w:r>
      <w:r w:rsidRPr="001865ED">
        <w:rPr>
          <w:b/>
          <w:bCs/>
          <w:lang w:val="en-GB"/>
        </w:rPr>
        <w:t>627</w:t>
      </w:r>
      <w:r w:rsidRPr="001865ED">
        <w:rPr>
          <w:lang w:val="en-GB"/>
        </w:rPr>
        <w:t>:347</w:t>
      </w:r>
      <w:proofErr w:type="gramEnd"/>
      <w:r w:rsidRPr="001865ED">
        <w:rPr>
          <w:lang w:val="en-GB"/>
        </w:rPr>
        <w:t xml:space="preserve">–357. </w:t>
      </w:r>
    </w:p>
    <w:p w14:paraId="5A92A061" w14:textId="77777777" w:rsidR="001865ED" w:rsidRPr="001865ED" w:rsidRDefault="001865ED" w:rsidP="001865ED">
      <w:pPr>
        <w:pStyle w:val="Bibliography"/>
        <w:rPr>
          <w:lang w:val="en-GB"/>
        </w:rPr>
      </w:pPr>
      <w:r w:rsidRPr="001865ED">
        <w:rPr>
          <w:lang w:val="en-GB"/>
        </w:rPr>
        <w:t xml:space="preserve">34. </w:t>
      </w:r>
      <w:r w:rsidRPr="001865ED">
        <w:rPr>
          <w:lang w:val="en-GB"/>
        </w:rPr>
        <w:tab/>
        <w:t xml:space="preserve">Keaton JM, Kamali Z, Xie T, Vaez A, Williams A, Goleva SB, et al. Genome-wide analysis in over 1 million individuals of European ancestry yields improved polygenic risk scores for blood pressure traits. </w:t>
      </w:r>
      <w:r w:rsidRPr="001865ED">
        <w:rPr>
          <w:i/>
          <w:iCs/>
          <w:lang w:val="en-GB"/>
        </w:rPr>
        <w:t>Nat Genet</w:t>
      </w:r>
      <w:r w:rsidRPr="001865ED">
        <w:rPr>
          <w:lang w:val="en-GB"/>
        </w:rPr>
        <w:t xml:space="preserve"> </w:t>
      </w:r>
      <w:proofErr w:type="gramStart"/>
      <w:r w:rsidRPr="001865ED">
        <w:rPr>
          <w:lang w:val="en-GB"/>
        </w:rPr>
        <w:t>2024;</w:t>
      </w:r>
      <w:r w:rsidRPr="001865ED">
        <w:rPr>
          <w:b/>
          <w:bCs/>
          <w:lang w:val="en-GB"/>
        </w:rPr>
        <w:t>56</w:t>
      </w:r>
      <w:r w:rsidRPr="001865ED">
        <w:rPr>
          <w:lang w:val="en-GB"/>
        </w:rPr>
        <w:t>:778</w:t>
      </w:r>
      <w:proofErr w:type="gramEnd"/>
      <w:r w:rsidRPr="001865ED">
        <w:rPr>
          <w:lang w:val="en-GB"/>
        </w:rPr>
        <w:t xml:space="preserve">–791. </w:t>
      </w:r>
    </w:p>
    <w:p w14:paraId="461FA0AD" w14:textId="77777777" w:rsidR="001865ED" w:rsidRPr="001865ED" w:rsidRDefault="001865ED" w:rsidP="001865ED">
      <w:pPr>
        <w:pStyle w:val="Bibliography"/>
        <w:rPr>
          <w:lang w:val="en-GB"/>
        </w:rPr>
      </w:pPr>
      <w:r w:rsidRPr="001865ED">
        <w:rPr>
          <w:lang w:val="en-GB"/>
        </w:rPr>
        <w:t xml:space="preserve">35. </w:t>
      </w:r>
      <w:r w:rsidRPr="001865ED">
        <w:rPr>
          <w:lang w:val="en-GB"/>
        </w:rPr>
        <w:tab/>
        <w:t xml:space="preserve">Zhou W, Bi W, Zhao Z, Dey KK, Jagadeesh KA, Karczewski KJ, et al. SAIGE-GENE+ improves the efficiency and accuracy of set-based rare variant association tests. </w:t>
      </w:r>
      <w:r w:rsidRPr="001865ED">
        <w:rPr>
          <w:i/>
          <w:iCs/>
          <w:lang w:val="en-GB"/>
        </w:rPr>
        <w:t>Nat Genet</w:t>
      </w:r>
      <w:r w:rsidRPr="001865ED">
        <w:rPr>
          <w:lang w:val="en-GB"/>
        </w:rPr>
        <w:t xml:space="preserve"> </w:t>
      </w:r>
      <w:proofErr w:type="gramStart"/>
      <w:r w:rsidRPr="001865ED">
        <w:rPr>
          <w:lang w:val="en-GB"/>
        </w:rPr>
        <w:t>2022;</w:t>
      </w:r>
      <w:r w:rsidRPr="001865ED">
        <w:rPr>
          <w:b/>
          <w:bCs/>
          <w:lang w:val="en-GB"/>
        </w:rPr>
        <w:t>54</w:t>
      </w:r>
      <w:r w:rsidRPr="001865ED">
        <w:rPr>
          <w:lang w:val="en-GB"/>
        </w:rPr>
        <w:t>:1466</w:t>
      </w:r>
      <w:proofErr w:type="gramEnd"/>
      <w:r w:rsidRPr="001865ED">
        <w:rPr>
          <w:lang w:val="en-GB"/>
        </w:rPr>
        <w:t xml:space="preserve">–1469. </w:t>
      </w:r>
    </w:p>
    <w:p w14:paraId="4663D4DB" w14:textId="77777777" w:rsidR="001865ED" w:rsidRPr="001865ED" w:rsidRDefault="001865ED" w:rsidP="001865ED">
      <w:pPr>
        <w:pStyle w:val="Bibliography"/>
        <w:rPr>
          <w:lang w:val="en-GB"/>
        </w:rPr>
      </w:pPr>
      <w:r w:rsidRPr="001865ED">
        <w:rPr>
          <w:lang w:val="en-GB"/>
        </w:rPr>
        <w:t xml:space="preserve">36. </w:t>
      </w:r>
      <w:r w:rsidRPr="001865ED">
        <w:rPr>
          <w:lang w:val="en-GB"/>
        </w:rPr>
        <w:tab/>
        <w:t xml:space="preserve">Chen S, </w:t>
      </w:r>
      <w:proofErr w:type="spellStart"/>
      <w:r w:rsidRPr="001865ED">
        <w:rPr>
          <w:lang w:val="en-GB"/>
        </w:rPr>
        <w:t>Francioli</w:t>
      </w:r>
      <w:proofErr w:type="spellEnd"/>
      <w:r w:rsidRPr="001865ED">
        <w:rPr>
          <w:lang w:val="en-GB"/>
        </w:rPr>
        <w:t xml:space="preserve"> LC, Goodrich JK, Collins RL, Kanai M, Wang Q, et al. A genomic mutational constraint map using variation in 76,156 human genomes. </w:t>
      </w:r>
      <w:r w:rsidRPr="001865ED">
        <w:rPr>
          <w:i/>
          <w:iCs/>
          <w:lang w:val="en-GB"/>
        </w:rPr>
        <w:t>Nature</w:t>
      </w:r>
      <w:r w:rsidRPr="001865ED">
        <w:rPr>
          <w:lang w:val="en-GB"/>
        </w:rPr>
        <w:t xml:space="preserve"> </w:t>
      </w:r>
      <w:proofErr w:type="gramStart"/>
      <w:r w:rsidRPr="001865ED">
        <w:rPr>
          <w:lang w:val="en-GB"/>
        </w:rPr>
        <w:t>2024;</w:t>
      </w:r>
      <w:r w:rsidRPr="001865ED">
        <w:rPr>
          <w:b/>
          <w:bCs/>
          <w:lang w:val="en-GB"/>
        </w:rPr>
        <w:t>625</w:t>
      </w:r>
      <w:r w:rsidRPr="001865ED">
        <w:rPr>
          <w:lang w:val="en-GB"/>
        </w:rPr>
        <w:t>:92</w:t>
      </w:r>
      <w:proofErr w:type="gramEnd"/>
      <w:r w:rsidRPr="001865ED">
        <w:rPr>
          <w:lang w:val="en-GB"/>
        </w:rPr>
        <w:t xml:space="preserve">–100. </w:t>
      </w:r>
    </w:p>
    <w:p w14:paraId="7EE99E63" w14:textId="77777777" w:rsidR="001865ED" w:rsidRPr="001865ED" w:rsidRDefault="001865ED" w:rsidP="001865ED">
      <w:pPr>
        <w:pStyle w:val="Bibliography"/>
        <w:rPr>
          <w:lang w:val="en-GB"/>
        </w:rPr>
      </w:pPr>
      <w:r w:rsidRPr="001865ED">
        <w:rPr>
          <w:lang w:val="en-GB"/>
        </w:rPr>
        <w:t xml:space="preserve">37. </w:t>
      </w:r>
      <w:r w:rsidRPr="001865ED">
        <w:rPr>
          <w:lang w:val="en-GB"/>
        </w:rPr>
        <w:tab/>
        <w:t xml:space="preserve">Privé F, </w:t>
      </w:r>
      <w:proofErr w:type="spellStart"/>
      <w:r w:rsidRPr="001865ED">
        <w:rPr>
          <w:lang w:val="en-GB"/>
        </w:rPr>
        <w:t>Aschard</w:t>
      </w:r>
      <w:proofErr w:type="spellEnd"/>
      <w:r w:rsidRPr="001865ED">
        <w:rPr>
          <w:lang w:val="en-GB"/>
        </w:rPr>
        <w:t xml:space="preserve"> H, Carmi S, Folkersen L, </w:t>
      </w:r>
      <w:proofErr w:type="spellStart"/>
      <w:r w:rsidRPr="001865ED">
        <w:rPr>
          <w:lang w:val="en-GB"/>
        </w:rPr>
        <w:t>Hoggart</w:t>
      </w:r>
      <w:proofErr w:type="spellEnd"/>
      <w:r w:rsidRPr="001865ED">
        <w:rPr>
          <w:lang w:val="en-GB"/>
        </w:rPr>
        <w:t xml:space="preserve"> C, O’Reilly PF, et al. Portability of 245 polygenic scores when derived from the UK Biobank and applied to 9 ancestry groups from the same cohort. </w:t>
      </w:r>
      <w:r w:rsidRPr="001865ED">
        <w:rPr>
          <w:i/>
          <w:iCs/>
          <w:lang w:val="en-GB"/>
        </w:rPr>
        <w:t>Am J Hum Genet</w:t>
      </w:r>
      <w:r w:rsidRPr="001865ED">
        <w:rPr>
          <w:lang w:val="en-GB"/>
        </w:rPr>
        <w:t xml:space="preserve"> </w:t>
      </w:r>
      <w:proofErr w:type="gramStart"/>
      <w:r w:rsidRPr="001865ED">
        <w:rPr>
          <w:lang w:val="en-GB"/>
        </w:rPr>
        <w:t>2022;</w:t>
      </w:r>
      <w:r w:rsidRPr="001865ED">
        <w:rPr>
          <w:b/>
          <w:bCs/>
          <w:lang w:val="en-GB"/>
        </w:rPr>
        <w:t>109</w:t>
      </w:r>
      <w:r w:rsidRPr="001865ED">
        <w:rPr>
          <w:lang w:val="en-GB"/>
        </w:rPr>
        <w:t>:12</w:t>
      </w:r>
      <w:proofErr w:type="gramEnd"/>
      <w:r w:rsidRPr="001865ED">
        <w:rPr>
          <w:lang w:val="en-GB"/>
        </w:rPr>
        <w:t xml:space="preserve">–23. </w:t>
      </w:r>
    </w:p>
    <w:p w14:paraId="636E2B15" w14:textId="77777777" w:rsidR="001865ED" w:rsidRPr="001865ED" w:rsidRDefault="001865ED" w:rsidP="001865ED">
      <w:pPr>
        <w:pStyle w:val="Bibliography"/>
        <w:rPr>
          <w:lang w:val="en-GB"/>
        </w:rPr>
      </w:pPr>
      <w:r w:rsidRPr="001865ED">
        <w:rPr>
          <w:lang w:val="en-GB"/>
        </w:rPr>
        <w:t xml:space="preserve">38. </w:t>
      </w:r>
      <w:r w:rsidRPr="001865ED">
        <w:rPr>
          <w:lang w:val="en-GB"/>
        </w:rPr>
        <w:tab/>
        <w:t xml:space="preserve">Van Gijn ME, Ceccherini I, Shinar Y, Carbo EC, </w:t>
      </w:r>
      <w:proofErr w:type="spellStart"/>
      <w:r w:rsidRPr="001865ED">
        <w:rPr>
          <w:lang w:val="en-GB"/>
        </w:rPr>
        <w:t>Slofstra</w:t>
      </w:r>
      <w:proofErr w:type="spellEnd"/>
      <w:r w:rsidRPr="001865ED">
        <w:rPr>
          <w:lang w:val="en-GB"/>
        </w:rPr>
        <w:t xml:space="preserve"> M, Arostegui JI, et al. </w:t>
      </w:r>
      <w:proofErr w:type="gramStart"/>
      <w:r w:rsidRPr="001865ED">
        <w:rPr>
          <w:lang w:val="en-GB"/>
        </w:rPr>
        <w:t>New</w:t>
      </w:r>
      <w:proofErr w:type="gramEnd"/>
      <w:r w:rsidRPr="001865ED">
        <w:rPr>
          <w:lang w:val="en-GB"/>
        </w:rPr>
        <w:t xml:space="preserve"> workflow for classification of genetic variants’ pathogenicity applied to hereditary recurrent fevers by the International Study Group for Systemic Autoinflammatory Diseases (INSAID). </w:t>
      </w:r>
      <w:r w:rsidRPr="001865ED">
        <w:rPr>
          <w:i/>
          <w:iCs/>
          <w:lang w:val="en-GB"/>
        </w:rPr>
        <w:t>J Med Genet</w:t>
      </w:r>
      <w:r w:rsidRPr="001865ED">
        <w:rPr>
          <w:lang w:val="en-GB"/>
        </w:rPr>
        <w:t xml:space="preserve"> </w:t>
      </w:r>
      <w:proofErr w:type="gramStart"/>
      <w:r w:rsidRPr="001865ED">
        <w:rPr>
          <w:lang w:val="en-GB"/>
        </w:rPr>
        <w:t>2018;</w:t>
      </w:r>
      <w:r w:rsidRPr="001865ED">
        <w:rPr>
          <w:b/>
          <w:bCs/>
          <w:lang w:val="en-GB"/>
        </w:rPr>
        <w:t>55</w:t>
      </w:r>
      <w:r w:rsidRPr="001865ED">
        <w:rPr>
          <w:lang w:val="en-GB"/>
        </w:rPr>
        <w:t>:530</w:t>
      </w:r>
      <w:proofErr w:type="gramEnd"/>
      <w:r w:rsidRPr="001865ED">
        <w:rPr>
          <w:lang w:val="en-GB"/>
        </w:rPr>
        <w:t xml:space="preserve">–537. </w:t>
      </w:r>
    </w:p>
    <w:p w14:paraId="1477ACDB" w14:textId="77777777" w:rsidR="001865ED" w:rsidRPr="001865ED" w:rsidRDefault="001865ED" w:rsidP="001865ED">
      <w:pPr>
        <w:pStyle w:val="Bibliography"/>
        <w:rPr>
          <w:lang w:val="en-GB"/>
        </w:rPr>
      </w:pPr>
      <w:r w:rsidRPr="001865ED">
        <w:rPr>
          <w:lang w:val="en-GB"/>
        </w:rPr>
        <w:t xml:space="preserve">39. </w:t>
      </w:r>
      <w:r w:rsidRPr="001865ED">
        <w:rPr>
          <w:lang w:val="en-GB"/>
        </w:rPr>
        <w:tab/>
        <w:t xml:space="preserve">Cosson C, Riou R, </w:t>
      </w:r>
      <w:proofErr w:type="spellStart"/>
      <w:r w:rsidRPr="001865ED">
        <w:rPr>
          <w:lang w:val="en-GB"/>
        </w:rPr>
        <w:t>Patoli</w:t>
      </w:r>
      <w:proofErr w:type="spellEnd"/>
      <w:r w:rsidRPr="001865ED">
        <w:rPr>
          <w:lang w:val="en-GB"/>
        </w:rPr>
        <w:t xml:space="preserve"> D, Niu T, Rey A, </w:t>
      </w:r>
      <w:proofErr w:type="spellStart"/>
      <w:r w:rsidRPr="001865ED">
        <w:rPr>
          <w:lang w:val="en-GB"/>
        </w:rPr>
        <w:t>Groslambert</w:t>
      </w:r>
      <w:proofErr w:type="spellEnd"/>
      <w:r w:rsidRPr="001865ED">
        <w:rPr>
          <w:lang w:val="en-GB"/>
        </w:rPr>
        <w:t xml:space="preserve"> M, et al. Functional diversity of NLRP3 gain-of-function mutants associated with CAPS autoinflammation. </w:t>
      </w:r>
      <w:r w:rsidRPr="001865ED">
        <w:rPr>
          <w:i/>
          <w:iCs/>
          <w:lang w:val="en-GB"/>
        </w:rPr>
        <w:t>J Exp Med</w:t>
      </w:r>
      <w:r w:rsidRPr="001865ED">
        <w:rPr>
          <w:lang w:val="en-GB"/>
        </w:rPr>
        <w:t xml:space="preserve"> 2024;</w:t>
      </w:r>
      <w:proofErr w:type="gramStart"/>
      <w:r w:rsidRPr="001865ED">
        <w:rPr>
          <w:b/>
          <w:bCs/>
          <w:lang w:val="en-GB"/>
        </w:rPr>
        <w:t>221</w:t>
      </w:r>
      <w:r w:rsidRPr="001865ED">
        <w:rPr>
          <w:lang w:val="en-GB"/>
        </w:rPr>
        <w:t>:e</w:t>
      </w:r>
      <w:proofErr w:type="gramEnd"/>
      <w:r w:rsidRPr="001865ED">
        <w:rPr>
          <w:lang w:val="en-GB"/>
        </w:rPr>
        <w:t xml:space="preserve">20231200. </w:t>
      </w:r>
    </w:p>
    <w:p w14:paraId="4E2F1A6F" w14:textId="77777777" w:rsidR="001865ED" w:rsidRPr="001865ED" w:rsidRDefault="001865ED" w:rsidP="001865ED">
      <w:pPr>
        <w:pStyle w:val="Bibliography"/>
        <w:rPr>
          <w:lang w:val="en-GB"/>
        </w:rPr>
      </w:pPr>
      <w:r w:rsidRPr="001865ED">
        <w:rPr>
          <w:lang w:val="en-GB"/>
        </w:rPr>
        <w:t xml:space="preserve">40. </w:t>
      </w:r>
      <w:r w:rsidRPr="001865ED">
        <w:rPr>
          <w:lang w:val="en-GB"/>
        </w:rPr>
        <w:tab/>
        <w:t xml:space="preserve">Sham PC, Purcell SM. Statistical power and significance testing in large-scale genetic studies. </w:t>
      </w:r>
      <w:r w:rsidRPr="001865ED">
        <w:rPr>
          <w:i/>
          <w:iCs/>
          <w:lang w:val="en-GB"/>
        </w:rPr>
        <w:t>Nat Rev Genet</w:t>
      </w:r>
      <w:r w:rsidRPr="001865ED">
        <w:rPr>
          <w:lang w:val="en-GB"/>
        </w:rPr>
        <w:t xml:space="preserve"> </w:t>
      </w:r>
      <w:proofErr w:type="gramStart"/>
      <w:r w:rsidRPr="001865ED">
        <w:rPr>
          <w:lang w:val="en-GB"/>
        </w:rPr>
        <w:t>2014;</w:t>
      </w:r>
      <w:r w:rsidRPr="001865ED">
        <w:rPr>
          <w:b/>
          <w:bCs/>
          <w:lang w:val="en-GB"/>
        </w:rPr>
        <w:t>15</w:t>
      </w:r>
      <w:r w:rsidRPr="001865ED">
        <w:rPr>
          <w:lang w:val="en-GB"/>
        </w:rPr>
        <w:t>:335</w:t>
      </w:r>
      <w:proofErr w:type="gramEnd"/>
      <w:r w:rsidRPr="001865ED">
        <w:rPr>
          <w:lang w:val="en-GB"/>
        </w:rPr>
        <w:t xml:space="preserve">–346. </w:t>
      </w:r>
    </w:p>
    <w:p w14:paraId="0015FC1B" w14:textId="77777777" w:rsidR="001865ED" w:rsidRPr="001865ED" w:rsidRDefault="001865ED" w:rsidP="001865ED">
      <w:pPr>
        <w:pStyle w:val="Bibliography"/>
        <w:rPr>
          <w:lang w:val="en-GB"/>
        </w:rPr>
      </w:pPr>
      <w:r w:rsidRPr="001865ED">
        <w:rPr>
          <w:lang w:val="en-GB"/>
        </w:rPr>
        <w:t xml:space="preserve">41. </w:t>
      </w:r>
      <w:r w:rsidRPr="001865ED">
        <w:rPr>
          <w:lang w:val="en-GB"/>
        </w:rPr>
        <w:tab/>
        <w:t xml:space="preserve">The Global Cardiovascular Risk Consortium. Global Effect of Modifiable Risk Factors on Cardiovascular Disease and Mortality. </w:t>
      </w:r>
      <w:r w:rsidRPr="001865ED">
        <w:rPr>
          <w:i/>
          <w:iCs/>
          <w:lang w:val="en-GB"/>
        </w:rPr>
        <w:t>N Engl J Med</w:t>
      </w:r>
      <w:r w:rsidRPr="001865ED">
        <w:rPr>
          <w:lang w:val="en-GB"/>
        </w:rPr>
        <w:t xml:space="preserve"> </w:t>
      </w:r>
      <w:proofErr w:type="gramStart"/>
      <w:r w:rsidRPr="001865ED">
        <w:rPr>
          <w:lang w:val="en-GB"/>
        </w:rPr>
        <w:t>2023;</w:t>
      </w:r>
      <w:r w:rsidRPr="001865ED">
        <w:rPr>
          <w:b/>
          <w:bCs/>
          <w:lang w:val="en-GB"/>
        </w:rPr>
        <w:t>389</w:t>
      </w:r>
      <w:r w:rsidRPr="001865ED">
        <w:rPr>
          <w:lang w:val="en-GB"/>
        </w:rPr>
        <w:t>:1273</w:t>
      </w:r>
      <w:proofErr w:type="gramEnd"/>
      <w:r w:rsidRPr="001865ED">
        <w:rPr>
          <w:lang w:val="en-GB"/>
        </w:rPr>
        <w:t xml:space="preserve">–1285. </w:t>
      </w:r>
    </w:p>
    <w:p w14:paraId="66753ADF" w14:textId="77777777" w:rsidR="001865ED" w:rsidRPr="001865ED" w:rsidRDefault="001865ED" w:rsidP="001865ED">
      <w:pPr>
        <w:pStyle w:val="Bibliography"/>
        <w:rPr>
          <w:lang w:val="en-GB"/>
        </w:rPr>
      </w:pPr>
      <w:r w:rsidRPr="001865ED">
        <w:rPr>
          <w:lang w:val="en-GB"/>
        </w:rPr>
        <w:t xml:space="preserve">42. </w:t>
      </w:r>
      <w:r w:rsidRPr="001865ED">
        <w:rPr>
          <w:lang w:val="en-GB"/>
        </w:rPr>
        <w:tab/>
        <w:t xml:space="preserve">Braddock M, Quinn A. Targeting IL-1 in inflammatory disease: new opportunities for therapeutic intervention. </w:t>
      </w:r>
      <w:r w:rsidRPr="001865ED">
        <w:rPr>
          <w:i/>
          <w:iCs/>
          <w:lang w:val="en-GB"/>
        </w:rPr>
        <w:t xml:space="preserve">Nat Rev Drug </w:t>
      </w:r>
      <w:proofErr w:type="spellStart"/>
      <w:r w:rsidRPr="001865ED">
        <w:rPr>
          <w:i/>
          <w:iCs/>
          <w:lang w:val="en-GB"/>
        </w:rPr>
        <w:t>Discov</w:t>
      </w:r>
      <w:proofErr w:type="spellEnd"/>
      <w:r w:rsidRPr="001865ED">
        <w:rPr>
          <w:lang w:val="en-GB"/>
        </w:rPr>
        <w:t xml:space="preserve"> </w:t>
      </w:r>
      <w:proofErr w:type="gramStart"/>
      <w:r w:rsidRPr="001865ED">
        <w:rPr>
          <w:lang w:val="en-GB"/>
        </w:rPr>
        <w:t>2004;</w:t>
      </w:r>
      <w:r w:rsidRPr="001865ED">
        <w:rPr>
          <w:b/>
          <w:bCs/>
          <w:lang w:val="en-GB"/>
        </w:rPr>
        <w:t>3</w:t>
      </w:r>
      <w:r w:rsidRPr="001865ED">
        <w:rPr>
          <w:lang w:val="en-GB"/>
        </w:rPr>
        <w:t>:330</w:t>
      </w:r>
      <w:proofErr w:type="gramEnd"/>
      <w:r w:rsidRPr="001865ED">
        <w:rPr>
          <w:lang w:val="en-GB"/>
        </w:rPr>
        <w:t xml:space="preserve">–340. </w:t>
      </w:r>
    </w:p>
    <w:p w14:paraId="3A607D84" w14:textId="77777777" w:rsidR="001865ED" w:rsidRPr="001865ED" w:rsidRDefault="001865ED" w:rsidP="001865ED">
      <w:pPr>
        <w:pStyle w:val="Bibliography"/>
        <w:rPr>
          <w:lang w:val="en-GB"/>
        </w:rPr>
      </w:pPr>
      <w:r w:rsidRPr="001865ED">
        <w:rPr>
          <w:lang w:val="en-GB"/>
        </w:rPr>
        <w:t xml:space="preserve">43. </w:t>
      </w:r>
      <w:r w:rsidRPr="001865ED">
        <w:rPr>
          <w:lang w:val="en-GB"/>
        </w:rPr>
        <w:tab/>
        <w:t xml:space="preserve">Janssen CA, Oude </w:t>
      </w:r>
      <w:proofErr w:type="spellStart"/>
      <w:r w:rsidRPr="001865ED">
        <w:rPr>
          <w:lang w:val="en-GB"/>
        </w:rPr>
        <w:t>Voshaar</w:t>
      </w:r>
      <w:proofErr w:type="spellEnd"/>
      <w:r w:rsidRPr="001865ED">
        <w:rPr>
          <w:lang w:val="en-GB"/>
        </w:rPr>
        <w:t xml:space="preserve"> MAH, </w:t>
      </w:r>
      <w:proofErr w:type="spellStart"/>
      <w:r w:rsidRPr="001865ED">
        <w:rPr>
          <w:lang w:val="en-GB"/>
        </w:rPr>
        <w:t>Vonkeman</w:t>
      </w:r>
      <w:proofErr w:type="spellEnd"/>
      <w:r w:rsidRPr="001865ED">
        <w:rPr>
          <w:lang w:val="en-GB"/>
        </w:rPr>
        <w:t xml:space="preserve"> HE, Jansen </w:t>
      </w:r>
      <w:proofErr w:type="spellStart"/>
      <w:r w:rsidRPr="001865ED">
        <w:rPr>
          <w:lang w:val="en-GB"/>
        </w:rPr>
        <w:t>TLThA</w:t>
      </w:r>
      <w:proofErr w:type="spellEnd"/>
      <w:r w:rsidRPr="001865ED">
        <w:rPr>
          <w:lang w:val="en-GB"/>
        </w:rPr>
        <w:t xml:space="preserve">, Janssen M, Kok MR, et al. Anakinra for the treatment of acute gout flares: a randomized, double-blind, placebo-controlled, active-comparator, non-inferiority trial. </w:t>
      </w:r>
      <w:r w:rsidRPr="001865ED">
        <w:rPr>
          <w:i/>
          <w:iCs/>
          <w:lang w:val="en-GB"/>
        </w:rPr>
        <w:t>Rheumatology</w:t>
      </w:r>
      <w:r w:rsidRPr="001865ED">
        <w:rPr>
          <w:lang w:val="en-GB"/>
        </w:rPr>
        <w:t xml:space="preserve"> </w:t>
      </w:r>
      <w:proofErr w:type="gramStart"/>
      <w:r w:rsidRPr="001865ED">
        <w:rPr>
          <w:lang w:val="en-GB"/>
        </w:rPr>
        <w:t>2019;</w:t>
      </w:r>
      <w:r w:rsidRPr="001865ED">
        <w:rPr>
          <w:b/>
          <w:bCs/>
          <w:lang w:val="en-GB"/>
        </w:rPr>
        <w:t>58</w:t>
      </w:r>
      <w:r w:rsidRPr="001865ED">
        <w:rPr>
          <w:lang w:val="en-GB"/>
        </w:rPr>
        <w:t>:1344</w:t>
      </w:r>
      <w:proofErr w:type="gramEnd"/>
      <w:r w:rsidRPr="001865ED">
        <w:rPr>
          <w:lang w:val="en-GB"/>
        </w:rPr>
        <w:t xml:space="preserve">–1352. </w:t>
      </w:r>
    </w:p>
    <w:p w14:paraId="22BC05C6" w14:textId="77777777" w:rsidR="001865ED" w:rsidRPr="001865ED" w:rsidRDefault="001865ED" w:rsidP="001865ED">
      <w:pPr>
        <w:pStyle w:val="Bibliography"/>
        <w:rPr>
          <w:lang w:val="en-GB"/>
        </w:rPr>
      </w:pPr>
      <w:r w:rsidRPr="001865ED">
        <w:rPr>
          <w:lang w:val="en-GB"/>
        </w:rPr>
        <w:t xml:space="preserve">44. </w:t>
      </w:r>
      <w:r w:rsidRPr="001865ED">
        <w:rPr>
          <w:lang w:val="en-GB"/>
        </w:rPr>
        <w:tab/>
        <w:t xml:space="preserve">Zhou X, Fernando SM, Pan AY, Laposa R, Cullen KR, Klimes-Dougan B, et al. Characterizing the NLRP3 Inflammasome in Mood Disorders: Overview, Technical Development, and Measures of Peripheral Activation in Adolescent Patients. </w:t>
      </w:r>
      <w:r w:rsidRPr="001865ED">
        <w:rPr>
          <w:i/>
          <w:iCs/>
          <w:lang w:val="en-GB"/>
        </w:rPr>
        <w:t>Int J Mol Sci</w:t>
      </w:r>
      <w:r w:rsidRPr="001865ED">
        <w:rPr>
          <w:lang w:val="en-GB"/>
        </w:rPr>
        <w:t xml:space="preserve"> </w:t>
      </w:r>
      <w:proofErr w:type="gramStart"/>
      <w:r w:rsidRPr="001865ED">
        <w:rPr>
          <w:lang w:val="en-GB"/>
        </w:rPr>
        <w:t>2021;</w:t>
      </w:r>
      <w:r w:rsidRPr="001865ED">
        <w:rPr>
          <w:b/>
          <w:bCs/>
          <w:lang w:val="en-GB"/>
        </w:rPr>
        <w:t>22</w:t>
      </w:r>
      <w:r w:rsidRPr="001865ED">
        <w:rPr>
          <w:lang w:val="en-GB"/>
        </w:rPr>
        <w:t>:12513</w:t>
      </w:r>
      <w:proofErr w:type="gramEnd"/>
      <w:r w:rsidRPr="001865ED">
        <w:rPr>
          <w:lang w:val="en-GB"/>
        </w:rPr>
        <w:t xml:space="preserve">. </w:t>
      </w:r>
    </w:p>
    <w:p w14:paraId="22364816" w14:textId="77777777" w:rsidR="001865ED" w:rsidRPr="001865ED" w:rsidRDefault="001865ED" w:rsidP="001865ED">
      <w:pPr>
        <w:pStyle w:val="Bibliography"/>
        <w:rPr>
          <w:lang w:val="en-GB"/>
        </w:rPr>
      </w:pPr>
      <w:r w:rsidRPr="001865ED">
        <w:rPr>
          <w:lang w:val="en-GB"/>
        </w:rPr>
        <w:lastRenderedPageBreak/>
        <w:t xml:space="preserve">45. </w:t>
      </w:r>
      <w:r w:rsidRPr="001865ED">
        <w:rPr>
          <w:lang w:val="en-GB"/>
        </w:rPr>
        <w:tab/>
        <w:t xml:space="preserve">Libby P. Interleukin-1 Beta as a Target for Atherosclerosis Therapy: Biological Basis of CANTOS and Beyond. </w:t>
      </w:r>
      <w:r w:rsidRPr="001865ED">
        <w:rPr>
          <w:i/>
          <w:iCs/>
          <w:lang w:val="en-GB"/>
        </w:rPr>
        <w:t xml:space="preserve">J Am Coll </w:t>
      </w:r>
      <w:proofErr w:type="spellStart"/>
      <w:r w:rsidRPr="001865ED">
        <w:rPr>
          <w:i/>
          <w:iCs/>
          <w:lang w:val="en-GB"/>
        </w:rPr>
        <w:t>Cardiol</w:t>
      </w:r>
      <w:proofErr w:type="spellEnd"/>
      <w:r w:rsidRPr="001865ED">
        <w:rPr>
          <w:lang w:val="en-GB"/>
        </w:rPr>
        <w:t xml:space="preserve"> </w:t>
      </w:r>
      <w:proofErr w:type="gramStart"/>
      <w:r w:rsidRPr="001865ED">
        <w:rPr>
          <w:lang w:val="en-GB"/>
        </w:rPr>
        <w:t>2017;</w:t>
      </w:r>
      <w:r w:rsidRPr="001865ED">
        <w:rPr>
          <w:b/>
          <w:bCs/>
          <w:lang w:val="en-GB"/>
        </w:rPr>
        <w:t>70</w:t>
      </w:r>
      <w:r w:rsidRPr="001865ED">
        <w:rPr>
          <w:lang w:val="en-GB"/>
        </w:rPr>
        <w:t>:2278</w:t>
      </w:r>
      <w:proofErr w:type="gramEnd"/>
      <w:r w:rsidRPr="001865ED">
        <w:rPr>
          <w:lang w:val="en-GB"/>
        </w:rPr>
        <w:t xml:space="preserve">–2289. </w:t>
      </w:r>
    </w:p>
    <w:p w14:paraId="17782E97" w14:textId="77777777" w:rsidR="001865ED" w:rsidRPr="001865ED" w:rsidRDefault="001865ED" w:rsidP="001865ED">
      <w:pPr>
        <w:pStyle w:val="Bibliography"/>
        <w:rPr>
          <w:lang w:val="en-GB"/>
        </w:rPr>
      </w:pPr>
      <w:r w:rsidRPr="001865ED">
        <w:rPr>
          <w:lang w:val="en-GB"/>
        </w:rPr>
        <w:t xml:space="preserve">46. </w:t>
      </w:r>
      <w:r w:rsidRPr="001865ED">
        <w:rPr>
          <w:lang w:val="en-GB"/>
        </w:rPr>
        <w:tab/>
      </w:r>
      <w:proofErr w:type="spellStart"/>
      <w:r w:rsidRPr="001865ED">
        <w:rPr>
          <w:lang w:val="en-GB"/>
        </w:rPr>
        <w:t>Ridker</w:t>
      </w:r>
      <w:proofErr w:type="spellEnd"/>
      <w:r w:rsidRPr="001865ED">
        <w:rPr>
          <w:lang w:val="en-GB"/>
        </w:rPr>
        <w:t xml:space="preserve"> PM, MacFadyen JG, Thuren T, Libby P. Residual inflammatory risk associated with interleukin-18 and interleukin-6 after successful interleukin-1β inhibition with canakinumab: further rationale for the development of targeted anti-cytokine therapies for the treatment of atherothrombosis. </w:t>
      </w:r>
      <w:proofErr w:type="spellStart"/>
      <w:r w:rsidRPr="001865ED">
        <w:rPr>
          <w:i/>
          <w:iCs/>
          <w:lang w:val="en-GB"/>
        </w:rPr>
        <w:t>Eur</w:t>
      </w:r>
      <w:proofErr w:type="spellEnd"/>
      <w:r w:rsidRPr="001865ED">
        <w:rPr>
          <w:i/>
          <w:iCs/>
          <w:lang w:val="en-GB"/>
        </w:rPr>
        <w:t xml:space="preserve"> Heart J</w:t>
      </w:r>
      <w:r w:rsidRPr="001865ED">
        <w:rPr>
          <w:lang w:val="en-GB"/>
        </w:rPr>
        <w:t xml:space="preserve"> </w:t>
      </w:r>
      <w:proofErr w:type="gramStart"/>
      <w:r w:rsidRPr="001865ED">
        <w:rPr>
          <w:lang w:val="en-GB"/>
        </w:rPr>
        <w:t>2020;</w:t>
      </w:r>
      <w:r w:rsidRPr="001865ED">
        <w:rPr>
          <w:b/>
          <w:bCs/>
          <w:lang w:val="en-GB"/>
        </w:rPr>
        <w:t>41</w:t>
      </w:r>
      <w:r w:rsidRPr="001865ED">
        <w:rPr>
          <w:lang w:val="en-GB"/>
        </w:rPr>
        <w:t>:2153</w:t>
      </w:r>
      <w:proofErr w:type="gramEnd"/>
      <w:r w:rsidRPr="001865ED">
        <w:rPr>
          <w:lang w:val="en-GB"/>
        </w:rPr>
        <w:t xml:space="preserve">–2163. </w:t>
      </w:r>
    </w:p>
    <w:p w14:paraId="78A00BFA" w14:textId="77777777" w:rsidR="001865ED" w:rsidRPr="001865ED" w:rsidRDefault="001865ED" w:rsidP="001865ED">
      <w:pPr>
        <w:pStyle w:val="Bibliography"/>
        <w:rPr>
          <w:lang w:val="en-GB"/>
        </w:rPr>
      </w:pPr>
      <w:r w:rsidRPr="001865ED">
        <w:rPr>
          <w:lang w:val="en-GB"/>
        </w:rPr>
        <w:t xml:space="preserve">47. </w:t>
      </w:r>
      <w:r w:rsidRPr="001865ED">
        <w:rPr>
          <w:lang w:val="en-GB"/>
        </w:rPr>
        <w:tab/>
        <w:t xml:space="preserve">Robinson G, Pineda-Torra I, </w:t>
      </w:r>
      <w:proofErr w:type="spellStart"/>
      <w:r w:rsidRPr="001865ED">
        <w:rPr>
          <w:lang w:val="en-GB"/>
        </w:rPr>
        <w:t>Ciurtin</w:t>
      </w:r>
      <w:proofErr w:type="spellEnd"/>
      <w:r w:rsidRPr="001865ED">
        <w:rPr>
          <w:lang w:val="en-GB"/>
        </w:rPr>
        <w:t xml:space="preserve"> C, Jury EC. Lipid metabolism in autoimmune rheumatic disease: implications for modern and conventional therapies. </w:t>
      </w:r>
      <w:r w:rsidRPr="001865ED">
        <w:rPr>
          <w:i/>
          <w:iCs/>
          <w:lang w:val="en-GB"/>
        </w:rPr>
        <w:t>J Clin Invest</w:t>
      </w:r>
      <w:r w:rsidRPr="001865ED">
        <w:rPr>
          <w:lang w:val="en-GB"/>
        </w:rPr>
        <w:t xml:space="preserve"> 2022;</w:t>
      </w:r>
      <w:proofErr w:type="gramStart"/>
      <w:r w:rsidRPr="001865ED">
        <w:rPr>
          <w:b/>
          <w:bCs/>
          <w:lang w:val="en-GB"/>
        </w:rPr>
        <w:t>132</w:t>
      </w:r>
      <w:r w:rsidRPr="001865ED">
        <w:rPr>
          <w:lang w:val="en-GB"/>
        </w:rPr>
        <w:t>:e</w:t>
      </w:r>
      <w:proofErr w:type="gramEnd"/>
      <w:r w:rsidRPr="001865ED">
        <w:rPr>
          <w:lang w:val="en-GB"/>
        </w:rPr>
        <w:t xml:space="preserve">148552. </w:t>
      </w:r>
    </w:p>
    <w:p w14:paraId="2EF86DB5" w14:textId="77777777" w:rsidR="001865ED" w:rsidRPr="001865ED" w:rsidRDefault="001865ED" w:rsidP="001865ED">
      <w:pPr>
        <w:pStyle w:val="Bibliography"/>
        <w:rPr>
          <w:lang w:val="de-DE"/>
        </w:rPr>
      </w:pPr>
      <w:r w:rsidRPr="001865ED">
        <w:rPr>
          <w:lang w:val="en-GB"/>
        </w:rPr>
        <w:t xml:space="preserve">48. </w:t>
      </w:r>
      <w:r w:rsidRPr="001865ED">
        <w:rPr>
          <w:lang w:val="en-GB"/>
        </w:rPr>
        <w:tab/>
        <w:t xml:space="preserve">The Interleukin 1 Genetics Consortium. Cardiometabolic effects of genetic upregulation of the interleukin 1 receptor antagonist: a Mendelian randomisation analysis. </w:t>
      </w:r>
      <w:r w:rsidRPr="001865ED">
        <w:rPr>
          <w:i/>
          <w:iCs/>
          <w:lang w:val="de-DE"/>
        </w:rPr>
        <w:t xml:space="preserve">Lancet Diabetes </w:t>
      </w:r>
      <w:proofErr w:type="spellStart"/>
      <w:r w:rsidRPr="001865ED">
        <w:rPr>
          <w:i/>
          <w:iCs/>
          <w:lang w:val="de-DE"/>
        </w:rPr>
        <w:t>Endocrinol</w:t>
      </w:r>
      <w:proofErr w:type="spellEnd"/>
      <w:r w:rsidRPr="001865ED">
        <w:rPr>
          <w:lang w:val="de-DE"/>
        </w:rPr>
        <w:t xml:space="preserve"> </w:t>
      </w:r>
      <w:proofErr w:type="gramStart"/>
      <w:r w:rsidRPr="001865ED">
        <w:rPr>
          <w:lang w:val="de-DE"/>
        </w:rPr>
        <w:t>2015;</w:t>
      </w:r>
      <w:r w:rsidRPr="001865ED">
        <w:rPr>
          <w:b/>
          <w:bCs/>
          <w:lang w:val="de-DE"/>
        </w:rPr>
        <w:t>3</w:t>
      </w:r>
      <w:r w:rsidRPr="001865ED">
        <w:rPr>
          <w:lang w:val="de-DE"/>
        </w:rPr>
        <w:t>:243</w:t>
      </w:r>
      <w:proofErr w:type="gramEnd"/>
      <w:r w:rsidRPr="001865ED">
        <w:rPr>
          <w:lang w:val="de-DE"/>
        </w:rPr>
        <w:t xml:space="preserve">–253. </w:t>
      </w:r>
    </w:p>
    <w:p w14:paraId="0B958436" w14:textId="77777777" w:rsidR="001865ED" w:rsidRPr="001865ED" w:rsidRDefault="001865ED" w:rsidP="001865ED">
      <w:pPr>
        <w:pStyle w:val="Bibliography"/>
        <w:rPr>
          <w:lang w:val="en-GB"/>
        </w:rPr>
      </w:pPr>
      <w:r w:rsidRPr="001865ED">
        <w:rPr>
          <w:lang w:val="de-DE"/>
        </w:rPr>
        <w:t xml:space="preserve">49. </w:t>
      </w:r>
      <w:r w:rsidRPr="001865ED">
        <w:rPr>
          <w:lang w:val="de-DE"/>
        </w:rPr>
        <w:tab/>
      </w:r>
      <w:proofErr w:type="spellStart"/>
      <w:r w:rsidRPr="001865ED">
        <w:rPr>
          <w:lang w:val="de-DE"/>
        </w:rPr>
        <w:t>Netea</w:t>
      </w:r>
      <w:proofErr w:type="spellEnd"/>
      <w:r w:rsidRPr="001865ED">
        <w:rPr>
          <w:lang w:val="de-DE"/>
        </w:rPr>
        <w:t xml:space="preserve"> MG, Joosten LAB, Lewis E, Jensen DR, </w:t>
      </w:r>
      <w:proofErr w:type="spellStart"/>
      <w:r w:rsidRPr="001865ED">
        <w:rPr>
          <w:lang w:val="de-DE"/>
        </w:rPr>
        <w:t>Voshol</w:t>
      </w:r>
      <w:proofErr w:type="spellEnd"/>
      <w:r w:rsidRPr="001865ED">
        <w:rPr>
          <w:lang w:val="de-DE"/>
        </w:rPr>
        <w:t xml:space="preserve"> PJ, Kullberg BJ, et al. </w:t>
      </w:r>
      <w:r w:rsidRPr="001865ED">
        <w:rPr>
          <w:lang w:val="en-GB"/>
        </w:rPr>
        <w:t xml:space="preserve">Deficiency of interleukin-18 in mice leads to hyperphagia, obesity and insulin resistance. </w:t>
      </w:r>
      <w:r w:rsidRPr="001865ED">
        <w:rPr>
          <w:i/>
          <w:iCs/>
          <w:lang w:val="en-GB"/>
        </w:rPr>
        <w:t>Nat Med</w:t>
      </w:r>
      <w:r w:rsidRPr="001865ED">
        <w:rPr>
          <w:lang w:val="en-GB"/>
        </w:rPr>
        <w:t xml:space="preserve"> </w:t>
      </w:r>
      <w:proofErr w:type="gramStart"/>
      <w:r w:rsidRPr="001865ED">
        <w:rPr>
          <w:lang w:val="en-GB"/>
        </w:rPr>
        <w:t>2006;</w:t>
      </w:r>
      <w:r w:rsidRPr="001865ED">
        <w:rPr>
          <w:b/>
          <w:bCs/>
          <w:lang w:val="en-GB"/>
        </w:rPr>
        <w:t>12</w:t>
      </w:r>
      <w:r w:rsidRPr="001865ED">
        <w:rPr>
          <w:lang w:val="en-GB"/>
        </w:rPr>
        <w:t>:650</w:t>
      </w:r>
      <w:proofErr w:type="gramEnd"/>
      <w:r w:rsidRPr="001865ED">
        <w:rPr>
          <w:lang w:val="en-GB"/>
        </w:rPr>
        <w:t xml:space="preserve">–656. </w:t>
      </w:r>
    </w:p>
    <w:p w14:paraId="01FDBBBA" w14:textId="77777777" w:rsidR="001865ED" w:rsidRPr="001865ED" w:rsidRDefault="001865ED" w:rsidP="001865ED">
      <w:pPr>
        <w:pStyle w:val="Bibliography"/>
        <w:rPr>
          <w:lang w:val="en-GB"/>
        </w:rPr>
      </w:pPr>
      <w:r w:rsidRPr="001865ED">
        <w:rPr>
          <w:lang w:val="en-GB"/>
        </w:rPr>
        <w:t xml:space="preserve">50. </w:t>
      </w:r>
      <w:r w:rsidRPr="001865ED">
        <w:rPr>
          <w:lang w:val="en-GB"/>
        </w:rPr>
        <w:tab/>
        <w:t xml:space="preserve">Krishnan SM, Ling YH, </w:t>
      </w:r>
      <w:proofErr w:type="spellStart"/>
      <w:r w:rsidRPr="001865ED">
        <w:rPr>
          <w:lang w:val="en-GB"/>
        </w:rPr>
        <w:t>Huuskes</w:t>
      </w:r>
      <w:proofErr w:type="spellEnd"/>
      <w:r w:rsidRPr="001865ED">
        <w:rPr>
          <w:lang w:val="en-GB"/>
        </w:rPr>
        <w:t xml:space="preserve"> BM, Ferens DM, Saini N, Chan CT, et al. Pharmacological inhibition of the NLRP3 inflammasome reduces blood pressure, renal damage, and dysfunction in salt-sensitive hypertension. </w:t>
      </w:r>
      <w:r w:rsidRPr="001865ED">
        <w:rPr>
          <w:i/>
          <w:iCs/>
          <w:lang w:val="en-GB"/>
        </w:rPr>
        <w:t>Cardiovasc Res</w:t>
      </w:r>
      <w:r w:rsidRPr="001865ED">
        <w:rPr>
          <w:lang w:val="en-GB"/>
        </w:rPr>
        <w:t xml:space="preserve"> </w:t>
      </w:r>
      <w:proofErr w:type="gramStart"/>
      <w:r w:rsidRPr="001865ED">
        <w:rPr>
          <w:lang w:val="en-GB"/>
        </w:rPr>
        <w:t>2019;</w:t>
      </w:r>
      <w:r w:rsidRPr="001865ED">
        <w:rPr>
          <w:b/>
          <w:bCs/>
          <w:lang w:val="en-GB"/>
        </w:rPr>
        <w:t>115</w:t>
      </w:r>
      <w:r w:rsidRPr="001865ED">
        <w:rPr>
          <w:lang w:val="en-GB"/>
        </w:rPr>
        <w:t>:776</w:t>
      </w:r>
      <w:proofErr w:type="gramEnd"/>
      <w:r w:rsidRPr="001865ED">
        <w:rPr>
          <w:lang w:val="en-GB"/>
        </w:rPr>
        <w:t xml:space="preserve">–787. </w:t>
      </w:r>
    </w:p>
    <w:p w14:paraId="7E177335" w14:textId="77777777" w:rsidR="001865ED" w:rsidRPr="001865ED" w:rsidRDefault="001865ED" w:rsidP="001865ED">
      <w:pPr>
        <w:pStyle w:val="Bibliography"/>
        <w:rPr>
          <w:lang w:val="en-GB"/>
        </w:rPr>
      </w:pPr>
      <w:r w:rsidRPr="001865ED">
        <w:rPr>
          <w:lang w:val="en-GB"/>
        </w:rPr>
        <w:t xml:space="preserve">51. </w:t>
      </w:r>
      <w:r w:rsidRPr="001865ED">
        <w:rPr>
          <w:lang w:val="en-GB"/>
        </w:rPr>
        <w:tab/>
      </w:r>
      <w:proofErr w:type="spellStart"/>
      <w:r w:rsidRPr="001865ED">
        <w:rPr>
          <w:lang w:val="en-GB"/>
        </w:rPr>
        <w:t>Amancherla</w:t>
      </w:r>
      <w:proofErr w:type="spellEnd"/>
      <w:r w:rsidRPr="001865ED">
        <w:rPr>
          <w:lang w:val="en-GB"/>
        </w:rPr>
        <w:t xml:space="preserve"> K, Wells JA, Bick AG. Clonal </w:t>
      </w:r>
      <w:proofErr w:type="spellStart"/>
      <w:r w:rsidRPr="001865ED">
        <w:rPr>
          <w:lang w:val="en-GB"/>
        </w:rPr>
        <w:t>hematopoiesis</w:t>
      </w:r>
      <w:proofErr w:type="spellEnd"/>
      <w:r w:rsidRPr="001865ED">
        <w:rPr>
          <w:lang w:val="en-GB"/>
        </w:rPr>
        <w:t xml:space="preserve"> and vascular disease. </w:t>
      </w:r>
      <w:r w:rsidRPr="001865ED">
        <w:rPr>
          <w:i/>
          <w:iCs/>
          <w:lang w:val="en-GB"/>
        </w:rPr>
        <w:t xml:space="preserve">Semin </w:t>
      </w:r>
      <w:proofErr w:type="spellStart"/>
      <w:r w:rsidRPr="001865ED">
        <w:rPr>
          <w:i/>
          <w:iCs/>
          <w:lang w:val="en-GB"/>
        </w:rPr>
        <w:t>Immunopathol</w:t>
      </w:r>
      <w:proofErr w:type="spellEnd"/>
      <w:r w:rsidRPr="001865ED">
        <w:rPr>
          <w:lang w:val="en-GB"/>
        </w:rPr>
        <w:t xml:space="preserve"> </w:t>
      </w:r>
      <w:proofErr w:type="gramStart"/>
      <w:r w:rsidRPr="001865ED">
        <w:rPr>
          <w:lang w:val="en-GB"/>
        </w:rPr>
        <w:t>2022;</w:t>
      </w:r>
      <w:r w:rsidRPr="001865ED">
        <w:rPr>
          <w:b/>
          <w:bCs/>
          <w:lang w:val="en-GB"/>
        </w:rPr>
        <w:t>44</w:t>
      </w:r>
      <w:r w:rsidRPr="001865ED">
        <w:rPr>
          <w:lang w:val="en-GB"/>
        </w:rPr>
        <w:t>:303</w:t>
      </w:r>
      <w:proofErr w:type="gramEnd"/>
      <w:r w:rsidRPr="001865ED">
        <w:rPr>
          <w:lang w:val="en-GB"/>
        </w:rPr>
        <w:t xml:space="preserve">–308. </w:t>
      </w:r>
    </w:p>
    <w:p w14:paraId="64ABB1A3" w14:textId="77777777" w:rsidR="001865ED" w:rsidRPr="001865ED" w:rsidRDefault="001865ED" w:rsidP="001865ED">
      <w:pPr>
        <w:pStyle w:val="Bibliography"/>
        <w:rPr>
          <w:lang w:val="en-GB"/>
        </w:rPr>
      </w:pPr>
      <w:r w:rsidRPr="001865ED">
        <w:rPr>
          <w:lang w:val="en-GB"/>
        </w:rPr>
        <w:t xml:space="preserve">52. </w:t>
      </w:r>
      <w:r w:rsidRPr="001865ED">
        <w:rPr>
          <w:lang w:val="en-GB"/>
        </w:rPr>
        <w:tab/>
        <w:t xml:space="preserve">Svensson EC, Madar A, Campbell CD, He Y, Sultan M, Healey ML, et al. TET2-Driven Clonal </w:t>
      </w:r>
      <w:proofErr w:type="spellStart"/>
      <w:r w:rsidRPr="001865ED">
        <w:rPr>
          <w:lang w:val="en-GB"/>
        </w:rPr>
        <w:t>Hematopoiesis</w:t>
      </w:r>
      <w:proofErr w:type="spellEnd"/>
      <w:r w:rsidRPr="001865ED">
        <w:rPr>
          <w:lang w:val="en-GB"/>
        </w:rPr>
        <w:t xml:space="preserve"> and Response to Canakinumab. </w:t>
      </w:r>
      <w:r w:rsidRPr="001865ED">
        <w:rPr>
          <w:i/>
          <w:iCs/>
          <w:lang w:val="en-GB"/>
        </w:rPr>
        <w:t xml:space="preserve">JAMA </w:t>
      </w:r>
      <w:proofErr w:type="spellStart"/>
      <w:r w:rsidRPr="001865ED">
        <w:rPr>
          <w:i/>
          <w:iCs/>
          <w:lang w:val="en-GB"/>
        </w:rPr>
        <w:t>Cardiol</w:t>
      </w:r>
      <w:proofErr w:type="spellEnd"/>
      <w:r w:rsidRPr="001865ED">
        <w:rPr>
          <w:lang w:val="en-GB"/>
        </w:rPr>
        <w:t xml:space="preserve"> </w:t>
      </w:r>
      <w:proofErr w:type="gramStart"/>
      <w:r w:rsidRPr="001865ED">
        <w:rPr>
          <w:lang w:val="en-GB"/>
        </w:rPr>
        <w:t>2022;</w:t>
      </w:r>
      <w:r w:rsidRPr="001865ED">
        <w:rPr>
          <w:b/>
          <w:bCs/>
          <w:lang w:val="en-GB"/>
        </w:rPr>
        <w:t>7</w:t>
      </w:r>
      <w:r w:rsidRPr="001865ED">
        <w:rPr>
          <w:lang w:val="en-GB"/>
        </w:rPr>
        <w:t>:521</w:t>
      </w:r>
      <w:proofErr w:type="gramEnd"/>
      <w:r w:rsidRPr="001865ED">
        <w:rPr>
          <w:lang w:val="en-GB"/>
        </w:rPr>
        <w:t xml:space="preserve">–528. </w:t>
      </w:r>
    </w:p>
    <w:p w14:paraId="29CAB4E0" w14:textId="77777777" w:rsidR="001865ED" w:rsidRPr="001865ED" w:rsidRDefault="001865ED" w:rsidP="001865ED">
      <w:pPr>
        <w:pStyle w:val="Bibliography"/>
        <w:rPr>
          <w:lang w:val="en-GB"/>
        </w:rPr>
      </w:pPr>
      <w:r w:rsidRPr="001865ED">
        <w:rPr>
          <w:lang w:val="de-DE"/>
        </w:rPr>
        <w:t xml:space="preserve">53. </w:t>
      </w:r>
      <w:r w:rsidRPr="001865ED">
        <w:rPr>
          <w:lang w:val="de-DE"/>
        </w:rPr>
        <w:tab/>
        <w:t xml:space="preserve">Schunk SJ, Kleber ME, März W, </w:t>
      </w:r>
      <w:proofErr w:type="spellStart"/>
      <w:r w:rsidRPr="001865ED">
        <w:rPr>
          <w:lang w:val="de-DE"/>
        </w:rPr>
        <w:t>Pang</w:t>
      </w:r>
      <w:proofErr w:type="spellEnd"/>
      <w:r w:rsidRPr="001865ED">
        <w:rPr>
          <w:lang w:val="de-DE"/>
        </w:rPr>
        <w:t xml:space="preserve"> S, </w:t>
      </w:r>
      <w:proofErr w:type="spellStart"/>
      <w:r w:rsidRPr="001865ED">
        <w:rPr>
          <w:lang w:val="de-DE"/>
        </w:rPr>
        <w:t>Zewinger</w:t>
      </w:r>
      <w:proofErr w:type="spellEnd"/>
      <w:r w:rsidRPr="001865ED">
        <w:rPr>
          <w:lang w:val="de-DE"/>
        </w:rPr>
        <w:t xml:space="preserve"> S, Triem S, et al. </w:t>
      </w:r>
      <w:r w:rsidRPr="001865ED">
        <w:rPr>
          <w:lang w:val="en-GB"/>
        </w:rPr>
        <w:t xml:space="preserve">Genetically determined NLRP3 inflammasome activation associates with systemic inflammation and cardiovascular mortality. </w:t>
      </w:r>
      <w:proofErr w:type="spellStart"/>
      <w:r w:rsidRPr="001865ED">
        <w:rPr>
          <w:i/>
          <w:iCs/>
          <w:lang w:val="en-GB"/>
        </w:rPr>
        <w:t>Eur</w:t>
      </w:r>
      <w:proofErr w:type="spellEnd"/>
      <w:r w:rsidRPr="001865ED">
        <w:rPr>
          <w:i/>
          <w:iCs/>
          <w:lang w:val="en-GB"/>
        </w:rPr>
        <w:t xml:space="preserve"> Heart J</w:t>
      </w:r>
      <w:r w:rsidRPr="001865ED">
        <w:rPr>
          <w:lang w:val="en-GB"/>
        </w:rPr>
        <w:t xml:space="preserve"> </w:t>
      </w:r>
      <w:proofErr w:type="gramStart"/>
      <w:r w:rsidRPr="001865ED">
        <w:rPr>
          <w:lang w:val="en-GB"/>
        </w:rPr>
        <w:t>2021;</w:t>
      </w:r>
      <w:r w:rsidRPr="001865ED">
        <w:rPr>
          <w:b/>
          <w:bCs/>
          <w:lang w:val="en-GB"/>
        </w:rPr>
        <w:t>42</w:t>
      </w:r>
      <w:r w:rsidRPr="001865ED">
        <w:rPr>
          <w:lang w:val="en-GB"/>
        </w:rPr>
        <w:t>:1742</w:t>
      </w:r>
      <w:proofErr w:type="gramEnd"/>
      <w:r w:rsidRPr="001865ED">
        <w:rPr>
          <w:lang w:val="en-GB"/>
        </w:rPr>
        <w:t xml:space="preserve">–1756. </w:t>
      </w:r>
    </w:p>
    <w:p w14:paraId="6089B61D" w14:textId="77777777" w:rsidR="001865ED" w:rsidRPr="001865ED" w:rsidRDefault="001865ED" w:rsidP="001865ED">
      <w:pPr>
        <w:pStyle w:val="Bibliography"/>
        <w:rPr>
          <w:lang w:val="en-GB"/>
        </w:rPr>
      </w:pPr>
      <w:r w:rsidRPr="001865ED">
        <w:rPr>
          <w:lang w:val="en-GB"/>
        </w:rPr>
        <w:t xml:space="preserve">54. </w:t>
      </w:r>
      <w:r w:rsidRPr="001865ED">
        <w:rPr>
          <w:lang w:val="en-GB"/>
        </w:rPr>
        <w:tab/>
        <w:t xml:space="preserve">Martinon F, </w:t>
      </w:r>
      <w:proofErr w:type="spellStart"/>
      <w:r w:rsidRPr="001865ED">
        <w:rPr>
          <w:lang w:val="en-GB"/>
        </w:rPr>
        <w:t>Pétrilli</w:t>
      </w:r>
      <w:proofErr w:type="spellEnd"/>
      <w:r w:rsidRPr="001865ED">
        <w:rPr>
          <w:lang w:val="en-GB"/>
        </w:rPr>
        <w:t xml:space="preserve"> V, Mayor A, </w:t>
      </w:r>
      <w:proofErr w:type="spellStart"/>
      <w:r w:rsidRPr="001865ED">
        <w:rPr>
          <w:lang w:val="en-GB"/>
        </w:rPr>
        <w:t>Tardivel</w:t>
      </w:r>
      <w:proofErr w:type="spellEnd"/>
      <w:r w:rsidRPr="001865ED">
        <w:rPr>
          <w:lang w:val="en-GB"/>
        </w:rPr>
        <w:t xml:space="preserve"> A, Tschopp J. Gout-associated uric acid crystals activate the NALP3 inflammasome. </w:t>
      </w:r>
      <w:r w:rsidRPr="001865ED">
        <w:rPr>
          <w:i/>
          <w:iCs/>
          <w:lang w:val="en-GB"/>
        </w:rPr>
        <w:t>Nature</w:t>
      </w:r>
      <w:r w:rsidRPr="001865ED">
        <w:rPr>
          <w:lang w:val="en-GB"/>
        </w:rPr>
        <w:t xml:space="preserve"> </w:t>
      </w:r>
      <w:proofErr w:type="gramStart"/>
      <w:r w:rsidRPr="001865ED">
        <w:rPr>
          <w:lang w:val="en-GB"/>
        </w:rPr>
        <w:t>2006;</w:t>
      </w:r>
      <w:r w:rsidRPr="001865ED">
        <w:rPr>
          <w:b/>
          <w:bCs/>
          <w:lang w:val="en-GB"/>
        </w:rPr>
        <w:t>440</w:t>
      </w:r>
      <w:r w:rsidRPr="001865ED">
        <w:rPr>
          <w:lang w:val="en-GB"/>
        </w:rPr>
        <w:t>:237</w:t>
      </w:r>
      <w:proofErr w:type="gramEnd"/>
      <w:r w:rsidRPr="001865ED">
        <w:rPr>
          <w:lang w:val="en-GB"/>
        </w:rPr>
        <w:t xml:space="preserve">–241. </w:t>
      </w:r>
    </w:p>
    <w:p w14:paraId="1E1C4DFB" w14:textId="77777777" w:rsidR="001865ED" w:rsidRPr="001865ED" w:rsidRDefault="001865ED" w:rsidP="001865ED">
      <w:pPr>
        <w:pStyle w:val="Bibliography"/>
        <w:rPr>
          <w:lang w:val="en-GB"/>
        </w:rPr>
      </w:pPr>
      <w:r w:rsidRPr="001865ED">
        <w:rPr>
          <w:lang w:val="en-GB"/>
        </w:rPr>
        <w:t xml:space="preserve">55. </w:t>
      </w:r>
      <w:r w:rsidRPr="001865ED">
        <w:rPr>
          <w:lang w:val="en-GB"/>
        </w:rPr>
        <w:tab/>
        <w:t xml:space="preserve">Klein AL, </w:t>
      </w:r>
      <w:proofErr w:type="spellStart"/>
      <w:r w:rsidRPr="001865ED">
        <w:rPr>
          <w:lang w:val="en-GB"/>
        </w:rPr>
        <w:t>Imazio</w:t>
      </w:r>
      <w:proofErr w:type="spellEnd"/>
      <w:r w:rsidRPr="001865ED">
        <w:rPr>
          <w:lang w:val="en-GB"/>
        </w:rPr>
        <w:t xml:space="preserve"> M, Cremer P, Brucato A, Abbate A, Fang F, et al. Phase 3 Trial of Interleukin-1 Trap Rilonacept in Recurrent Pericarditis. </w:t>
      </w:r>
      <w:r w:rsidRPr="001865ED">
        <w:rPr>
          <w:i/>
          <w:iCs/>
          <w:lang w:val="en-GB"/>
        </w:rPr>
        <w:t>N Engl J Med</w:t>
      </w:r>
      <w:r w:rsidRPr="001865ED">
        <w:rPr>
          <w:lang w:val="en-GB"/>
        </w:rPr>
        <w:t xml:space="preserve"> </w:t>
      </w:r>
      <w:proofErr w:type="gramStart"/>
      <w:r w:rsidRPr="001865ED">
        <w:rPr>
          <w:lang w:val="en-GB"/>
        </w:rPr>
        <w:t>2021;</w:t>
      </w:r>
      <w:r w:rsidRPr="001865ED">
        <w:rPr>
          <w:b/>
          <w:bCs/>
          <w:lang w:val="en-GB"/>
        </w:rPr>
        <w:t>384</w:t>
      </w:r>
      <w:r w:rsidRPr="001865ED">
        <w:rPr>
          <w:lang w:val="en-GB"/>
        </w:rPr>
        <w:t>:31</w:t>
      </w:r>
      <w:proofErr w:type="gramEnd"/>
      <w:r w:rsidRPr="001865ED">
        <w:rPr>
          <w:lang w:val="en-GB"/>
        </w:rPr>
        <w:t xml:space="preserve">–41. </w:t>
      </w:r>
    </w:p>
    <w:p w14:paraId="3EE848B0" w14:textId="77777777" w:rsidR="001865ED" w:rsidRPr="001865ED" w:rsidRDefault="001865ED" w:rsidP="001865ED">
      <w:pPr>
        <w:pStyle w:val="Bibliography"/>
        <w:rPr>
          <w:lang w:val="de-DE"/>
        </w:rPr>
      </w:pPr>
      <w:r w:rsidRPr="001865ED">
        <w:rPr>
          <w:lang w:val="en-GB"/>
        </w:rPr>
        <w:t xml:space="preserve">56. </w:t>
      </w:r>
      <w:r w:rsidRPr="001865ED">
        <w:rPr>
          <w:lang w:val="en-GB"/>
        </w:rPr>
        <w:tab/>
        <w:t xml:space="preserve">Senkevich K, Liu L, Alvarado CX, Leonard HL, Nalls MA, Gan-Or Z. Lack of genetic evidence for NLRP3 inflammasome involvement in Parkinson’s disease pathogenesis. </w:t>
      </w:r>
      <w:proofErr w:type="gramStart"/>
      <w:r w:rsidRPr="001865ED">
        <w:rPr>
          <w:i/>
          <w:iCs/>
          <w:lang w:val="de-DE"/>
        </w:rPr>
        <w:t>NPJ Park</w:t>
      </w:r>
      <w:proofErr w:type="gramEnd"/>
      <w:r w:rsidRPr="001865ED">
        <w:rPr>
          <w:i/>
          <w:iCs/>
          <w:lang w:val="de-DE"/>
        </w:rPr>
        <w:t xml:space="preserve"> Dis</w:t>
      </w:r>
      <w:r w:rsidRPr="001865ED">
        <w:rPr>
          <w:lang w:val="de-DE"/>
        </w:rPr>
        <w:t xml:space="preserve"> </w:t>
      </w:r>
      <w:proofErr w:type="gramStart"/>
      <w:r w:rsidRPr="001865ED">
        <w:rPr>
          <w:lang w:val="de-DE"/>
        </w:rPr>
        <w:t>2024;</w:t>
      </w:r>
      <w:r w:rsidRPr="001865ED">
        <w:rPr>
          <w:b/>
          <w:bCs/>
          <w:lang w:val="de-DE"/>
        </w:rPr>
        <w:t>10</w:t>
      </w:r>
      <w:r w:rsidRPr="001865ED">
        <w:rPr>
          <w:lang w:val="de-DE"/>
        </w:rPr>
        <w:t>:145</w:t>
      </w:r>
      <w:proofErr w:type="gramEnd"/>
      <w:r w:rsidRPr="001865ED">
        <w:rPr>
          <w:lang w:val="de-DE"/>
        </w:rPr>
        <w:t xml:space="preserve">. </w:t>
      </w:r>
    </w:p>
    <w:p w14:paraId="70394BBF" w14:textId="77777777" w:rsidR="001865ED" w:rsidRPr="001865ED" w:rsidRDefault="001865ED" w:rsidP="001865ED">
      <w:pPr>
        <w:pStyle w:val="Bibliography"/>
        <w:rPr>
          <w:lang w:val="en-GB"/>
        </w:rPr>
      </w:pPr>
      <w:r w:rsidRPr="001865ED">
        <w:rPr>
          <w:lang w:val="de-DE"/>
        </w:rPr>
        <w:t xml:space="preserve">57. </w:t>
      </w:r>
      <w:r w:rsidRPr="001865ED">
        <w:rPr>
          <w:lang w:val="de-DE"/>
        </w:rPr>
        <w:tab/>
        <w:t xml:space="preserve">Gill D, </w:t>
      </w:r>
      <w:proofErr w:type="spellStart"/>
      <w:r w:rsidRPr="001865ED">
        <w:rPr>
          <w:lang w:val="de-DE"/>
        </w:rPr>
        <w:t>Dib</w:t>
      </w:r>
      <w:proofErr w:type="spellEnd"/>
      <w:r w:rsidRPr="001865ED">
        <w:rPr>
          <w:lang w:val="de-DE"/>
        </w:rPr>
        <w:t xml:space="preserve"> M-J, </w:t>
      </w:r>
      <w:proofErr w:type="spellStart"/>
      <w:r w:rsidRPr="001865ED">
        <w:rPr>
          <w:lang w:val="de-DE"/>
        </w:rPr>
        <w:t>Cronjé</w:t>
      </w:r>
      <w:proofErr w:type="spellEnd"/>
      <w:r w:rsidRPr="001865ED">
        <w:rPr>
          <w:lang w:val="de-DE"/>
        </w:rPr>
        <w:t xml:space="preserve"> HT, Karhunen V, Woolf B, Gagnon E, et al. </w:t>
      </w:r>
      <w:r w:rsidRPr="001865ED">
        <w:rPr>
          <w:lang w:val="en-GB"/>
        </w:rPr>
        <w:t xml:space="preserve">Common pitfalls in drug target Mendelian randomization and how to avoid them. </w:t>
      </w:r>
      <w:r w:rsidRPr="001865ED">
        <w:rPr>
          <w:i/>
          <w:iCs/>
          <w:lang w:val="en-GB"/>
        </w:rPr>
        <w:t>BMC Med</w:t>
      </w:r>
      <w:r w:rsidRPr="001865ED">
        <w:rPr>
          <w:lang w:val="en-GB"/>
        </w:rPr>
        <w:t xml:space="preserve"> </w:t>
      </w:r>
      <w:proofErr w:type="gramStart"/>
      <w:r w:rsidRPr="001865ED">
        <w:rPr>
          <w:lang w:val="en-GB"/>
        </w:rPr>
        <w:t>2024;</w:t>
      </w:r>
      <w:r w:rsidRPr="001865ED">
        <w:rPr>
          <w:b/>
          <w:bCs/>
          <w:lang w:val="en-GB"/>
        </w:rPr>
        <w:t>22</w:t>
      </w:r>
      <w:r w:rsidRPr="001865ED">
        <w:rPr>
          <w:lang w:val="en-GB"/>
        </w:rPr>
        <w:t>:473</w:t>
      </w:r>
      <w:proofErr w:type="gramEnd"/>
      <w:r w:rsidRPr="001865ED">
        <w:rPr>
          <w:lang w:val="en-GB"/>
        </w:rPr>
        <w:t xml:space="preserve">. </w:t>
      </w:r>
    </w:p>
    <w:p w14:paraId="611BC6FC" w14:textId="77777777" w:rsidR="001865ED" w:rsidRPr="001865ED" w:rsidRDefault="001865ED" w:rsidP="001865ED">
      <w:pPr>
        <w:pStyle w:val="Bibliography"/>
        <w:rPr>
          <w:lang w:val="en-GB"/>
        </w:rPr>
      </w:pPr>
      <w:r w:rsidRPr="001865ED">
        <w:rPr>
          <w:lang w:val="en-GB"/>
        </w:rPr>
        <w:t xml:space="preserve">58. </w:t>
      </w:r>
      <w:r w:rsidRPr="001865ED">
        <w:rPr>
          <w:lang w:val="en-GB"/>
        </w:rPr>
        <w:tab/>
        <w:t xml:space="preserve">Davey Smith G, Timpson N, Ebrahim S. Strengthening causal inference in cardiovascular epidemiology through Mendelian randomization. </w:t>
      </w:r>
      <w:r w:rsidRPr="001865ED">
        <w:rPr>
          <w:i/>
          <w:iCs/>
          <w:lang w:val="en-GB"/>
        </w:rPr>
        <w:t>Ann Med</w:t>
      </w:r>
      <w:r w:rsidRPr="001865ED">
        <w:rPr>
          <w:lang w:val="en-GB"/>
        </w:rPr>
        <w:t xml:space="preserve"> </w:t>
      </w:r>
      <w:proofErr w:type="gramStart"/>
      <w:r w:rsidRPr="001865ED">
        <w:rPr>
          <w:lang w:val="en-GB"/>
        </w:rPr>
        <w:t>2008;</w:t>
      </w:r>
      <w:r w:rsidRPr="001865ED">
        <w:rPr>
          <w:b/>
          <w:bCs/>
          <w:lang w:val="en-GB"/>
        </w:rPr>
        <w:t>40</w:t>
      </w:r>
      <w:r w:rsidRPr="001865ED">
        <w:rPr>
          <w:lang w:val="en-GB"/>
        </w:rPr>
        <w:t>:524</w:t>
      </w:r>
      <w:proofErr w:type="gramEnd"/>
      <w:r w:rsidRPr="001865ED">
        <w:rPr>
          <w:lang w:val="en-GB"/>
        </w:rPr>
        <w:t xml:space="preserve">–541. </w:t>
      </w:r>
    </w:p>
    <w:p w14:paraId="01ADA145" w14:textId="77777777" w:rsidR="001865ED" w:rsidRPr="001865ED" w:rsidRDefault="001865ED" w:rsidP="001865ED">
      <w:pPr>
        <w:pStyle w:val="Bibliography"/>
        <w:rPr>
          <w:lang w:val="en-GB"/>
        </w:rPr>
      </w:pPr>
      <w:r w:rsidRPr="001865ED">
        <w:rPr>
          <w:lang w:val="en-GB"/>
        </w:rPr>
        <w:t xml:space="preserve">59. </w:t>
      </w:r>
      <w:r w:rsidRPr="001865ED">
        <w:rPr>
          <w:lang w:val="en-GB"/>
        </w:rPr>
        <w:tab/>
        <w:t xml:space="preserve">Chang CC, Chow CC, Tellier LC, Vattikuti S, Purcell SM, Lee JJ. Second-generation PLINK: rising to the challenge of larger and richer datasets. </w:t>
      </w:r>
      <w:proofErr w:type="spellStart"/>
      <w:r w:rsidRPr="001865ED">
        <w:rPr>
          <w:i/>
          <w:iCs/>
          <w:lang w:val="en-GB"/>
        </w:rPr>
        <w:t>GigaScience</w:t>
      </w:r>
      <w:proofErr w:type="spellEnd"/>
      <w:r w:rsidRPr="001865ED">
        <w:rPr>
          <w:lang w:val="en-GB"/>
        </w:rPr>
        <w:t xml:space="preserve"> </w:t>
      </w:r>
      <w:proofErr w:type="gramStart"/>
      <w:r w:rsidRPr="001865ED">
        <w:rPr>
          <w:lang w:val="en-GB"/>
        </w:rPr>
        <w:t>2015;</w:t>
      </w:r>
      <w:r w:rsidRPr="001865ED">
        <w:rPr>
          <w:b/>
          <w:bCs/>
          <w:lang w:val="en-GB"/>
        </w:rPr>
        <w:t>4</w:t>
      </w:r>
      <w:r w:rsidRPr="001865ED">
        <w:rPr>
          <w:lang w:val="en-GB"/>
        </w:rPr>
        <w:t>:7</w:t>
      </w:r>
      <w:proofErr w:type="gramEnd"/>
      <w:r w:rsidRPr="001865ED">
        <w:rPr>
          <w:lang w:val="en-GB"/>
        </w:rPr>
        <w:t xml:space="preserve">. </w:t>
      </w:r>
    </w:p>
    <w:p w14:paraId="7D1080DF" w14:textId="77777777" w:rsidR="001865ED" w:rsidRPr="001865ED" w:rsidRDefault="001865ED" w:rsidP="001865ED">
      <w:pPr>
        <w:pStyle w:val="Bibliography"/>
        <w:rPr>
          <w:lang w:val="de-DE"/>
        </w:rPr>
      </w:pPr>
      <w:r w:rsidRPr="001865ED">
        <w:rPr>
          <w:lang w:val="en-GB"/>
        </w:rPr>
        <w:lastRenderedPageBreak/>
        <w:t xml:space="preserve">60. </w:t>
      </w:r>
      <w:r w:rsidRPr="001865ED">
        <w:rPr>
          <w:lang w:val="en-GB"/>
        </w:rPr>
        <w:tab/>
        <w:t xml:space="preserve">Ritchie SC, Surendran P, Karthikeyan S, Lambert SA, Bolton T, Pennells L, et al. Quality control and removal of technical variation of NMR metabolic biomarker data in ~120,000 UK Biobank participants. </w:t>
      </w:r>
      <w:proofErr w:type="spellStart"/>
      <w:r w:rsidRPr="001865ED">
        <w:rPr>
          <w:i/>
          <w:iCs/>
          <w:lang w:val="de-DE"/>
        </w:rPr>
        <w:t>Sci</w:t>
      </w:r>
      <w:proofErr w:type="spellEnd"/>
      <w:r w:rsidRPr="001865ED">
        <w:rPr>
          <w:i/>
          <w:iCs/>
          <w:lang w:val="de-DE"/>
        </w:rPr>
        <w:t xml:space="preserve"> Data</w:t>
      </w:r>
      <w:r w:rsidRPr="001865ED">
        <w:rPr>
          <w:lang w:val="de-DE"/>
        </w:rPr>
        <w:t xml:space="preserve"> </w:t>
      </w:r>
      <w:proofErr w:type="gramStart"/>
      <w:r w:rsidRPr="001865ED">
        <w:rPr>
          <w:lang w:val="de-DE"/>
        </w:rPr>
        <w:t>2023;</w:t>
      </w:r>
      <w:r w:rsidRPr="001865ED">
        <w:rPr>
          <w:b/>
          <w:bCs/>
          <w:lang w:val="de-DE"/>
        </w:rPr>
        <w:t>10</w:t>
      </w:r>
      <w:r w:rsidRPr="001865ED">
        <w:rPr>
          <w:lang w:val="de-DE"/>
        </w:rPr>
        <w:t>:64</w:t>
      </w:r>
      <w:proofErr w:type="gramEnd"/>
      <w:r w:rsidRPr="001865ED">
        <w:rPr>
          <w:lang w:val="de-DE"/>
        </w:rPr>
        <w:t xml:space="preserve">. </w:t>
      </w:r>
    </w:p>
    <w:p w14:paraId="7D2CDCAD" w14:textId="77777777" w:rsidR="001865ED" w:rsidRPr="001865ED" w:rsidRDefault="001865ED" w:rsidP="001865ED">
      <w:pPr>
        <w:pStyle w:val="Bibliography"/>
        <w:rPr>
          <w:lang w:val="en-GB"/>
        </w:rPr>
      </w:pPr>
      <w:r w:rsidRPr="001865ED">
        <w:rPr>
          <w:lang w:val="de-DE"/>
        </w:rPr>
        <w:t xml:space="preserve">61. </w:t>
      </w:r>
      <w:r w:rsidRPr="001865ED">
        <w:rPr>
          <w:lang w:val="de-DE"/>
        </w:rPr>
        <w:tab/>
        <w:t xml:space="preserve">Astle WJ, Elding H, Jiang T, Allen D, </w:t>
      </w:r>
      <w:proofErr w:type="spellStart"/>
      <w:r w:rsidRPr="001865ED">
        <w:rPr>
          <w:lang w:val="de-DE"/>
        </w:rPr>
        <w:t>Ruklisa</w:t>
      </w:r>
      <w:proofErr w:type="spellEnd"/>
      <w:r w:rsidRPr="001865ED">
        <w:rPr>
          <w:lang w:val="de-DE"/>
        </w:rPr>
        <w:t xml:space="preserve"> D, Mann AL, et al. </w:t>
      </w:r>
      <w:r w:rsidRPr="001865ED">
        <w:rPr>
          <w:lang w:val="en-GB"/>
        </w:rPr>
        <w:t xml:space="preserve">The Allelic Landscape of Human Blood Cell Trait Variation and Links to Common Complex Disease. </w:t>
      </w:r>
      <w:r w:rsidRPr="001865ED">
        <w:rPr>
          <w:i/>
          <w:iCs/>
          <w:lang w:val="en-GB"/>
        </w:rPr>
        <w:t>Cell</w:t>
      </w:r>
      <w:r w:rsidRPr="001865ED">
        <w:rPr>
          <w:lang w:val="en-GB"/>
        </w:rPr>
        <w:t xml:space="preserve"> </w:t>
      </w:r>
      <w:proofErr w:type="gramStart"/>
      <w:r w:rsidRPr="001865ED">
        <w:rPr>
          <w:lang w:val="en-GB"/>
        </w:rPr>
        <w:t>2016;</w:t>
      </w:r>
      <w:r w:rsidRPr="001865ED">
        <w:rPr>
          <w:b/>
          <w:bCs/>
          <w:lang w:val="en-GB"/>
        </w:rPr>
        <w:t>167</w:t>
      </w:r>
      <w:r w:rsidRPr="001865ED">
        <w:rPr>
          <w:lang w:val="en-GB"/>
        </w:rPr>
        <w:t>:1415</w:t>
      </w:r>
      <w:proofErr w:type="gramEnd"/>
      <w:r w:rsidRPr="001865ED">
        <w:rPr>
          <w:lang w:val="en-GB"/>
        </w:rPr>
        <w:t xml:space="preserve">-1429.e19. </w:t>
      </w:r>
    </w:p>
    <w:p w14:paraId="3D1ADEBF" w14:textId="77777777" w:rsidR="001865ED" w:rsidRPr="001865ED" w:rsidRDefault="001865ED" w:rsidP="001865ED">
      <w:pPr>
        <w:pStyle w:val="Bibliography"/>
        <w:rPr>
          <w:lang w:val="en-GB"/>
        </w:rPr>
      </w:pPr>
      <w:r w:rsidRPr="001865ED">
        <w:rPr>
          <w:lang w:val="en-GB"/>
        </w:rPr>
        <w:t xml:space="preserve">62. </w:t>
      </w:r>
      <w:r w:rsidRPr="001865ED">
        <w:rPr>
          <w:lang w:val="en-GB"/>
        </w:rPr>
        <w:tab/>
        <w:t xml:space="preserve">Wu T, Hu E, Xu S, Chen M, Guo P, Dai Z, et al. </w:t>
      </w:r>
      <w:proofErr w:type="spellStart"/>
      <w:r w:rsidRPr="001865ED">
        <w:rPr>
          <w:lang w:val="en-GB"/>
        </w:rPr>
        <w:t>clusterProfiler</w:t>
      </w:r>
      <w:proofErr w:type="spellEnd"/>
      <w:r w:rsidRPr="001865ED">
        <w:rPr>
          <w:lang w:val="en-GB"/>
        </w:rPr>
        <w:t xml:space="preserve"> 4.0: A universal enrichment tool for interpreting omics data. </w:t>
      </w:r>
      <w:r w:rsidRPr="001865ED">
        <w:rPr>
          <w:i/>
          <w:iCs/>
          <w:lang w:val="en-GB"/>
        </w:rPr>
        <w:t>The Innovation</w:t>
      </w:r>
      <w:r w:rsidRPr="001865ED">
        <w:rPr>
          <w:lang w:val="en-GB"/>
        </w:rPr>
        <w:t xml:space="preserve"> </w:t>
      </w:r>
      <w:proofErr w:type="gramStart"/>
      <w:r w:rsidRPr="001865ED">
        <w:rPr>
          <w:lang w:val="en-GB"/>
        </w:rPr>
        <w:t>2021;</w:t>
      </w:r>
      <w:r w:rsidRPr="001865ED">
        <w:rPr>
          <w:b/>
          <w:bCs/>
          <w:lang w:val="en-GB"/>
        </w:rPr>
        <w:t>2</w:t>
      </w:r>
      <w:r w:rsidRPr="001865ED">
        <w:rPr>
          <w:lang w:val="en-GB"/>
        </w:rPr>
        <w:t>:100141</w:t>
      </w:r>
      <w:proofErr w:type="gramEnd"/>
      <w:r w:rsidRPr="001865ED">
        <w:rPr>
          <w:lang w:val="en-GB"/>
        </w:rPr>
        <w:t xml:space="preserve">. </w:t>
      </w:r>
    </w:p>
    <w:p w14:paraId="4AE00FA4" w14:textId="77777777" w:rsidR="001865ED" w:rsidRPr="001865ED" w:rsidRDefault="001865ED" w:rsidP="001865ED">
      <w:pPr>
        <w:pStyle w:val="Bibliography"/>
        <w:rPr>
          <w:lang w:val="en-GB"/>
        </w:rPr>
      </w:pPr>
      <w:r w:rsidRPr="001865ED">
        <w:rPr>
          <w:lang w:val="en-GB"/>
        </w:rPr>
        <w:t xml:space="preserve">63. </w:t>
      </w:r>
      <w:r w:rsidRPr="001865ED">
        <w:rPr>
          <w:lang w:val="en-GB"/>
        </w:rPr>
        <w:tab/>
      </w:r>
      <w:proofErr w:type="spellStart"/>
      <w:r w:rsidRPr="001865ED">
        <w:rPr>
          <w:lang w:val="en-GB"/>
        </w:rPr>
        <w:t>Dolgalev</w:t>
      </w:r>
      <w:proofErr w:type="spellEnd"/>
      <w:r w:rsidRPr="001865ED">
        <w:rPr>
          <w:lang w:val="en-GB"/>
        </w:rPr>
        <w:t xml:space="preserve"> I. </w:t>
      </w:r>
      <w:proofErr w:type="spellStart"/>
      <w:r w:rsidRPr="001865ED">
        <w:rPr>
          <w:i/>
          <w:iCs/>
          <w:lang w:val="en-GB"/>
        </w:rPr>
        <w:t>msigdbr</w:t>
      </w:r>
      <w:proofErr w:type="spellEnd"/>
      <w:r w:rsidRPr="001865ED">
        <w:rPr>
          <w:i/>
          <w:iCs/>
          <w:lang w:val="en-GB"/>
        </w:rPr>
        <w:t xml:space="preserve">: </w:t>
      </w:r>
      <w:proofErr w:type="spellStart"/>
      <w:r w:rsidRPr="001865ED">
        <w:rPr>
          <w:i/>
          <w:iCs/>
          <w:lang w:val="en-GB"/>
        </w:rPr>
        <w:t>MSigDB</w:t>
      </w:r>
      <w:proofErr w:type="spellEnd"/>
      <w:r w:rsidRPr="001865ED">
        <w:rPr>
          <w:i/>
          <w:iCs/>
          <w:lang w:val="en-GB"/>
        </w:rPr>
        <w:t xml:space="preserve"> Gene Sets for Multiple Organisms in a Tidy Data Format</w:t>
      </w:r>
      <w:r w:rsidRPr="001865ED">
        <w:rPr>
          <w:lang w:val="en-GB"/>
        </w:rPr>
        <w:t xml:space="preserve">. 2025. </w:t>
      </w:r>
    </w:p>
    <w:p w14:paraId="10C4E0A5" w14:textId="77777777" w:rsidR="001865ED" w:rsidRPr="001865ED" w:rsidRDefault="001865ED" w:rsidP="001865ED">
      <w:pPr>
        <w:pStyle w:val="Bibliography"/>
        <w:rPr>
          <w:lang w:val="en-GB"/>
        </w:rPr>
      </w:pPr>
      <w:r w:rsidRPr="001865ED">
        <w:rPr>
          <w:lang w:val="en-GB"/>
        </w:rPr>
        <w:t xml:space="preserve">64. </w:t>
      </w:r>
      <w:r w:rsidRPr="001865ED">
        <w:rPr>
          <w:lang w:val="en-GB"/>
        </w:rPr>
        <w:tab/>
        <w:t xml:space="preserve">Benjamini Y, Hochberg Y. Controlling the False Discovery Rate: A Practical and Powerful Approach to Multiple Testing. </w:t>
      </w:r>
      <w:r w:rsidRPr="001865ED">
        <w:rPr>
          <w:i/>
          <w:iCs/>
          <w:lang w:val="en-GB"/>
        </w:rPr>
        <w:t xml:space="preserve">J R Stat Soc Ser B </w:t>
      </w:r>
      <w:proofErr w:type="spellStart"/>
      <w:r w:rsidRPr="001865ED">
        <w:rPr>
          <w:i/>
          <w:iCs/>
          <w:lang w:val="en-GB"/>
        </w:rPr>
        <w:t>Methodol</w:t>
      </w:r>
      <w:proofErr w:type="spellEnd"/>
      <w:r w:rsidRPr="001865ED">
        <w:rPr>
          <w:lang w:val="en-GB"/>
        </w:rPr>
        <w:t xml:space="preserve"> </w:t>
      </w:r>
      <w:proofErr w:type="gramStart"/>
      <w:r w:rsidRPr="001865ED">
        <w:rPr>
          <w:lang w:val="en-GB"/>
        </w:rPr>
        <w:t>1995;</w:t>
      </w:r>
      <w:r w:rsidRPr="001865ED">
        <w:rPr>
          <w:b/>
          <w:bCs/>
          <w:lang w:val="en-GB"/>
        </w:rPr>
        <w:t>57</w:t>
      </w:r>
      <w:r w:rsidRPr="001865ED">
        <w:rPr>
          <w:lang w:val="en-GB"/>
        </w:rPr>
        <w:t>:289</w:t>
      </w:r>
      <w:proofErr w:type="gramEnd"/>
      <w:r w:rsidRPr="001865ED">
        <w:rPr>
          <w:lang w:val="en-GB"/>
        </w:rPr>
        <w:t xml:space="preserve">–300. </w:t>
      </w:r>
    </w:p>
    <w:p w14:paraId="6BEADA27" w14:textId="77777777" w:rsidR="001865ED" w:rsidRPr="001865ED" w:rsidRDefault="001865ED" w:rsidP="001865ED">
      <w:pPr>
        <w:pStyle w:val="Bibliography"/>
        <w:rPr>
          <w:lang w:val="en-GB"/>
        </w:rPr>
      </w:pPr>
      <w:r w:rsidRPr="001865ED">
        <w:rPr>
          <w:lang w:val="en-GB"/>
        </w:rPr>
        <w:t xml:space="preserve">65. </w:t>
      </w:r>
      <w:r w:rsidRPr="001865ED">
        <w:rPr>
          <w:lang w:val="en-GB"/>
        </w:rPr>
        <w:tab/>
        <w:t xml:space="preserve">Mangan MSJ, </w:t>
      </w:r>
      <w:proofErr w:type="spellStart"/>
      <w:r w:rsidRPr="001865ED">
        <w:rPr>
          <w:lang w:val="en-GB"/>
        </w:rPr>
        <w:t>Olhava</w:t>
      </w:r>
      <w:proofErr w:type="spellEnd"/>
      <w:r w:rsidRPr="001865ED">
        <w:rPr>
          <w:lang w:val="en-GB"/>
        </w:rPr>
        <w:t xml:space="preserve"> EJ, Roush WR, Seidel HM, Glick GD, Latz E. Targeting the NLRP3 inflammasome in inflammatory diseases. </w:t>
      </w:r>
      <w:r w:rsidRPr="001865ED">
        <w:rPr>
          <w:i/>
          <w:iCs/>
          <w:lang w:val="en-GB"/>
        </w:rPr>
        <w:t xml:space="preserve">Nat Rev Drug </w:t>
      </w:r>
      <w:proofErr w:type="spellStart"/>
      <w:r w:rsidRPr="001865ED">
        <w:rPr>
          <w:i/>
          <w:iCs/>
          <w:lang w:val="en-GB"/>
        </w:rPr>
        <w:t>Discov</w:t>
      </w:r>
      <w:proofErr w:type="spellEnd"/>
      <w:r w:rsidRPr="001865ED">
        <w:rPr>
          <w:lang w:val="en-GB"/>
        </w:rPr>
        <w:t xml:space="preserve"> </w:t>
      </w:r>
      <w:proofErr w:type="gramStart"/>
      <w:r w:rsidRPr="001865ED">
        <w:rPr>
          <w:lang w:val="en-GB"/>
        </w:rPr>
        <w:t>2018;</w:t>
      </w:r>
      <w:r w:rsidRPr="001865ED">
        <w:rPr>
          <w:b/>
          <w:bCs/>
          <w:lang w:val="en-GB"/>
        </w:rPr>
        <w:t>17</w:t>
      </w:r>
      <w:r w:rsidRPr="001865ED">
        <w:rPr>
          <w:lang w:val="en-GB"/>
        </w:rPr>
        <w:t>:588</w:t>
      </w:r>
      <w:proofErr w:type="gramEnd"/>
      <w:r w:rsidRPr="001865ED">
        <w:rPr>
          <w:lang w:val="en-GB"/>
        </w:rPr>
        <w:t xml:space="preserve">–606. </w:t>
      </w:r>
    </w:p>
    <w:p w14:paraId="38CC4E03" w14:textId="2BBFFD8F" w:rsidR="009A56E4" w:rsidRPr="008C12C7" w:rsidRDefault="008C6629" w:rsidP="001865ED">
      <w:pPr>
        <w:pStyle w:val="Bibliography"/>
        <w:rPr>
          <w:lang w:val="en-GB"/>
        </w:rPr>
      </w:pPr>
      <w:r w:rsidRPr="008C12C7">
        <w:rPr>
          <w:lang w:val="en-GB"/>
        </w:rPr>
        <w:fldChar w:fldCharType="end"/>
      </w:r>
      <w:bookmarkEnd w:id="140"/>
    </w:p>
    <w:sectPr w:rsidR="009A56E4" w:rsidRPr="008C12C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20DDFD" w14:textId="77777777" w:rsidR="007318F4" w:rsidRDefault="007318F4" w:rsidP="00E21EC8">
      <w:r>
        <w:separator/>
      </w:r>
    </w:p>
  </w:endnote>
  <w:endnote w:type="continuationSeparator" w:id="0">
    <w:p w14:paraId="3E2D0E52" w14:textId="77777777" w:rsidR="007318F4" w:rsidRDefault="007318F4" w:rsidP="00E21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81F53CF-2FB4-9547-BE47-5E2CF0E178A7}"/>
    <w:embedBold r:id="rId2" w:fontKey="{21DDA404-57E4-9A48-B788-EF0A91F9DF80}"/>
    <w:embedItalic r:id="rId3" w:fontKey="{1184AC1D-52AC-5146-818F-55232D482421}"/>
    <w:embedBoldItalic r:id="rId4" w:fontKey="{8DAC64B3-D71B-B846-8CAC-520FEF860F24}"/>
  </w:font>
  <w:font w:name="Calibri">
    <w:panose1 w:val="020F0502020204030204"/>
    <w:charset w:val="00"/>
    <w:family w:val="swiss"/>
    <w:pitch w:val="variable"/>
    <w:sig w:usb0="E0002AFF" w:usb1="C000247B" w:usb2="00000009" w:usb3="00000000" w:csb0="000001FF" w:csb1="00000000"/>
    <w:embedRegular r:id="rId5" w:fontKey="{CD27FAF1-B972-1C43-BED4-FAD82DECB305}"/>
  </w:font>
  <w:font w:name="Cambria Math">
    <w:panose1 w:val="02040503050406030204"/>
    <w:charset w:val="00"/>
    <w:family w:val="roman"/>
    <w:pitch w:val="variable"/>
    <w:sig w:usb0="E00002FF" w:usb1="420024FF" w:usb2="00000000" w:usb3="00000000" w:csb0="0000019F" w:csb1="00000000"/>
    <w:embedRegular r:id="rId6" w:fontKey="{267AEFC9-E85F-AC4D-81B6-C615C7B693B2}"/>
    <w:embedItalic r:id="rId7" w:fontKey="{37F5A01E-FF22-494F-84A7-26DDFFFC5601}"/>
  </w:font>
  <w:font w:name="Cambria">
    <w:panose1 w:val="02040503050406030204"/>
    <w:charset w:val="00"/>
    <w:family w:val="roman"/>
    <w:pitch w:val="variable"/>
    <w:sig w:usb0="E00002FF" w:usb1="400004FF" w:usb2="00000000" w:usb3="00000000" w:csb0="0000019F" w:csb1="00000000"/>
    <w:embedRegular r:id="rId8" w:fontKey="{E6904B43-FBEC-1E4A-A382-B5C868F029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5062178"/>
      <w:docPartObj>
        <w:docPartGallery w:val="Page Numbers (Bottom of Page)"/>
        <w:docPartUnique/>
      </w:docPartObj>
    </w:sdtPr>
    <w:sdtContent>
      <w:p w14:paraId="0409A2D7" w14:textId="4A8981EC" w:rsidR="007E7B37" w:rsidRDefault="007E7B37" w:rsidP="00E244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542484" w14:textId="77777777" w:rsidR="007E7B37" w:rsidRDefault="007E7B37" w:rsidP="007E7B3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18298910"/>
      <w:docPartObj>
        <w:docPartGallery w:val="Page Numbers (Bottom of Page)"/>
        <w:docPartUnique/>
      </w:docPartObj>
    </w:sdtPr>
    <w:sdtContent>
      <w:p w14:paraId="6073C589" w14:textId="6130A6AB" w:rsidR="007E7B37" w:rsidRDefault="007E7B37" w:rsidP="00E244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F851B43" w14:textId="77777777" w:rsidR="007E7B37" w:rsidRDefault="007E7B37" w:rsidP="007E7B3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BA6D67" w14:textId="77777777" w:rsidR="007318F4" w:rsidRDefault="007318F4" w:rsidP="00E21EC8">
      <w:r>
        <w:separator/>
      </w:r>
    </w:p>
  </w:footnote>
  <w:footnote w:type="continuationSeparator" w:id="0">
    <w:p w14:paraId="35DFAC87" w14:textId="77777777" w:rsidR="007318F4" w:rsidRDefault="007318F4" w:rsidP="00E21EC8">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0D"/>
    <w:rsid w:val="00000462"/>
    <w:rsid w:val="00004A90"/>
    <w:rsid w:val="00007387"/>
    <w:rsid w:val="0001067C"/>
    <w:rsid w:val="00032097"/>
    <w:rsid w:val="00033E70"/>
    <w:rsid w:val="000400EC"/>
    <w:rsid w:val="0006324E"/>
    <w:rsid w:val="00065E96"/>
    <w:rsid w:val="00067FEA"/>
    <w:rsid w:val="00070838"/>
    <w:rsid w:val="00071846"/>
    <w:rsid w:val="000719F9"/>
    <w:rsid w:val="00071C96"/>
    <w:rsid w:val="00075A7A"/>
    <w:rsid w:val="00086DCA"/>
    <w:rsid w:val="00086F04"/>
    <w:rsid w:val="00092B41"/>
    <w:rsid w:val="00093B53"/>
    <w:rsid w:val="00096204"/>
    <w:rsid w:val="000A0EFA"/>
    <w:rsid w:val="000B5B8C"/>
    <w:rsid w:val="000B5D1C"/>
    <w:rsid w:val="000C072B"/>
    <w:rsid w:val="000C25F4"/>
    <w:rsid w:val="000C66FC"/>
    <w:rsid w:val="000C77B4"/>
    <w:rsid w:val="000C7DE3"/>
    <w:rsid w:val="000E111D"/>
    <w:rsid w:val="000E5645"/>
    <w:rsid w:val="000E729D"/>
    <w:rsid w:val="000F0D5F"/>
    <w:rsid w:val="000F39C4"/>
    <w:rsid w:val="000F62A6"/>
    <w:rsid w:val="000F6A18"/>
    <w:rsid w:val="00101CAA"/>
    <w:rsid w:val="00102C60"/>
    <w:rsid w:val="001070F6"/>
    <w:rsid w:val="00110B27"/>
    <w:rsid w:val="00112FE3"/>
    <w:rsid w:val="00113EDC"/>
    <w:rsid w:val="00115D7B"/>
    <w:rsid w:val="001241EB"/>
    <w:rsid w:val="00124D30"/>
    <w:rsid w:val="001352D5"/>
    <w:rsid w:val="00137F15"/>
    <w:rsid w:val="00143487"/>
    <w:rsid w:val="0014364A"/>
    <w:rsid w:val="001442CF"/>
    <w:rsid w:val="00146ECD"/>
    <w:rsid w:val="00154067"/>
    <w:rsid w:val="00156749"/>
    <w:rsid w:val="001568C8"/>
    <w:rsid w:val="00163A6E"/>
    <w:rsid w:val="001645D6"/>
    <w:rsid w:val="00164974"/>
    <w:rsid w:val="001656F0"/>
    <w:rsid w:val="00171383"/>
    <w:rsid w:val="001717A1"/>
    <w:rsid w:val="00175DC2"/>
    <w:rsid w:val="00180857"/>
    <w:rsid w:val="00180A42"/>
    <w:rsid w:val="001810F7"/>
    <w:rsid w:val="00181367"/>
    <w:rsid w:val="00185F2E"/>
    <w:rsid w:val="001865ED"/>
    <w:rsid w:val="001904F1"/>
    <w:rsid w:val="00191C32"/>
    <w:rsid w:val="001942C7"/>
    <w:rsid w:val="001978CA"/>
    <w:rsid w:val="001A150A"/>
    <w:rsid w:val="001A2BBB"/>
    <w:rsid w:val="001B05E7"/>
    <w:rsid w:val="001B11BA"/>
    <w:rsid w:val="001B24B8"/>
    <w:rsid w:val="001B2519"/>
    <w:rsid w:val="001B6ECE"/>
    <w:rsid w:val="001C133E"/>
    <w:rsid w:val="001D53EC"/>
    <w:rsid w:val="001D6CF2"/>
    <w:rsid w:val="001E6FDD"/>
    <w:rsid w:val="001E7375"/>
    <w:rsid w:val="001E76BA"/>
    <w:rsid w:val="001F3D1D"/>
    <w:rsid w:val="001F4904"/>
    <w:rsid w:val="001F50F1"/>
    <w:rsid w:val="001F6A6E"/>
    <w:rsid w:val="002018B1"/>
    <w:rsid w:val="0020341E"/>
    <w:rsid w:val="00203715"/>
    <w:rsid w:val="00205589"/>
    <w:rsid w:val="0021071F"/>
    <w:rsid w:val="00212ED3"/>
    <w:rsid w:val="002136C6"/>
    <w:rsid w:val="00224128"/>
    <w:rsid w:val="0022583D"/>
    <w:rsid w:val="0022720B"/>
    <w:rsid w:val="00233049"/>
    <w:rsid w:val="0024356E"/>
    <w:rsid w:val="00246822"/>
    <w:rsid w:val="00254B04"/>
    <w:rsid w:val="00260E74"/>
    <w:rsid w:val="0026298D"/>
    <w:rsid w:val="002650FC"/>
    <w:rsid w:val="00265699"/>
    <w:rsid w:val="002741E9"/>
    <w:rsid w:val="002819B0"/>
    <w:rsid w:val="00282170"/>
    <w:rsid w:val="00282788"/>
    <w:rsid w:val="00283A92"/>
    <w:rsid w:val="00283EFA"/>
    <w:rsid w:val="0028449B"/>
    <w:rsid w:val="002900BA"/>
    <w:rsid w:val="00296D39"/>
    <w:rsid w:val="002A3B07"/>
    <w:rsid w:val="002B1574"/>
    <w:rsid w:val="002B39C9"/>
    <w:rsid w:val="002B422D"/>
    <w:rsid w:val="002C3889"/>
    <w:rsid w:val="002C3F3B"/>
    <w:rsid w:val="002C583B"/>
    <w:rsid w:val="002C7351"/>
    <w:rsid w:val="002C7C54"/>
    <w:rsid w:val="002D6447"/>
    <w:rsid w:val="002E2B52"/>
    <w:rsid w:val="002E2C5C"/>
    <w:rsid w:val="002E39EA"/>
    <w:rsid w:val="002E5ECD"/>
    <w:rsid w:val="002F05F3"/>
    <w:rsid w:val="002F33BE"/>
    <w:rsid w:val="002F4CC2"/>
    <w:rsid w:val="00300668"/>
    <w:rsid w:val="003008A4"/>
    <w:rsid w:val="0030591F"/>
    <w:rsid w:val="0031486B"/>
    <w:rsid w:val="00330362"/>
    <w:rsid w:val="00332B99"/>
    <w:rsid w:val="003334DE"/>
    <w:rsid w:val="0033370D"/>
    <w:rsid w:val="0033600A"/>
    <w:rsid w:val="00337C49"/>
    <w:rsid w:val="00337E53"/>
    <w:rsid w:val="0034513F"/>
    <w:rsid w:val="0034795D"/>
    <w:rsid w:val="003552AE"/>
    <w:rsid w:val="00355414"/>
    <w:rsid w:val="00364944"/>
    <w:rsid w:val="00364BA6"/>
    <w:rsid w:val="00372E8A"/>
    <w:rsid w:val="0037738E"/>
    <w:rsid w:val="00384422"/>
    <w:rsid w:val="003902DB"/>
    <w:rsid w:val="00390498"/>
    <w:rsid w:val="00393826"/>
    <w:rsid w:val="00395F3D"/>
    <w:rsid w:val="0039702D"/>
    <w:rsid w:val="003A12B0"/>
    <w:rsid w:val="003A3BD6"/>
    <w:rsid w:val="003A3F68"/>
    <w:rsid w:val="003A5B5B"/>
    <w:rsid w:val="003B3631"/>
    <w:rsid w:val="003C0518"/>
    <w:rsid w:val="003C08CF"/>
    <w:rsid w:val="003C25AB"/>
    <w:rsid w:val="003C4FC5"/>
    <w:rsid w:val="003C5805"/>
    <w:rsid w:val="003C6F2B"/>
    <w:rsid w:val="003C75C5"/>
    <w:rsid w:val="003D0400"/>
    <w:rsid w:val="003D369C"/>
    <w:rsid w:val="003D4523"/>
    <w:rsid w:val="003E14C5"/>
    <w:rsid w:val="003E46AC"/>
    <w:rsid w:val="003E5997"/>
    <w:rsid w:val="003E5F8F"/>
    <w:rsid w:val="003E7B20"/>
    <w:rsid w:val="003E7D02"/>
    <w:rsid w:val="003F437C"/>
    <w:rsid w:val="003F6517"/>
    <w:rsid w:val="003F6C51"/>
    <w:rsid w:val="0040022A"/>
    <w:rsid w:val="0040195A"/>
    <w:rsid w:val="00403592"/>
    <w:rsid w:val="00405F4A"/>
    <w:rsid w:val="004118F1"/>
    <w:rsid w:val="004123D5"/>
    <w:rsid w:val="00415315"/>
    <w:rsid w:val="00420E5C"/>
    <w:rsid w:val="00425120"/>
    <w:rsid w:val="00432A17"/>
    <w:rsid w:val="00436FB7"/>
    <w:rsid w:val="004404E3"/>
    <w:rsid w:val="00441783"/>
    <w:rsid w:val="00450DC5"/>
    <w:rsid w:val="004515AA"/>
    <w:rsid w:val="00453D26"/>
    <w:rsid w:val="004565BB"/>
    <w:rsid w:val="004570FA"/>
    <w:rsid w:val="004625A5"/>
    <w:rsid w:val="0046291D"/>
    <w:rsid w:val="00462AE0"/>
    <w:rsid w:val="00462D38"/>
    <w:rsid w:val="00465809"/>
    <w:rsid w:val="00471C96"/>
    <w:rsid w:val="004757C4"/>
    <w:rsid w:val="00483D7E"/>
    <w:rsid w:val="0049311B"/>
    <w:rsid w:val="0049359A"/>
    <w:rsid w:val="00495FF2"/>
    <w:rsid w:val="004974F7"/>
    <w:rsid w:val="00497DC1"/>
    <w:rsid w:val="004A36DE"/>
    <w:rsid w:val="004B0B6A"/>
    <w:rsid w:val="004B2038"/>
    <w:rsid w:val="004B2CEC"/>
    <w:rsid w:val="004B4F49"/>
    <w:rsid w:val="004B562B"/>
    <w:rsid w:val="004C7475"/>
    <w:rsid w:val="004C75EA"/>
    <w:rsid w:val="004C7E03"/>
    <w:rsid w:val="004D16FA"/>
    <w:rsid w:val="004D1A75"/>
    <w:rsid w:val="004E1F17"/>
    <w:rsid w:val="004F2E26"/>
    <w:rsid w:val="004F3B1E"/>
    <w:rsid w:val="004F43BF"/>
    <w:rsid w:val="005007EB"/>
    <w:rsid w:val="0050352C"/>
    <w:rsid w:val="005063C9"/>
    <w:rsid w:val="0051003D"/>
    <w:rsid w:val="00511ECF"/>
    <w:rsid w:val="005177F9"/>
    <w:rsid w:val="005227E9"/>
    <w:rsid w:val="00531C6D"/>
    <w:rsid w:val="0053314D"/>
    <w:rsid w:val="00533BE0"/>
    <w:rsid w:val="00533E96"/>
    <w:rsid w:val="00534987"/>
    <w:rsid w:val="00542E28"/>
    <w:rsid w:val="00554DA9"/>
    <w:rsid w:val="0056205E"/>
    <w:rsid w:val="00564B62"/>
    <w:rsid w:val="00570A02"/>
    <w:rsid w:val="00570DA7"/>
    <w:rsid w:val="00571FFE"/>
    <w:rsid w:val="005727B8"/>
    <w:rsid w:val="005825E2"/>
    <w:rsid w:val="005827F4"/>
    <w:rsid w:val="00582B39"/>
    <w:rsid w:val="00584299"/>
    <w:rsid w:val="00584BBA"/>
    <w:rsid w:val="0058686E"/>
    <w:rsid w:val="0058780C"/>
    <w:rsid w:val="005909BC"/>
    <w:rsid w:val="0059237A"/>
    <w:rsid w:val="00592557"/>
    <w:rsid w:val="00596DEC"/>
    <w:rsid w:val="005A0735"/>
    <w:rsid w:val="005A200D"/>
    <w:rsid w:val="005A5DD5"/>
    <w:rsid w:val="005B6613"/>
    <w:rsid w:val="005D38B2"/>
    <w:rsid w:val="005D786C"/>
    <w:rsid w:val="005E76D7"/>
    <w:rsid w:val="005F103D"/>
    <w:rsid w:val="005F1F29"/>
    <w:rsid w:val="005F54D2"/>
    <w:rsid w:val="005F56A7"/>
    <w:rsid w:val="005F74C4"/>
    <w:rsid w:val="006025B8"/>
    <w:rsid w:val="00604D0D"/>
    <w:rsid w:val="006073A7"/>
    <w:rsid w:val="006113DB"/>
    <w:rsid w:val="0061756A"/>
    <w:rsid w:val="006258C4"/>
    <w:rsid w:val="00630E3F"/>
    <w:rsid w:val="006331F3"/>
    <w:rsid w:val="0064059F"/>
    <w:rsid w:val="00645EF1"/>
    <w:rsid w:val="0064674C"/>
    <w:rsid w:val="0065188A"/>
    <w:rsid w:val="00656369"/>
    <w:rsid w:val="006574CE"/>
    <w:rsid w:val="00661DB9"/>
    <w:rsid w:val="006657D8"/>
    <w:rsid w:val="00667742"/>
    <w:rsid w:val="00673D33"/>
    <w:rsid w:val="00675B55"/>
    <w:rsid w:val="00676417"/>
    <w:rsid w:val="00677718"/>
    <w:rsid w:val="00683BE3"/>
    <w:rsid w:val="0068474E"/>
    <w:rsid w:val="006864C9"/>
    <w:rsid w:val="00690C71"/>
    <w:rsid w:val="00690F25"/>
    <w:rsid w:val="006941A1"/>
    <w:rsid w:val="0069682A"/>
    <w:rsid w:val="006A1B91"/>
    <w:rsid w:val="006C0BF7"/>
    <w:rsid w:val="006C1B13"/>
    <w:rsid w:val="006C7049"/>
    <w:rsid w:val="006D380D"/>
    <w:rsid w:val="006D5A24"/>
    <w:rsid w:val="006D7C18"/>
    <w:rsid w:val="006E2266"/>
    <w:rsid w:val="006E5471"/>
    <w:rsid w:val="006E7DD4"/>
    <w:rsid w:val="006F15CA"/>
    <w:rsid w:val="006F6EDC"/>
    <w:rsid w:val="00707B7A"/>
    <w:rsid w:val="007118E0"/>
    <w:rsid w:val="00712262"/>
    <w:rsid w:val="00713E55"/>
    <w:rsid w:val="00717533"/>
    <w:rsid w:val="007201A3"/>
    <w:rsid w:val="00720FAA"/>
    <w:rsid w:val="007318F4"/>
    <w:rsid w:val="00731D09"/>
    <w:rsid w:val="0073470D"/>
    <w:rsid w:val="00735987"/>
    <w:rsid w:val="00737626"/>
    <w:rsid w:val="00746C91"/>
    <w:rsid w:val="007512FB"/>
    <w:rsid w:val="007540D7"/>
    <w:rsid w:val="00755756"/>
    <w:rsid w:val="0075693A"/>
    <w:rsid w:val="0075796C"/>
    <w:rsid w:val="00757C4D"/>
    <w:rsid w:val="0076067F"/>
    <w:rsid w:val="00763ECC"/>
    <w:rsid w:val="007666CB"/>
    <w:rsid w:val="00771124"/>
    <w:rsid w:val="00772A96"/>
    <w:rsid w:val="00777C33"/>
    <w:rsid w:val="00780ABA"/>
    <w:rsid w:val="00782112"/>
    <w:rsid w:val="00787A14"/>
    <w:rsid w:val="00790E85"/>
    <w:rsid w:val="00793622"/>
    <w:rsid w:val="00795BBA"/>
    <w:rsid w:val="00797C0E"/>
    <w:rsid w:val="007A0A3E"/>
    <w:rsid w:val="007A255D"/>
    <w:rsid w:val="007A269A"/>
    <w:rsid w:val="007A43A9"/>
    <w:rsid w:val="007B46FB"/>
    <w:rsid w:val="007B4D19"/>
    <w:rsid w:val="007B7052"/>
    <w:rsid w:val="007D0AB9"/>
    <w:rsid w:val="007D6F1E"/>
    <w:rsid w:val="007E1339"/>
    <w:rsid w:val="007E53ED"/>
    <w:rsid w:val="007E7B37"/>
    <w:rsid w:val="007F02A8"/>
    <w:rsid w:val="007F1199"/>
    <w:rsid w:val="007F18BA"/>
    <w:rsid w:val="007F44C1"/>
    <w:rsid w:val="008004EC"/>
    <w:rsid w:val="00810938"/>
    <w:rsid w:val="00811B0A"/>
    <w:rsid w:val="00812546"/>
    <w:rsid w:val="008125DB"/>
    <w:rsid w:val="00813508"/>
    <w:rsid w:val="008143C4"/>
    <w:rsid w:val="00814ED4"/>
    <w:rsid w:val="00822769"/>
    <w:rsid w:val="008257CF"/>
    <w:rsid w:val="00825D2D"/>
    <w:rsid w:val="00843516"/>
    <w:rsid w:val="0085311A"/>
    <w:rsid w:val="00853509"/>
    <w:rsid w:val="0085463D"/>
    <w:rsid w:val="00854721"/>
    <w:rsid w:val="00856C68"/>
    <w:rsid w:val="00872431"/>
    <w:rsid w:val="00881C6F"/>
    <w:rsid w:val="008855B4"/>
    <w:rsid w:val="00890A62"/>
    <w:rsid w:val="008A34FA"/>
    <w:rsid w:val="008A3C88"/>
    <w:rsid w:val="008B0C74"/>
    <w:rsid w:val="008B2580"/>
    <w:rsid w:val="008B3E25"/>
    <w:rsid w:val="008B3F0D"/>
    <w:rsid w:val="008B577D"/>
    <w:rsid w:val="008B62ED"/>
    <w:rsid w:val="008B6405"/>
    <w:rsid w:val="008B6E7B"/>
    <w:rsid w:val="008C01D7"/>
    <w:rsid w:val="008C12C7"/>
    <w:rsid w:val="008C1369"/>
    <w:rsid w:val="008C6629"/>
    <w:rsid w:val="008C66B8"/>
    <w:rsid w:val="008D13FE"/>
    <w:rsid w:val="008D44C0"/>
    <w:rsid w:val="008D6925"/>
    <w:rsid w:val="008D783C"/>
    <w:rsid w:val="008E4D1C"/>
    <w:rsid w:val="008E6D23"/>
    <w:rsid w:val="008F24D7"/>
    <w:rsid w:val="008F2882"/>
    <w:rsid w:val="008F2E2B"/>
    <w:rsid w:val="008F4134"/>
    <w:rsid w:val="008F4854"/>
    <w:rsid w:val="009116F7"/>
    <w:rsid w:val="0091285E"/>
    <w:rsid w:val="0091307D"/>
    <w:rsid w:val="00913855"/>
    <w:rsid w:val="009251C7"/>
    <w:rsid w:val="00927CD1"/>
    <w:rsid w:val="00930F4F"/>
    <w:rsid w:val="009325E9"/>
    <w:rsid w:val="0093427A"/>
    <w:rsid w:val="00934C93"/>
    <w:rsid w:val="0094129F"/>
    <w:rsid w:val="0094171B"/>
    <w:rsid w:val="009466D5"/>
    <w:rsid w:val="0094694D"/>
    <w:rsid w:val="00947E43"/>
    <w:rsid w:val="009507A0"/>
    <w:rsid w:val="0095105D"/>
    <w:rsid w:val="009549FF"/>
    <w:rsid w:val="009556BA"/>
    <w:rsid w:val="0095703A"/>
    <w:rsid w:val="0096482F"/>
    <w:rsid w:val="0096612F"/>
    <w:rsid w:val="00973152"/>
    <w:rsid w:val="00981ECF"/>
    <w:rsid w:val="0098697B"/>
    <w:rsid w:val="009874AC"/>
    <w:rsid w:val="00994692"/>
    <w:rsid w:val="00996AC5"/>
    <w:rsid w:val="009A56E4"/>
    <w:rsid w:val="009B184A"/>
    <w:rsid w:val="009C1D19"/>
    <w:rsid w:val="009C2007"/>
    <w:rsid w:val="009C2699"/>
    <w:rsid w:val="009C356B"/>
    <w:rsid w:val="009C5D63"/>
    <w:rsid w:val="009C7196"/>
    <w:rsid w:val="009D1018"/>
    <w:rsid w:val="009D1C82"/>
    <w:rsid w:val="009D7ADD"/>
    <w:rsid w:val="009E0419"/>
    <w:rsid w:val="009E0B36"/>
    <w:rsid w:val="009F2639"/>
    <w:rsid w:val="009F6FC1"/>
    <w:rsid w:val="00A067D5"/>
    <w:rsid w:val="00A103F3"/>
    <w:rsid w:val="00A13410"/>
    <w:rsid w:val="00A13F60"/>
    <w:rsid w:val="00A146DC"/>
    <w:rsid w:val="00A2581A"/>
    <w:rsid w:val="00A31DF9"/>
    <w:rsid w:val="00A35910"/>
    <w:rsid w:val="00A35D56"/>
    <w:rsid w:val="00A40202"/>
    <w:rsid w:val="00A40965"/>
    <w:rsid w:val="00A43D1C"/>
    <w:rsid w:val="00A44C83"/>
    <w:rsid w:val="00A44D78"/>
    <w:rsid w:val="00A46486"/>
    <w:rsid w:val="00A46FBD"/>
    <w:rsid w:val="00A50154"/>
    <w:rsid w:val="00A50E5C"/>
    <w:rsid w:val="00A5188D"/>
    <w:rsid w:val="00A54B30"/>
    <w:rsid w:val="00A63DEA"/>
    <w:rsid w:val="00A66DD6"/>
    <w:rsid w:val="00A82FBB"/>
    <w:rsid w:val="00A83320"/>
    <w:rsid w:val="00A8366C"/>
    <w:rsid w:val="00A848F4"/>
    <w:rsid w:val="00A96EB5"/>
    <w:rsid w:val="00AA01B1"/>
    <w:rsid w:val="00AA44FE"/>
    <w:rsid w:val="00AA4DE0"/>
    <w:rsid w:val="00AA6FB8"/>
    <w:rsid w:val="00AB378E"/>
    <w:rsid w:val="00AB4D13"/>
    <w:rsid w:val="00AB5D92"/>
    <w:rsid w:val="00AB7422"/>
    <w:rsid w:val="00AC040C"/>
    <w:rsid w:val="00AC54A0"/>
    <w:rsid w:val="00AC7A74"/>
    <w:rsid w:val="00B01D8C"/>
    <w:rsid w:val="00B108EC"/>
    <w:rsid w:val="00B14389"/>
    <w:rsid w:val="00B14DC8"/>
    <w:rsid w:val="00B1537E"/>
    <w:rsid w:val="00B17CF4"/>
    <w:rsid w:val="00B212A6"/>
    <w:rsid w:val="00B300DC"/>
    <w:rsid w:val="00B30194"/>
    <w:rsid w:val="00B320B1"/>
    <w:rsid w:val="00B3275A"/>
    <w:rsid w:val="00B41A96"/>
    <w:rsid w:val="00B4331D"/>
    <w:rsid w:val="00B4529B"/>
    <w:rsid w:val="00B4613D"/>
    <w:rsid w:val="00B47DFA"/>
    <w:rsid w:val="00B50FA7"/>
    <w:rsid w:val="00B51ABC"/>
    <w:rsid w:val="00B5254B"/>
    <w:rsid w:val="00B544E6"/>
    <w:rsid w:val="00B63025"/>
    <w:rsid w:val="00B6618E"/>
    <w:rsid w:val="00B718DA"/>
    <w:rsid w:val="00B808A3"/>
    <w:rsid w:val="00B80F6F"/>
    <w:rsid w:val="00B84FB7"/>
    <w:rsid w:val="00B91462"/>
    <w:rsid w:val="00B92CD1"/>
    <w:rsid w:val="00B93DFE"/>
    <w:rsid w:val="00B95A1F"/>
    <w:rsid w:val="00BA0A6E"/>
    <w:rsid w:val="00BA1660"/>
    <w:rsid w:val="00BA1CF3"/>
    <w:rsid w:val="00BA4CDF"/>
    <w:rsid w:val="00BB2D23"/>
    <w:rsid w:val="00BB46C3"/>
    <w:rsid w:val="00BC0AAA"/>
    <w:rsid w:val="00BC115B"/>
    <w:rsid w:val="00BC3BA7"/>
    <w:rsid w:val="00BD1F45"/>
    <w:rsid w:val="00BD7234"/>
    <w:rsid w:val="00BD7EF5"/>
    <w:rsid w:val="00BE1BB7"/>
    <w:rsid w:val="00BE2158"/>
    <w:rsid w:val="00BE25A5"/>
    <w:rsid w:val="00BE2AAA"/>
    <w:rsid w:val="00BE73EE"/>
    <w:rsid w:val="00BF2E0F"/>
    <w:rsid w:val="00BF2EF5"/>
    <w:rsid w:val="00BF4084"/>
    <w:rsid w:val="00BF4B8A"/>
    <w:rsid w:val="00BF5C0E"/>
    <w:rsid w:val="00C00961"/>
    <w:rsid w:val="00C01A65"/>
    <w:rsid w:val="00C030A8"/>
    <w:rsid w:val="00C05C66"/>
    <w:rsid w:val="00C10A3F"/>
    <w:rsid w:val="00C113DE"/>
    <w:rsid w:val="00C12A7C"/>
    <w:rsid w:val="00C14331"/>
    <w:rsid w:val="00C154EB"/>
    <w:rsid w:val="00C1569F"/>
    <w:rsid w:val="00C165B1"/>
    <w:rsid w:val="00C262BA"/>
    <w:rsid w:val="00C31E8B"/>
    <w:rsid w:val="00C321D3"/>
    <w:rsid w:val="00C341DB"/>
    <w:rsid w:val="00C35410"/>
    <w:rsid w:val="00C4007C"/>
    <w:rsid w:val="00C40AA4"/>
    <w:rsid w:val="00C42247"/>
    <w:rsid w:val="00C42976"/>
    <w:rsid w:val="00C4299F"/>
    <w:rsid w:val="00C44123"/>
    <w:rsid w:val="00C564C8"/>
    <w:rsid w:val="00C63C0A"/>
    <w:rsid w:val="00C66272"/>
    <w:rsid w:val="00C71C1E"/>
    <w:rsid w:val="00C73909"/>
    <w:rsid w:val="00C740B9"/>
    <w:rsid w:val="00C80BF0"/>
    <w:rsid w:val="00C827B2"/>
    <w:rsid w:val="00C8320F"/>
    <w:rsid w:val="00C83ACE"/>
    <w:rsid w:val="00C8484A"/>
    <w:rsid w:val="00C91B97"/>
    <w:rsid w:val="00CA19B3"/>
    <w:rsid w:val="00CB02FA"/>
    <w:rsid w:val="00CB1FB9"/>
    <w:rsid w:val="00CB42F1"/>
    <w:rsid w:val="00CB5373"/>
    <w:rsid w:val="00CB7260"/>
    <w:rsid w:val="00CC2547"/>
    <w:rsid w:val="00CC2DAC"/>
    <w:rsid w:val="00CC4675"/>
    <w:rsid w:val="00CC5B78"/>
    <w:rsid w:val="00CC6E31"/>
    <w:rsid w:val="00CD0B1A"/>
    <w:rsid w:val="00CD10AE"/>
    <w:rsid w:val="00CD241D"/>
    <w:rsid w:val="00CD78E9"/>
    <w:rsid w:val="00CE51DC"/>
    <w:rsid w:val="00CE6885"/>
    <w:rsid w:val="00CF2945"/>
    <w:rsid w:val="00CF57AB"/>
    <w:rsid w:val="00CF59E8"/>
    <w:rsid w:val="00D0040B"/>
    <w:rsid w:val="00D03B3E"/>
    <w:rsid w:val="00D03DFC"/>
    <w:rsid w:val="00D04431"/>
    <w:rsid w:val="00D07286"/>
    <w:rsid w:val="00D14F65"/>
    <w:rsid w:val="00D24011"/>
    <w:rsid w:val="00D24ED7"/>
    <w:rsid w:val="00D30501"/>
    <w:rsid w:val="00D33C92"/>
    <w:rsid w:val="00D362BD"/>
    <w:rsid w:val="00D3657C"/>
    <w:rsid w:val="00D41851"/>
    <w:rsid w:val="00D47E7E"/>
    <w:rsid w:val="00D560DF"/>
    <w:rsid w:val="00D60CF9"/>
    <w:rsid w:val="00D719A3"/>
    <w:rsid w:val="00D75628"/>
    <w:rsid w:val="00D85CBA"/>
    <w:rsid w:val="00D92DE9"/>
    <w:rsid w:val="00D92EE5"/>
    <w:rsid w:val="00D94D04"/>
    <w:rsid w:val="00D94E6B"/>
    <w:rsid w:val="00DA3EB1"/>
    <w:rsid w:val="00DA7D6E"/>
    <w:rsid w:val="00DB0D3C"/>
    <w:rsid w:val="00DB2405"/>
    <w:rsid w:val="00DB4B67"/>
    <w:rsid w:val="00DB6C95"/>
    <w:rsid w:val="00DC288B"/>
    <w:rsid w:val="00DC5F71"/>
    <w:rsid w:val="00DC77B7"/>
    <w:rsid w:val="00DD0BC7"/>
    <w:rsid w:val="00DD22B3"/>
    <w:rsid w:val="00DD24C8"/>
    <w:rsid w:val="00DD4645"/>
    <w:rsid w:val="00DE36F9"/>
    <w:rsid w:val="00DE3C1A"/>
    <w:rsid w:val="00DF2D0E"/>
    <w:rsid w:val="00DF39FE"/>
    <w:rsid w:val="00DF78D9"/>
    <w:rsid w:val="00DF79DC"/>
    <w:rsid w:val="00E033D2"/>
    <w:rsid w:val="00E0686A"/>
    <w:rsid w:val="00E1475F"/>
    <w:rsid w:val="00E17B3C"/>
    <w:rsid w:val="00E20144"/>
    <w:rsid w:val="00E21EC8"/>
    <w:rsid w:val="00E25CBF"/>
    <w:rsid w:val="00E26846"/>
    <w:rsid w:val="00E327A8"/>
    <w:rsid w:val="00E3369E"/>
    <w:rsid w:val="00E33FD4"/>
    <w:rsid w:val="00E4118E"/>
    <w:rsid w:val="00E422FD"/>
    <w:rsid w:val="00E4546B"/>
    <w:rsid w:val="00E50E58"/>
    <w:rsid w:val="00E52AF1"/>
    <w:rsid w:val="00E53D17"/>
    <w:rsid w:val="00E552FA"/>
    <w:rsid w:val="00E57EE2"/>
    <w:rsid w:val="00E631F2"/>
    <w:rsid w:val="00E72327"/>
    <w:rsid w:val="00E725C1"/>
    <w:rsid w:val="00E778C0"/>
    <w:rsid w:val="00E77DB9"/>
    <w:rsid w:val="00E81302"/>
    <w:rsid w:val="00E855D8"/>
    <w:rsid w:val="00E90B1B"/>
    <w:rsid w:val="00E925C1"/>
    <w:rsid w:val="00E939FF"/>
    <w:rsid w:val="00E94730"/>
    <w:rsid w:val="00EA60C6"/>
    <w:rsid w:val="00EB4D66"/>
    <w:rsid w:val="00EB63B5"/>
    <w:rsid w:val="00EC111C"/>
    <w:rsid w:val="00EC15F8"/>
    <w:rsid w:val="00EC554A"/>
    <w:rsid w:val="00ED3087"/>
    <w:rsid w:val="00ED6E78"/>
    <w:rsid w:val="00ED71C0"/>
    <w:rsid w:val="00EE5ED0"/>
    <w:rsid w:val="00EF380D"/>
    <w:rsid w:val="00F02C07"/>
    <w:rsid w:val="00F04D7B"/>
    <w:rsid w:val="00F171FB"/>
    <w:rsid w:val="00F21707"/>
    <w:rsid w:val="00F25E22"/>
    <w:rsid w:val="00F3138A"/>
    <w:rsid w:val="00F3139A"/>
    <w:rsid w:val="00F33C69"/>
    <w:rsid w:val="00F37977"/>
    <w:rsid w:val="00F40892"/>
    <w:rsid w:val="00F42124"/>
    <w:rsid w:val="00F45082"/>
    <w:rsid w:val="00F460BA"/>
    <w:rsid w:val="00F46667"/>
    <w:rsid w:val="00F54A3C"/>
    <w:rsid w:val="00F559C6"/>
    <w:rsid w:val="00F57011"/>
    <w:rsid w:val="00F60357"/>
    <w:rsid w:val="00F61632"/>
    <w:rsid w:val="00F65C5B"/>
    <w:rsid w:val="00F662E9"/>
    <w:rsid w:val="00F66F8A"/>
    <w:rsid w:val="00F677BE"/>
    <w:rsid w:val="00F713A2"/>
    <w:rsid w:val="00F751A6"/>
    <w:rsid w:val="00F763FE"/>
    <w:rsid w:val="00F773FE"/>
    <w:rsid w:val="00F85DA2"/>
    <w:rsid w:val="00F85FB6"/>
    <w:rsid w:val="00F90C8D"/>
    <w:rsid w:val="00FA728E"/>
    <w:rsid w:val="00FB27BD"/>
    <w:rsid w:val="00FB56D5"/>
    <w:rsid w:val="00FC32C6"/>
    <w:rsid w:val="00FC66B4"/>
    <w:rsid w:val="00FC79D3"/>
    <w:rsid w:val="00FD09A3"/>
    <w:rsid w:val="00FD1B20"/>
    <w:rsid w:val="00FD3FE4"/>
    <w:rsid w:val="00FD5AA5"/>
    <w:rsid w:val="00FE5CC8"/>
    <w:rsid w:val="00FF546D"/>
    <w:rsid w:val="00FF5B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F6FE"/>
  <w15:docId w15:val="{40F0ECB6-406F-A04F-BF16-AA713308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GB"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C93"/>
    <w:pPr>
      <w:spacing w:after="0"/>
      <w:ind w:firstLine="357"/>
    </w:pPr>
  </w:style>
  <w:style w:type="paragraph" w:styleId="Heading1">
    <w:name w:val="heading 1"/>
    <w:basedOn w:val="Normal"/>
    <w:next w:val="Normal"/>
    <w:link w:val="Heading1Char"/>
    <w:uiPriority w:val="9"/>
    <w:qFormat/>
    <w:rsid w:val="00DB4B67"/>
    <w:pPr>
      <w:keepNext/>
      <w:keepLines/>
      <w:spacing w:before="480" w:after="120"/>
      <w:ind w:firstLine="0"/>
      <w:outlineLvl w:val="0"/>
    </w:pPr>
    <w:rPr>
      <w:b/>
      <w:bCs/>
      <w:color w:val="000000"/>
      <w:sz w:val="32"/>
      <w:szCs w:val="32"/>
    </w:rPr>
  </w:style>
  <w:style w:type="paragraph" w:styleId="Heading2">
    <w:name w:val="heading 2"/>
    <w:basedOn w:val="Normal"/>
    <w:next w:val="Normal"/>
    <w:uiPriority w:val="9"/>
    <w:unhideWhenUsed/>
    <w:qFormat/>
    <w:rsid w:val="00DB4B67"/>
    <w:pPr>
      <w:keepNext/>
      <w:keepLines/>
      <w:spacing w:before="200" w:after="120"/>
      <w:ind w:firstLine="0"/>
      <w:outlineLvl w:val="1"/>
    </w:pPr>
    <w:rPr>
      <w:b/>
      <w:bCs/>
      <w:color w:val="000000"/>
      <w:sz w:val="28"/>
      <w:szCs w:val="28"/>
    </w:rPr>
  </w:style>
  <w:style w:type="paragraph" w:styleId="Heading3">
    <w:name w:val="heading 3"/>
    <w:basedOn w:val="Normal"/>
    <w:next w:val="Normal"/>
    <w:uiPriority w:val="9"/>
    <w:unhideWhenUsed/>
    <w:qFormat/>
    <w:rsid w:val="00596DEC"/>
    <w:pPr>
      <w:keepNext/>
      <w:keepLines/>
      <w:spacing w:before="200" w:after="120"/>
      <w:ind w:firstLine="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200" w:after="120"/>
      <w:outlineLvl w:val="3"/>
    </w:pPr>
    <w:rPr>
      <w:i/>
      <w:iCs/>
      <w:color w:val="000000"/>
      <w:sz w:val="24"/>
      <w:szCs w:val="24"/>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000000"/>
      <w:sz w:val="24"/>
      <w:szCs w:val="24"/>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b/>
      <w:bCs/>
      <w:color w:val="000000"/>
      <w:sz w:val="36"/>
      <w:szCs w:val="36"/>
    </w:rPr>
  </w:style>
  <w:style w:type="paragraph" w:styleId="Subtitle">
    <w:name w:val="Subtitle"/>
    <w:basedOn w:val="Normal"/>
    <w:next w:val="Normal"/>
    <w:uiPriority w:val="11"/>
    <w:qFormat/>
    <w:pPr>
      <w:keepNext/>
      <w:keepLines/>
      <w:spacing w:before="240" w:after="240"/>
      <w:jc w:val="center"/>
    </w:pPr>
    <w:rPr>
      <w:b/>
      <w:bCs/>
      <w:color w:val="000000"/>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9116F7"/>
    <w:pPr>
      <w:spacing w:before="100" w:beforeAutospacing="1" w:after="100" w:afterAutospacing="1"/>
      <w:jc w:val="left"/>
    </w:pPr>
    <w:rPr>
      <w:sz w:val="24"/>
      <w:szCs w:val="24"/>
      <w:lang w:val="en-GB"/>
    </w:rPr>
  </w:style>
  <w:style w:type="paragraph" w:styleId="CommentSubject">
    <w:name w:val="annotation subject"/>
    <w:basedOn w:val="CommentText"/>
    <w:next w:val="CommentText"/>
    <w:link w:val="CommentSubjectChar"/>
    <w:uiPriority w:val="99"/>
    <w:semiHidden/>
    <w:unhideWhenUsed/>
    <w:rsid w:val="009116F7"/>
    <w:rPr>
      <w:b/>
      <w:bCs/>
    </w:rPr>
  </w:style>
  <w:style w:type="character" w:customStyle="1" w:styleId="CommentSubjectChar">
    <w:name w:val="Comment Subject Char"/>
    <w:basedOn w:val="CommentTextChar"/>
    <w:link w:val="CommentSubject"/>
    <w:uiPriority w:val="99"/>
    <w:semiHidden/>
    <w:rsid w:val="009116F7"/>
    <w:rPr>
      <w:b/>
      <w:bCs/>
      <w:sz w:val="20"/>
      <w:szCs w:val="20"/>
    </w:rPr>
  </w:style>
  <w:style w:type="character" w:styleId="Emphasis">
    <w:name w:val="Emphasis"/>
    <w:basedOn w:val="DefaultParagraphFont"/>
    <w:uiPriority w:val="20"/>
    <w:qFormat/>
    <w:rsid w:val="006F6EDC"/>
    <w:rPr>
      <w:i/>
      <w:iCs/>
    </w:rPr>
  </w:style>
  <w:style w:type="character" w:styleId="Strong">
    <w:name w:val="Strong"/>
    <w:basedOn w:val="DefaultParagraphFont"/>
    <w:uiPriority w:val="22"/>
    <w:qFormat/>
    <w:rsid w:val="00FB56D5"/>
    <w:rPr>
      <w:b/>
      <w:bCs/>
    </w:rPr>
  </w:style>
  <w:style w:type="paragraph" w:styleId="Bibliography">
    <w:name w:val="Bibliography"/>
    <w:basedOn w:val="Normal"/>
    <w:next w:val="Normal"/>
    <w:uiPriority w:val="37"/>
    <w:unhideWhenUsed/>
    <w:rsid w:val="00656369"/>
    <w:pPr>
      <w:tabs>
        <w:tab w:val="left" w:pos="260"/>
        <w:tab w:val="left" w:pos="380"/>
        <w:tab w:val="left" w:pos="500"/>
      </w:tabs>
      <w:spacing w:after="240"/>
      <w:ind w:left="504" w:hanging="504"/>
    </w:pPr>
  </w:style>
  <w:style w:type="character" w:customStyle="1" w:styleId="Heading1Char">
    <w:name w:val="Heading 1 Char"/>
    <w:basedOn w:val="DefaultParagraphFont"/>
    <w:link w:val="Heading1"/>
    <w:uiPriority w:val="9"/>
    <w:rsid w:val="00DB4B67"/>
    <w:rPr>
      <w:b/>
      <w:bCs/>
      <w:color w:val="000000"/>
      <w:sz w:val="32"/>
      <w:szCs w:val="32"/>
    </w:rPr>
  </w:style>
  <w:style w:type="paragraph" w:styleId="Header">
    <w:name w:val="header"/>
    <w:basedOn w:val="Normal"/>
    <w:link w:val="HeaderChar"/>
    <w:uiPriority w:val="99"/>
    <w:unhideWhenUsed/>
    <w:rsid w:val="00E21EC8"/>
    <w:pPr>
      <w:tabs>
        <w:tab w:val="center" w:pos="4513"/>
        <w:tab w:val="right" w:pos="9026"/>
      </w:tabs>
    </w:pPr>
  </w:style>
  <w:style w:type="character" w:customStyle="1" w:styleId="HeaderChar">
    <w:name w:val="Header Char"/>
    <w:basedOn w:val="DefaultParagraphFont"/>
    <w:link w:val="Header"/>
    <w:uiPriority w:val="99"/>
    <w:rsid w:val="00E21EC8"/>
  </w:style>
  <w:style w:type="paragraph" w:styleId="Footer">
    <w:name w:val="footer"/>
    <w:basedOn w:val="Normal"/>
    <w:link w:val="FooterChar"/>
    <w:uiPriority w:val="99"/>
    <w:unhideWhenUsed/>
    <w:rsid w:val="00E21EC8"/>
    <w:pPr>
      <w:tabs>
        <w:tab w:val="center" w:pos="4513"/>
        <w:tab w:val="right" w:pos="9026"/>
      </w:tabs>
    </w:pPr>
  </w:style>
  <w:style w:type="character" w:customStyle="1" w:styleId="FooterChar">
    <w:name w:val="Footer Char"/>
    <w:basedOn w:val="DefaultParagraphFont"/>
    <w:link w:val="Footer"/>
    <w:uiPriority w:val="99"/>
    <w:rsid w:val="00E21EC8"/>
  </w:style>
  <w:style w:type="character" w:styleId="PlaceholderText">
    <w:name w:val="Placeholder Text"/>
    <w:basedOn w:val="DefaultParagraphFont"/>
    <w:uiPriority w:val="99"/>
    <w:semiHidden/>
    <w:rsid w:val="00113EDC"/>
    <w:rPr>
      <w:color w:val="666666"/>
    </w:rPr>
  </w:style>
  <w:style w:type="paragraph" w:styleId="NoSpacing">
    <w:name w:val="No Spacing"/>
    <w:uiPriority w:val="1"/>
    <w:qFormat/>
    <w:rsid w:val="00F40892"/>
    <w:pPr>
      <w:spacing w:after="0"/>
      <w:ind w:firstLine="357"/>
    </w:pPr>
  </w:style>
  <w:style w:type="paragraph" w:customStyle="1" w:styleId="Normalnoindent">
    <w:name w:val="Normal_no_indent"/>
    <w:basedOn w:val="Normal"/>
    <w:qFormat/>
    <w:rsid w:val="00F40892"/>
    <w:pPr>
      <w:ind w:firstLine="0"/>
    </w:pPr>
    <w:rPr>
      <w:b/>
      <w:bCs/>
      <w:lang w:val="en-GB"/>
    </w:rPr>
  </w:style>
  <w:style w:type="character" w:styleId="LineNumber">
    <w:name w:val="line number"/>
    <w:basedOn w:val="DefaultParagraphFont"/>
    <w:uiPriority w:val="99"/>
    <w:semiHidden/>
    <w:unhideWhenUsed/>
    <w:rsid w:val="00584BBA"/>
  </w:style>
  <w:style w:type="character" w:styleId="Hyperlink">
    <w:name w:val="Hyperlink"/>
    <w:basedOn w:val="DefaultParagraphFont"/>
    <w:uiPriority w:val="99"/>
    <w:unhideWhenUsed/>
    <w:rsid w:val="00E4118E"/>
    <w:rPr>
      <w:color w:val="0000FF" w:themeColor="hyperlink"/>
      <w:u w:val="single"/>
    </w:rPr>
  </w:style>
  <w:style w:type="character" w:styleId="UnresolvedMention">
    <w:name w:val="Unresolved Mention"/>
    <w:basedOn w:val="DefaultParagraphFont"/>
    <w:uiPriority w:val="99"/>
    <w:semiHidden/>
    <w:unhideWhenUsed/>
    <w:rsid w:val="00E4118E"/>
    <w:rPr>
      <w:color w:val="605E5C"/>
      <w:shd w:val="clear" w:color="auto" w:fill="E1DFDD"/>
    </w:rPr>
  </w:style>
  <w:style w:type="character" w:styleId="PageNumber">
    <w:name w:val="page number"/>
    <w:basedOn w:val="DefaultParagraphFont"/>
    <w:uiPriority w:val="99"/>
    <w:semiHidden/>
    <w:unhideWhenUsed/>
    <w:rsid w:val="007E7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nickhir/NLRP3_MR_manuscript" TargetMode="Externa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DF54D-6CFD-3348-9200-0C8F90461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32</Pages>
  <Words>47969</Words>
  <Characters>273427</Characters>
  <Application>Microsoft Office Word</Application>
  <DocSecurity>0</DocSecurity>
  <Lines>2278</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Nick Hirschmuller</cp:lastModifiedBy>
  <cp:revision>90</cp:revision>
  <cp:lastPrinted>2026-09-22T15:36:00Z</cp:lastPrinted>
  <dcterms:created xsi:type="dcterms:W3CDTF">2026-09-22T15:36:00Z</dcterms:created>
  <dcterms:modified xsi:type="dcterms:W3CDTF">2026-09-23T17:27:00Z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/tmp/ltx2doc_bkn3z092/extracted/references.bib</vt:lpwstr>
  </property>
  <property fmtid="{D5CDD505-2E9C-101B-9397-08002B2CF9AE}" pid="3" name="csl">
    <vt:lpwstr>/app/resources/csl/nature.csl</vt:lpwstr>
  </property>
  <property fmtid="{D5CDD505-2E9C-101B-9397-08002B2CF9AE}" pid="4" name="date">
    <vt:lpwstr>date</vt:lpwstr>
  </property>
  <property fmtid="{D5CDD505-2E9C-101B-9397-08002B2CF9AE}" pid="5" name="link-citations">
    <vt:lpwstr>True</vt:lpwstr>
  </property>
  <property fmtid="{D5CDD505-2E9C-101B-9397-08002B2CF9AE}" pid="6" name="reference-section-title">
    <vt:lpwstr>References</vt:lpwstr>
  </property>
  <property fmtid="{D5CDD505-2E9C-101B-9397-08002B2CF9AE}" pid="7" name="ZOTERO_PREF_1">
    <vt:lpwstr>&lt;data data-version="3" zotero-version="10.0.2"&gt;&lt;session id="aHDRE0BD"/&gt;&lt;style id="http://www.zotero.org/styles/european-heart-journal-custom-preprints" hasBibliography="1" bibliographyStyleHasBeenSet="1"/&gt;&lt;prefs&gt;&lt;pref name="automaticJournalAbbreviations" </vt:lpwstr>
  </property>
  <property fmtid="{D5CDD505-2E9C-101B-9397-08002B2CF9AE}" pid="8" name="ZOTERO_PREF_2">
    <vt:lpwstr>value="true"/&gt;&lt;pref name="fieldType" value="Field"/&gt;&lt;pref name="dontAskDelayCitationUpdates" value="true"/&gt;&lt;/prefs&gt;&lt;/data&gt;</vt:lpwstr>
  </property>
</Properties>
</file>