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8FAA" w14:textId="7794A3EB" w:rsidR="00B2265B" w:rsidRPr="005D7103" w:rsidRDefault="006B6923" w:rsidP="00285A19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D43ADF">
        <w:rPr>
          <w:rFonts w:cstheme="minorHAnsi"/>
          <w:b/>
          <w:bCs/>
          <w:color w:val="000000" w:themeColor="text1"/>
          <w:sz w:val="28"/>
          <w:szCs w:val="28"/>
        </w:rPr>
        <w:t xml:space="preserve">Chapter </w:t>
      </w:r>
      <w:r w:rsidR="002D7EED" w:rsidRPr="00D43AD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="00ED7365" w:rsidRPr="00D43ADF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="002D7EED" w:rsidRPr="00D43ADF">
        <w:rPr>
          <w:rFonts w:cstheme="minorHAnsi"/>
          <w:b/>
          <w:bCs/>
          <w:color w:val="000000" w:themeColor="text1"/>
          <w:sz w:val="28"/>
          <w:szCs w:val="28"/>
        </w:rPr>
        <w:t>Miscellaneous Topics</w:t>
      </w:r>
      <w:r w:rsidR="005D7103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(162 – 184) </w:t>
      </w:r>
    </w:p>
    <w:p w14:paraId="1998EB5B" w14:textId="6ABAE0CE" w:rsidR="00784652" w:rsidRPr="00D43ADF" w:rsidRDefault="002D7EED" w:rsidP="00285A19">
      <w:pPr>
        <w:jc w:val="both"/>
        <w:rPr>
          <w:rFonts w:cstheme="minorHAnsi"/>
          <w:b/>
          <w:bCs/>
          <w:color w:val="C00000"/>
          <w:sz w:val="20"/>
          <w:szCs w:val="20"/>
        </w:rPr>
      </w:pPr>
      <w:r w:rsidRPr="00D43ADF">
        <w:rPr>
          <w:rFonts w:cstheme="minorHAnsi"/>
          <w:b/>
          <w:bCs/>
          <w:color w:val="C00000"/>
          <w:sz w:val="20"/>
          <w:szCs w:val="20"/>
        </w:rPr>
        <w:t>Levels of Thinking</w:t>
      </w:r>
      <w:r w:rsidR="005D7103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(162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– 165)</w:t>
      </w:r>
    </w:p>
    <w:p w14:paraId="13830D9A" w14:textId="1EC48650" w:rsidR="00D43ADF" w:rsidRDefault="00D43ADF" w:rsidP="00D43ADF">
      <w:pPr>
        <w:ind w:left="1260" w:hanging="90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43ADF"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>Level 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D43AD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What do I have?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How good is my hand? </w:t>
      </w:r>
      <w:r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Beginners are stuck at L1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for a long time especially pre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>flop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postflop. It’s often not until the hand gets more serious that some players graduate a level.</w:t>
      </w:r>
    </w:p>
    <w:p w14:paraId="6065C0BF" w14:textId="6927BAF5" w:rsidR="00D43ADF" w:rsidRDefault="00D43ADF" w:rsidP="00D43ADF">
      <w:pPr>
        <w:ind w:left="1260" w:hanging="90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43ADF"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 xml:space="preserve">Level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>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D43AD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What do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my opponent </w:t>
      </w:r>
      <w:r w:rsidRPr="00D43AD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have?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H</w:t>
      </w:r>
      <w:r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and reading sweet spot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>“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>Hand reading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>”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is a misnome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>r;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the more appropriate term is “range reading”. The better you are 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at estimating 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>opponents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ranges, the more profitable you will be. </w:t>
      </w:r>
      <w:r w:rsidR="00575AF2"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L2s h</w:t>
      </w:r>
      <w:r w:rsidR="00B55279"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ave higher LP-PAW</w:t>
      </w:r>
      <w:r w:rsidR="00B5527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18D3F4EA" w14:textId="6AF00867" w:rsidR="00B55279" w:rsidRDefault="00B55279" w:rsidP="00B55279">
      <w:pPr>
        <w:ind w:left="1260" w:hanging="90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43ADF"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 xml:space="preserve">Level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D43AD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What do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es my opponent think I have</w:t>
      </w:r>
      <w:r w:rsidRPr="00D43AD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?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9C2604">
        <w:rPr>
          <w:rFonts w:ascii="Times New Roman" w:hAnsi="Times New Roman" w:cs="Times New Roman"/>
          <w:color w:val="000000" w:themeColor="text1"/>
          <w:sz w:val="18"/>
          <w:szCs w:val="18"/>
        </w:rPr>
        <w:t>Versus</w:t>
      </w:r>
      <w:r w:rsidR="0099422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s</w:t>
      </w:r>
      <w:r w:rsidR="009C2604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99422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575AF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balancing your play</w:t>
      </w:r>
      <w:r w:rsidR="0099422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playing trickier helps to better conceal your hand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009C2604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t’s easier to intuit what your opponent thinks of your style</w:t>
      </w:r>
      <w:r w:rsidR="00C64C3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thus your range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as opposed to </w:t>
      </w:r>
      <w:r w:rsidR="009C2604">
        <w:rPr>
          <w:rFonts w:ascii="Times New Roman" w:hAnsi="Times New Roman" w:cs="Times New Roman"/>
          <w:color w:val="000000" w:themeColor="text1"/>
          <w:sz w:val="18"/>
          <w:szCs w:val="18"/>
        </w:rPr>
        <w:t>an exact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hand. For example, </w:t>
      </w:r>
      <w:r w:rsidRPr="00620C97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does my opponent think I have aces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64C3D">
        <w:rPr>
          <w:rFonts w:ascii="Times New Roman" w:hAnsi="Times New Roman" w:cs="Times New Roman"/>
          <w:color w:val="000000" w:themeColor="text1"/>
          <w:sz w:val="18"/>
          <w:szCs w:val="18"/>
        </w:rPr>
        <w:t>is difficult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to ascertain</w:t>
      </w:r>
      <w:r w:rsidR="00C64C3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(maybe not if a nit 4-bets into you)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but rather does my opponent think I’m loose (or a nit, LAG, TAG, etc.) and therefore views my raise to represent a </w:t>
      </w:r>
      <w:r w:rsidR="00C64C3D">
        <w:rPr>
          <w:rFonts w:ascii="Times New Roman" w:hAnsi="Times New Roman" w:cs="Times New Roman"/>
          <w:color w:val="000000" w:themeColor="text1"/>
          <w:sz w:val="18"/>
          <w:szCs w:val="18"/>
        </w:rPr>
        <w:t>12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% range </w:t>
      </w:r>
      <w:r w:rsidR="00C64C3D">
        <w:rPr>
          <w:rFonts w:ascii="Times New Roman" w:hAnsi="Times New Roman" w:cs="Times New Roman"/>
          <w:color w:val="000000" w:themeColor="text1"/>
          <w:sz w:val="18"/>
          <w:szCs w:val="18"/>
        </w:rPr>
        <w:t>as opposed to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 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>4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% range? It is usually better to counter the rare L2 individually 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rather than generically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balanc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>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your play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736D9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against all opponents 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since you would 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>los</w:t>
      </w:r>
      <w:r w:rsidR="00620C97">
        <w:rPr>
          <w:rFonts w:ascii="Times New Roman" w:hAnsi="Times New Roman" w:cs="Times New Roman"/>
          <w:color w:val="000000" w:themeColor="text1"/>
          <w:sz w:val="18"/>
          <w:szCs w:val="18"/>
        </w:rPr>
        <w:t>e</w:t>
      </w:r>
      <w:r w:rsidR="00575AF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out on many exploitive plays against L1s.</w:t>
      </w:r>
    </w:p>
    <w:p w14:paraId="087078FF" w14:textId="204FD469" w:rsidR="005D7103" w:rsidRDefault="005D7103" w:rsidP="005D7103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color w:val="C00000"/>
          <w:sz w:val="20"/>
          <w:szCs w:val="20"/>
        </w:rPr>
        <w:t>Inductive Inference and Zebras</w:t>
      </w:r>
      <w:r>
        <w:rPr>
          <w:rFonts w:cstheme="minorHAnsi"/>
          <w:b/>
          <w:bCs/>
          <w:color w:val="C0000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(16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6 –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16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6D0B633B" w14:textId="79D3BAEA" w:rsidR="005D7103" w:rsidRDefault="005D7103" w:rsidP="005D7103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color w:val="C00000"/>
          <w:sz w:val="20"/>
          <w:szCs w:val="20"/>
        </w:rPr>
        <w:t>Taking Notes</w:t>
      </w:r>
      <w:r>
        <w:rPr>
          <w:rFonts w:cstheme="minorHAnsi"/>
          <w:b/>
          <w:bCs/>
          <w:color w:val="C0000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(16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–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71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2EE6FAD1" w14:textId="70184F0F" w:rsidR="005D7103" w:rsidRDefault="005D7103" w:rsidP="005D7103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color w:val="C00000"/>
          <w:sz w:val="20"/>
          <w:szCs w:val="20"/>
        </w:rPr>
        <w:t>Analytical Tools</w:t>
      </w:r>
      <w:r>
        <w:rPr>
          <w:rFonts w:cstheme="minorHAnsi"/>
          <w:b/>
          <w:bCs/>
          <w:color w:val="C0000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(1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72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– 176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57E14FB3" w14:textId="69B29113" w:rsidR="0075261E" w:rsidRDefault="0075261E" w:rsidP="0075261E">
      <w:pPr>
        <w:ind w:left="1800" w:hanging="144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>PokerStove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 free easy-to-understand equity calculator that calculates AIE of your hand versus any other player’s hand distribution.</w:t>
      </w:r>
    </w:p>
    <w:p w14:paraId="478976AD" w14:textId="223926A0" w:rsidR="0075261E" w:rsidRDefault="0075261E" w:rsidP="0075261E">
      <w:pPr>
        <w:ind w:left="1800" w:hanging="144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>Flopzilla</w:t>
      </w:r>
      <w:proofErr w:type="spellEnd"/>
      <w:r>
        <w:rPr>
          <w:rFonts w:ascii="Times New Roman" w:hAnsi="Times New Roman" w:cs="Times New Roman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The most commonly used subscription-based equity calculator today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It has a steeper learning curve than PokerStove, but it is “the program” on your journey to becoming an equity expert. You can import hand histories into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Flopzilla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incorporate the insights gained into future sessions.</w:t>
      </w:r>
    </w:p>
    <w:p w14:paraId="7208D507" w14:textId="77777777" w:rsidR="0075261E" w:rsidRDefault="0075261E" w:rsidP="005D7103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</w:p>
    <w:p w14:paraId="21448DAF" w14:textId="7EF5E1D8" w:rsidR="005D7103" w:rsidRDefault="005D7103" w:rsidP="005D7103">
      <w:pPr>
        <w:jc w:val="both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cstheme="minorHAnsi"/>
          <w:b/>
          <w:bCs/>
          <w:color w:val="C00000"/>
          <w:sz w:val="20"/>
          <w:szCs w:val="20"/>
        </w:rPr>
        <w:t>Study and Practice</w:t>
      </w:r>
      <w:r>
        <w:rPr>
          <w:rFonts w:cstheme="minorHAnsi"/>
          <w:b/>
          <w:bCs/>
          <w:color w:val="C0000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(1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77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– 184)</w:t>
      </w:r>
    </w:p>
    <w:p w14:paraId="1D0A1571" w14:textId="70E26D51" w:rsidR="002D7EED" w:rsidRPr="00D43ADF" w:rsidRDefault="002D7EED" w:rsidP="00285A1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5D7103">
        <w:rPr>
          <w:rFonts w:cstheme="minorHAnsi"/>
          <w:b/>
          <w:bCs/>
          <w:color w:val="C00000"/>
          <w:sz w:val="20"/>
          <w:szCs w:val="20"/>
        </w:rPr>
        <w:t>Acknowledgements</w:t>
      </w:r>
      <w:r w:rsidR="005D7103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(1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85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0D5BC703" w14:textId="70EA12F5" w:rsidR="002D7EED" w:rsidRPr="005D7103" w:rsidRDefault="002D7EED" w:rsidP="00285A19">
      <w:pPr>
        <w:jc w:val="both"/>
        <w:rPr>
          <w:rFonts w:cstheme="minorHAnsi"/>
          <w:b/>
          <w:bCs/>
          <w:color w:val="C00000"/>
          <w:sz w:val="20"/>
          <w:szCs w:val="20"/>
        </w:rPr>
      </w:pPr>
      <w:r w:rsidRPr="005D7103">
        <w:rPr>
          <w:rFonts w:cstheme="minorHAnsi"/>
          <w:b/>
          <w:bCs/>
          <w:color w:val="C00000"/>
          <w:sz w:val="20"/>
          <w:szCs w:val="20"/>
        </w:rPr>
        <w:t>Appendix 1: Poker Definitions</w:t>
      </w:r>
      <w:r w:rsidR="005D7103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(18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6 – 192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596D8F3E" w14:textId="38AB3623" w:rsidR="004809C5" w:rsidRPr="005D7103" w:rsidRDefault="002D7EED" w:rsidP="002D7EED">
      <w:pPr>
        <w:jc w:val="both"/>
        <w:rPr>
          <w:rFonts w:cstheme="minorHAnsi"/>
          <w:b/>
          <w:bCs/>
          <w:color w:val="C00000"/>
          <w:sz w:val="20"/>
          <w:szCs w:val="20"/>
        </w:rPr>
      </w:pPr>
      <w:r w:rsidRPr="005D7103">
        <w:rPr>
          <w:rFonts w:cstheme="minorHAnsi"/>
          <w:b/>
          <w:bCs/>
          <w:color w:val="C00000"/>
          <w:sz w:val="20"/>
          <w:szCs w:val="20"/>
        </w:rPr>
        <w:t>Appendix 2: Reference</w:t>
      </w:r>
      <w:r w:rsidR="005D7103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(1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93</w:t>
      </w:r>
      <w:r w:rsidR="005D7103"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2BAD3006" w14:textId="3520F570" w:rsidR="00285A19" w:rsidRPr="009F1BEF" w:rsidRDefault="00ED3BA7" w:rsidP="00285A19">
      <w:pPr>
        <w:jc w:val="both"/>
        <w:rPr>
          <w:rFonts w:cstheme="minorHAnsi"/>
          <w:b/>
          <w:bCs/>
          <w:color w:val="C00000"/>
          <w:sz w:val="20"/>
          <w:szCs w:val="20"/>
        </w:rPr>
      </w:pPr>
      <w:r>
        <w:rPr>
          <w:rFonts w:cstheme="minorHAnsi"/>
          <w:b/>
          <w:bCs/>
          <w:color w:val="C00000"/>
          <w:sz w:val="20"/>
          <w:szCs w:val="20"/>
        </w:rPr>
        <w:t>About Steve Selbrede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(19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)</w:t>
      </w:r>
    </w:p>
    <w:p w14:paraId="6F9F79B7" w14:textId="3D50A0C5" w:rsidR="00475254" w:rsidRPr="00D43ADF" w:rsidRDefault="00475254" w:rsidP="00475254">
      <w:pPr>
        <w:pStyle w:val="NoSpacing"/>
        <w:spacing w:before="120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D43ADF">
        <w:rPr>
          <w:rFonts w:ascii="Segoe UI Symbol" w:hAnsi="Segoe UI Symbol" w:cs="Segoe UI Symbol"/>
          <w:color w:val="000000" w:themeColor="text1"/>
          <w:sz w:val="20"/>
          <w:szCs w:val="20"/>
        </w:rPr>
        <w:t>♣</w:t>
      </w:r>
      <w:r w:rsidRPr="00D43ADF">
        <w:rPr>
          <w:rFonts w:ascii="Segoe UI Symbol" w:hAnsi="Segoe UI Symbol" w:cs="Segoe UI Symbol"/>
          <w:color w:val="000000" w:themeColor="text1"/>
        </w:rPr>
        <w:t>♦</w:t>
      </w:r>
      <w:r w:rsidRPr="00D43ADF">
        <w:rPr>
          <w:rFonts w:ascii="Segoe UI Symbol" w:hAnsi="Segoe UI Symbol" w:cs="Segoe UI Symbol"/>
          <w:color w:val="000000" w:themeColor="text1"/>
          <w:sz w:val="20"/>
          <w:szCs w:val="20"/>
        </w:rPr>
        <w:t>♥</w:t>
      </w:r>
      <w:r w:rsidRPr="00D43ADF">
        <w:rPr>
          <w:rFonts w:ascii="Segoe UI Symbol" w:hAnsi="Segoe UI Symbol" w:cs="Segoe UI Symbol"/>
          <w:color w:val="000000" w:themeColor="text1"/>
        </w:rPr>
        <w:t>♠</w:t>
      </w:r>
    </w:p>
    <w:sectPr w:rsidR="00475254" w:rsidRPr="00D43A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3FD6" w14:textId="77777777" w:rsidR="00344D9E" w:rsidRDefault="00344D9E" w:rsidP="00032D75">
      <w:pPr>
        <w:spacing w:after="0" w:line="240" w:lineRule="auto"/>
      </w:pPr>
      <w:r>
        <w:separator/>
      </w:r>
    </w:p>
  </w:endnote>
  <w:endnote w:type="continuationSeparator" w:id="0">
    <w:p w14:paraId="0FE64025" w14:textId="77777777" w:rsidR="00344D9E" w:rsidRDefault="00344D9E" w:rsidP="0003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7AEC" w14:textId="77777777" w:rsidR="00E76021" w:rsidRDefault="00E76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1D9D" w14:textId="77777777" w:rsidR="00E76021" w:rsidRDefault="00E76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F9C" w14:textId="77777777" w:rsidR="00E76021" w:rsidRDefault="00E76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AA8A" w14:textId="77777777" w:rsidR="00344D9E" w:rsidRDefault="00344D9E" w:rsidP="00032D75">
      <w:pPr>
        <w:spacing w:after="0" w:line="240" w:lineRule="auto"/>
      </w:pPr>
      <w:r>
        <w:separator/>
      </w:r>
    </w:p>
  </w:footnote>
  <w:footnote w:type="continuationSeparator" w:id="0">
    <w:p w14:paraId="6F31BE13" w14:textId="77777777" w:rsidR="00344D9E" w:rsidRDefault="00344D9E" w:rsidP="0003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ED30" w14:textId="77777777" w:rsidR="00E76021" w:rsidRDefault="00E76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95DB" w14:textId="61C04AFD" w:rsidR="00032D75" w:rsidRPr="00032D75" w:rsidRDefault="00285A19" w:rsidP="00032D75">
    <w:pPr>
      <w:pStyle w:val="NoSpacing"/>
      <w:rPr>
        <w:rFonts w:ascii="Aparajita" w:hAnsi="Aparajita" w:cs="Aparajita"/>
        <w:color w:val="2F5496" w:themeColor="accent1" w:themeShade="BF"/>
        <w:sz w:val="20"/>
        <w:szCs w:val="20"/>
      </w:rPr>
    </w:pP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Donkey </w:t>
    </w:r>
    <w:r w:rsidR="006B6923">
      <w:rPr>
        <w:rFonts w:ascii="Aparajita" w:hAnsi="Aparajita" w:cs="Aparajita"/>
        <w:color w:val="2F5496" w:themeColor="accent1" w:themeShade="BF"/>
        <w:sz w:val="20"/>
        <w:szCs w:val="20"/>
      </w:rPr>
      <w:t>Poker</w:t>
    </w: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 – Crushing Low-Stakes Live NLH – Volume </w:t>
    </w:r>
    <w:r w:rsidR="00B2265B">
      <w:rPr>
        <w:rFonts w:ascii="Aparajita" w:hAnsi="Aparajita" w:cs="Aparajita"/>
        <w:color w:val="2F5496" w:themeColor="accent1" w:themeShade="BF"/>
        <w:sz w:val="20"/>
        <w:szCs w:val="20"/>
      </w:rPr>
      <w:t xml:space="preserve">3: </w:t>
    </w:r>
    <w:r w:rsidR="00E76021">
      <w:rPr>
        <w:rFonts w:ascii="Aparajita" w:hAnsi="Aparajita" w:cs="Aparajita"/>
        <w:color w:val="2F5496" w:themeColor="accent1" w:themeShade="BF"/>
        <w:sz w:val="20"/>
        <w:szCs w:val="20"/>
      </w:rPr>
      <w:t>Hand Reading</w:t>
    </w:r>
    <w:r w:rsidR="00032D75" w:rsidRPr="00032D75">
      <w:rPr>
        <w:rFonts w:ascii="Aparajita" w:hAnsi="Aparajita" w:cs="Aparajita"/>
        <w:color w:val="2F5496" w:themeColor="accent1" w:themeShade="BF"/>
        <w:sz w:val="20"/>
        <w:szCs w:val="20"/>
      </w:rPr>
      <w:ptab w:relativeTo="margin" w:alignment="right" w:leader="none"/>
    </w:r>
    <w:r>
      <w:rPr>
        <w:rFonts w:ascii="Aparajita" w:hAnsi="Aparajita" w:cs="Aparajita"/>
        <w:i/>
        <w:iCs/>
        <w:color w:val="2F5496" w:themeColor="accent1" w:themeShade="BF"/>
        <w:sz w:val="20"/>
        <w:szCs w:val="20"/>
      </w:rPr>
      <w:t>Steve Selbrede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665D" w14:textId="77777777" w:rsidR="00E76021" w:rsidRDefault="00E76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E2"/>
    <w:multiLevelType w:val="hybridMultilevel"/>
    <w:tmpl w:val="6E202D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92029"/>
    <w:multiLevelType w:val="hybridMultilevel"/>
    <w:tmpl w:val="DFD47BA2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1E264A54"/>
    <w:multiLevelType w:val="hybridMultilevel"/>
    <w:tmpl w:val="771E5D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D518C"/>
    <w:multiLevelType w:val="hybridMultilevel"/>
    <w:tmpl w:val="599C1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24D2"/>
    <w:multiLevelType w:val="hybridMultilevel"/>
    <w:tmpl w:val="9FAC01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492350"/>
    <w:multiLevelType w:val="hybridMultilevel"/>
    <w:tmpl w:val="CE68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23845"/>
    <w:multiLevelType w:val="hybridMultilevel"/>
    <w:tmpl w:val="4D84258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C53793"/>
    <w:multiLevelType w:val="hybridMultilevel"/>
    <w:tmpl w:val="906284DC"/>
    <w:lvl w:ilvl="0" w:tplc="C682277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45EE4"/>
    <w:multiLevelType w:val="hybridMultilevel"/>
    <w:tmpl w:val="1D662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05885"/>
    <w:multiLevelType w:val="hybridMultilevel"/>
    <w:tmpl w:val="3CF0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B6E78"/>
    <w:multiLevelType w:val="hybridMultilevel"/>
    <w:tmpl w:val="5EB6E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64419"/>
    <w:multiLevelType w:val="hybridMultilevel"/>
    <w:tmpl w:val="50A41980"/>
    <w:lvl w:ilvl="0" w:tplc="C682277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9551">
    <w:abstractNumId w:val="1"/>
  </w:num>
  <w:num w:numId="2" w16cid:durableId="929705805">
    <w:abstractNumId w:val="8"/>
  </w:num>
  <w:num w:numId="3" w16cid:durableId="1097747575">
    <w:abstractNumId w:val="5"/>
  </w:num>
  <w:num w:numId="4" w16cid:durableId="791284001">
    <w:abstractNumId w:val="10"/>
  </w:num>
  <w:num w:numId="5" w16cid:durableId="1605574792">
    <w:abstractNumId w:val="3"/>
  </w:num>
  <w:num w:numId="6" w16cid:durableId="483357862">
    <w:abstractNumId w:val="7"/>
  </w:num>
  <w:num w:numId="7" w16cid:durableId="2041516003">
    <w:abstractNumId w:val="2"/>
  </w:num>
  <w:num w:numId="8" w16cid:durableId="1572229052">
    <w:abstractNumId w:val="4"/>
  </w:num>
  <w:num w:numId="9" w16cid:durableId="166406390">
    <w:abstractNumId w:val="0"/>
  </w:num>
  <w:num w:numId="10" w16cid:durableId="1751854513">
    <w:abstractNumId w:val="6"/>
  </w:num>
  <w:num w:numId="11" w16cid:durableId="2087680887">
    <w:abstractNumId w:val="9"/>
  </w:num>
  <w:num w:numId="12" w16cid:durableId="1647199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734"/>
    <w:rsid w:val="00015047"/>
    <w:rsid w:val="00032D75"/>
    <w:rsid w:val="00045A6E"/>
    <w:rsid w:val="000974D8"/>
    <w:rsid w:val="000D0145"/>
    <w:rsid w:val="001608F6"/>
    <w:rsid w:val="00170848"/>
    <w:rsid w:val="001757AA"/>
    <w:rsid w:val="001B404A"/>
    <w:rsid w:val="001C04FB"/>
    <w:rsid w:val="001C170E"/>
    <w:rsid w:val="002235BF"/>
    <w:rsid w:val="002333E4"/>
    <w:rsid w:val="0023611B"/>
    <w:rsid w:val="00285A19"/>
    <w:rsid w:val="002A2B11"/>
    <w:rsid w:val="002C31B3"/>
    <w:rsid w:val="002D27F2"/>
    <w:rsid w:val="002D7EED"/>
    <w:rsid w:val="002E15E9"/>
    <w:rsid w:val="002E5119"/>
    <w:rsid w:val="00300641"/>
    <w:rsid w:val="00344D9E"/>
    <w:rsid w:val="0035676F"/>
    <w:rsid w:val="00376E4A"/>
    <w:rsid w:val="003D0605"/>
    <w:rsid w:val="003E6694"/>
    <w:rsid w:val="004111D6"/>
    <w:rsid w:val="004243C0"/>
    <w:rsid w:val="004367F8"/>
    <w:rsid w:val="004620BB"/>
    <w:rsid w:val="00475254"/>
    <w:rsid w:val="004809C5"/>
    <w:rsid w:val="004B1D03"/>
    <w:rsid w:val="004B343A"/>
    <w:rsid w:val="004F7200"/>
    <w:rsid w:val="00534FE4"/>
    <w:rsid w:val="00541AE2"/>
    <w:rsid w:val="00543605"/>
    <w:rsid w:val="00551D2C"/>
    <w:rsid w:val="00575AF2"/>
    <w:rsid w:val="005C3563"/>
    <w:rsid w:val="005D57D8"/>
    <w:rsid w:val="005D7103"/>
    <w:rsid w:val="005F7D4D"/>
    <w:rsid w:val="00620C97"/>
    <w:rsid w:val="00634168"/>
    <w:rsid w:val="006343E0"/>
    <w:rsid w:val="00661C31"/>
    <w:rsid w:val="0066268C"/>
    <w:rsid w:val="00687C7F"/>
    <w:rsid w:val="00691372"/>
    <w:rsid w:val="006A5796"/>
    <w:rsid w:val="006B3549"/>
    <w:rsid w:val="006B4612"/>
    <w:rsid w:val="006B6923"/>
    <w:rsid w:val="006B736E"/>
    <w:rsid w:val="006C73C7"/>
    <w:rsid w:val="006E7556"/>
    <w:rsid w:val="00710734"/>
    <w:rsid w:val="00734FF5"/>
    <w:rsid w:val="0073501B"/>
    <w:rsid w:val="00736D9A"/>
    <w:rsid w:val="0075261E"/>
    <w:rsid w:val="00763CD9"/>
    <w:rsid w:val="00771C40"/>
    <w:rsid w:val="00784652"/>
    <w:rsid w:val="007861EE"/>
    <w:rsid w:val="007D4873"/>
    <w:rsid w:val="00807EA8"/>
    <w:rsid w:val="00811369"/>
    <w:rsid w:val="008118CB"/>
    <w:rsid w:val="008237AF"/>
    <w:rsid w:val="008552D3"/>
    <w:rsid w:val="008675C8"/>
    <w:rsid w:val="0087684F"/>
    <w:rsid w:val="008907E2"/>
    <w:rsid w:val="00891DAD"/>
    <w:rsid w:val="008B5C40"/>
    <w:rsid w:val="008C0202"/>
    <w:rsid w:val="008D7AA5"/>
    <w:rsid w:val="008F73D4"/>
    <w:rsid w:val="00910167"/>
    <w:rsid w:val="009573F8"/>
    <w:rsid w:val="009731BE"/>
    <w:rsid w:val="0099422A"/>
    <w:rsid w:val="009C0C47"/>
    <w:rsid w:val="009C2604"/>
    <w:rsid w:val="009C2F5E"/>
    <w:rsid w:val="009C7288"/>
    <w:rsid w:val="009C796F"/>
    <w:rsid w:val="009D2014"/>
    <w:rsid w:val="009F1BEF"/>
    <w:rsid w:val="00A230CF"/>
    <w:rsid w:val="00A46B03"/>
    <w:rsid w:val="00A62020"/>
    <w:rsid w:val="00A66054"/>
    <w:rsid w:val="00A75AF8"/>
    <w:rsid w:val="00A95CF7"/>
    <w:rsid w:val="00AB3FBD"/>
    <w:rsid w:val="00AC1E73"/>
    <w:rsid w:val="00AD2189"/>
    <w:rsid w:val="00B1345D"/>
    <w:rsid w:val="00B2265B"/>
    <w:rsid w:val="00B41BD4"/>
    <w:rsid w:val="00B46826"/>
    <w:rsid w:val="00B55279"/>
    <w:rsid w:val="00BA247C"/>
    <w:rsid w:val="00BE0997"/>
    <w:rsid w:val="00C637EC"/>
    <w:rsid w:val="00C64C3D"/>
    <w:rsid w:val="00C65445"/>
    <w:rsid w:val="00CA48D4"/>
    <w:rsid w:val="00D04D44"/>
    <w:rsid w:val="00D313CD"/>
    <w:rsid w:val="00D3304D"/>
    <w:rsid w:val="00D37AC1"/>
    <w:rsid w:val="00D42395"/>
    <w:rsid w:val="00D43ADF"/>
    <w:rsid w:val="00DC4E59"/>
    <w:rsid w:val="00DD1992"/>
    <w:rsid w:val="00E0207F"/>
    <w:rsid w:val="00E13517"/>
    <w:rsid w:val="00E25FA6"/>
    <w:rsid w:val="00E26C83"/>
    <w:rsid w:val="00E3531F"/>
    <w:rsid w:val="00E74BAF"/>
    <w:rsid w:val="00E74F3A"/>
    <w:rsid w:val="00E75E4F"/>
    <w:rsid w:val="00E76021"/>
    <w:rsid w:val="00E92E34"/>
    <w:rsid w:val="00EA616F"/>
    <w:rsid w:val="00ED3BA7"/>
    <w:rsid w:val="00ED5341"/>
    <w:rsid w:val="00ED7365"/>
    <w:rsid w:val="00EE23AF"/>
    <w:rsid w:val="00EE5366"/>
    <w:rsid w:val="00EE7491"/>
    <w:rsid w:val="00EF1819"/>
    <w:rsid w:val="00EF2ED8"/>
    <w:rsid w:val="00F008FD"/>
    <w:rsid w:val="00F158DB"/>
    <w:rsid w:val="00F63CD0"/>
    <w:rsid w:val="00FA5242"/>
    <w:rsid w:val="00F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C1A6"/>
  <w15:docId w15:val="{0E076EC2-6385-4770-ABE0-10F7D56D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75"/>
  </w:style>
  <w:style w:type="paragraph" w:styleId="Footer">
    <w:name w:val="footer"/>
    <w:basedOn w:val="Normal"/>
    <w:link w:val="Foot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75"/>
  </w:style>
  <w:style w:type="paragraph" w:styleId="NoSpacing">
    <w:name w:val="No Spacing"/>
    <w:uiPriority w:val="1"/>
    <w:qFormat/>
    <w:rsid w:val="00032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</dc:title>
  <dc:subject/>
  <dc:creator>Nikhil Jathar</dc:creator>
  <cp:keywords/>
  <dc:description/>
  <cp:lastModifiedBy>Nikhil Jathar</cp:lastModifiedBy>
  <cp:revision>25</cp:revision>
  <dcterms:created xsi:type="dcterms:W3CDTF">2023-10-11T11:43:00Z</dcterms:created>
  <dcterms:modified xsi:type="dcterms:W3CDTF">2023-10-19T15:31:00Z</dcterms:modified>
</cp:coreProperties>
</file>