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51E18" w14:textId="32F40453" w:rsidR="006A671E" w:rsidRPr="002638AD" w:rsidRDefault="006A671E" w:rsidP="006801CB">
      <w:pPr>
        <w:jc w:val="center"/>
        <w:rPr>
          <w:b/>
          <w:bCs/>
          <w:sz w:val="24"/>
          <w:szCs w:val="24"/>
        </w:rPr>
      </w:pPr>
      <w:r w:rsidRPr="002638AD">
        <w:rPr>
          <w:b/>
          <w:bCs/>
          <w:color w:val="323E4F" w:themeColor="text2" w:themeShade="BF"/>
          <w:sz w:val="32"/>
          <w:szCs w:val="32"/>
        </w:rPr>
        <w:t>Operations and Supply Chain Management</w:t>
      </w:r>
    </w:p>
    <w:p w14:paraId="73CAE4E5" w14:textId="199870A2" w:rsidR="005D77B5" w:rsidRPr="000E2F08" w:rsidRDefault="005D77B5" w:rsidP="005D77B5">
      <w:pPr>
        <w:rPr>
          <w:b/>
          <w:bCs/>
          <w:color w:val="4472C4" w:themeColor="accent1"/>
          <w:sz w:val="24"/>
          <w:szCs w:val="24"/>
        </w:rPr>
      </w:pPr>
      <w:r w:rsidRPr="000E2F08">
        <w:rPr>
          <w:b/>
          <w:bCs/>
          <w:color w:val="4472C4" w:themeColor="accent1"/>
          <w:sz w:val="24"/>
          <w:szCs w:val="24"/>
        </w:rPr>
        <w:t xml:space="preserve">Chapter </w:t>
      </w:r>
      <w:r w:rsidR="00091B75">
        <w:rPr>
          <w:b/>
          <w:bCs/>
          <w:color w:val="4472C4" w:themeColor="accent1"/>
          <w:sz w:val="24"/>
          <w:szCs w:val="24"/>
        </w:rPr>
        <w:t>2</w:t>
      </w:r>
      <w:r w:rsidRPr="000E2F08">
        <w:rPr>
          <w:b/>
          <w:bCs/>
          <w:color w:val="4472C4" w:themeColor="accent1"/>
          <w:sz w:val="24"/>
          <w:szCs w:val="24"/>
        </w:rPr>
        <w:tab/>
      </w:r>
      <w:r w:rsidR="008C11D9">
        <w:rPr>
          <w:b/>
          <w:bCs/>
          <w:color w:val="4472C4" w:themeColor="accent1"/>
          <w:sz w:val="24"/>
          <w:szCs w:val="24"/>
        </w:rPr>
        <w:t>Planning and Control Systems</w:t>
      </w:r>
    </w:p>
    <w:p w14:paraId="06178E71" w14:textId="3B4486B7" w:rsidR="00E02FDC" w:rsidRDefault="00BC5D28" w:rsidP="005D113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Factors that affect </w:t>
      </w:r>
      <w:r w:rsidR="00EE3BB7">
        <w:rPr>
          <w:sz w:val="20"/>
          <w:szCs w:val="20"/>
        </w:rPr>
        <w:t>SCO activities within an organization:</w:t>
      </w:r>
    </w:p>
    <w:p w14:paraId="0AC31785" w14:textId="41756527" w:rsidR="00EE3BB7" w:rsidRDefault="0052018F" w:rsidP="00B7598F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A17E30">
        <w:rPr>
          <w:b/>
          <w:bCs/>
          <w:sz w:val="20"/>
          <w:szCs w:val="20"/>
        </w:rPr>
        <w:t>Executive Sales and Operating Plan</w:t>
      </w:r>
      <w:r w:rsidRPr="00B7598F">
        <w:rPr>
          <w:sz w:val="20"/>
          <w:szCs w:val="20"/>
        </w:rPr>
        <w:t xml:space="preserve"> </w:t>
      </w:r>
      <w:r w:rsidR="00744A1F" w:rsidRPr="00B7598F">
        <w:rPr>
          <w:sz w:val="20"/>
          <w:szCs w:val="20"/>
        </w:rPr>
        <w:t>–</w:t>
      </w:r>
      <w:r w:rsidRPr="00B7598F">
        <w:rPr>
          <w:sz w:val="20"/>
          <w:szCs w:val="20"/>
        </w:rPr>
        <w:t xml:space="preserve"> </w:t>
      </w:r>
      <w:r w:rsidR="00744A1F" w:rsidRPr="00B7598F">
        <w:rPr>
          <w:sz w:val="20"/>
          <w:szCs w:val="20"/>
        </w:rPr>
        <w:t>a roadmap for the organization that is agreed upon cross-functionally</w:t>
      </w:r>
      <w:r w:rsidR="00B7598F" w:rsidRPr="00B7598F">
        <w:rPr>
          <w:sz w:val="20"/>
          <w:szCs w:val="20"/>
        </w:rPr>
        <w:t xml:space="preserve"> that balances supply / demand</w:t>
      </w:r>
      <w:r w:rsidR="00820105">
        <w:rPr>
          <w:sz w:val="20"/>
          <w:szCs w:val="20"/>
        </w:rPr>
        <w:t xml:space="preserve"> issues and links </w:t>
      </w:r>
      <w:r w:rsidR="00FA5B46">
        <w:rPr>
          <w:sz w:val="20"/>
          <w:szCs w:val="20"/>
        </w:rPr>
        <w:t xml:space="preserve">operational decisions back to financial goals and targets. It provides a path for SCO </w:t>
      </w:r>
      <w:r w:rsidR="00A17E30">
        <w:rPr>
          <w:sz w:val="20"/>
          <w:szCs w:val="20"/>
        </w:rPr>
        <w:t>to implement its various functions.</w:t>
      </w:r>
    </w:p>
    <w:p w14:paraId="255E2A24" w14:textId="43F6D763" w:rsidR="00A17E30" w:rsidRDefault="00B01E82" w:rsidP="00B7598F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9A7617">
        <w:rPr>
          <w:b/>
          <w:bCs/>
          <w:sz w:val="20"/>
          <w:szCs w:val="20"/>
        </w:rPr>
        <w:t>Lead Time</w:t>
      </w:r>
      <w:r>
        <w:rPr>
          <w:sz w:val="20"/>
          <w:szCs w:val="20"/>
        </w:rPr>
        <w:t xml:space="preserve"> – the total time from </w:t>
      </w:r>
      <w:r w:rsidR="0083617F">
        <w:rPr>
          <w:sz w:val="20"/>
          <w:szCs w:val="20"/>
        </w:rPr>
        <w:t xml:space="preserve">when an order is placed to when the product reaches the end-customer. </w:t>
      </w:r>
      <w:r w:rsidR="0048728B">
        <w:rPr>
          <w:sz w:val="20"/>
          <w:szCs w:val="20"/>
        </w:rPr>
        <w:t>The clock starts when the order is placed and processed, materials and ordered and received,</w:t>
      </w:r>
      <w:r w:rsidR="00D16836">
        <w:rPr>
          <w:sz w:val="20"/>
          <w:szCs w:val="20"/>
        </w:rPr>
        <w:t xml:space="preserve"> production, and distribution. Other factors that</w:t>
      </w:r>
      <w:r w:rsidR="009A7617">
        <w:rPr>
          <w:sz w:val="20"/>
          <w:szCs w:val="20"/>
        </w:rPr>
        <w:t xml:space="preserve"> affect lead time include product complexity, order placement (platform), and contractual arrangements between company and customer.</w:t>
      </w:r>
    </w:p>
    <w:p w14:paraId="10FAC6D1" w14:textId="40CBBE82" w:rsidR="009A7617" w:rsidRDefault="009A7617" w:rsidP="00B7598F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350C93">
        <w:rPr>
          <w:b/>
          <w:bCs/>
          <w:sz w:val="20"/>
          <w:szCs w:val="20"/>
        </w:rPr>
        <w:t>Safety Stock</w:t>
      </w:r>
      <w:r>
        <w:rPr>
          <w:sz w:val="20"/>
          <w:szCs w:val="20"/>
        </w:rPr>
        <w:t xml:space="preserve"> </w:t>
      </w:r>
      <w:r w:rsidR="001A6943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1A6943">
        <w:rPr>
          <w:sz w:val="20"/>
          <w:szCs w:val="20"/>
        </w:rPr>
        <w:t>excess inventory that is kept on-hand when supply and demand go out of balance.</w:t>
      </w:r>
      <w:r w:rsidR="00332D63">
        <w:rPr>
          <w:sz w:val="20"/>
          <w:szCs w:val="20"/>
        </w:rPr>
        <w:t xml:space="preserve"> Other factors that drive stock levels i</w:t>
      </w:r>
      <w:r w:rsidR="00424E47">
        <w:rPr>
          <w:sz w:val="20"/>
          <w:szCs w:val="20"/>
        </w:rPr>
        <w:t xml:space="preserve">nclude defective product runs, lost shipments, </w:t>
      </w:r>
      <w:r w:rsidR="00C54405">
        <w:rPr>
          <w:sz w:val="20"/>
          <w:szCs w:val="20"/>
        </w:rPr>
        <w:t>acceptance of late orders outside of normal ordering windows, etc. S</w:t>
      </w:r>
      <w:r w:rsidR="00350C93">
        <w:rPr>
          <w:sz w:val="20"/>
          <w:szCs w:val="20"/>
        </w:rPr>
        <w:t>tatistics, experience, and seasonality are important when optimizing stock levels.</w:t>
      </w:r>
    </w:p>
    <w:p w14:paraId="51B5954F" w14:textId="7C7FED45" w:rsidR="00350C93" w:rsidRPr="00B7598F" w:rsidRDefault="00282F86" w:rsidP="00B7598F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Service Level </w:t>
      </w:r>
      <w:r w:rsidR="00731C66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731C66">
        <w:rPr>
          <w:sz w:val="20"/>
          <w:szCs w:val="20"/>
        </w:rPr>
        <w:t>usually agreed upon between company and customer</w:t>
      </w:r>
      <w:r w:rsidR="00626EFE">
        <w:rPr>
          <w:sz w:val="20"/>
          <w:szCs w:val="20"/>
        </w:rPr>
        <w:t xml:space="preserve"> and is dictated by the number of units ordered that could be filled using inventory on hand.</w:t>
      </w:r>
    </w:p>
    <w:p w14:paraId="74CBA395" w14:textId="07C7D724" w:rsidR="00B73A29" w:rsidRPr="00AC0DCC" w:rsidRDefault="00197B74" w:rsidP="00B73A29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Master Scheduling</w:t>
      </w:r>
    </w:p>
    <w:p w14:paraId="6D80D6EE" w14:textId="174A114C" w:rsidR="00772B82" w:rsidRDefault="00382A81" w:rsidP="00197B74">
      <w:p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Planning </w:t>
      </w:r>
      <w:r>
        <w:rPr>
          <w:sz w:val="20"/>
          <w:szCs w:val="20"/>
        </w:rPr>
        <w:t xml:space="preserve">ensures that the correct </w:t>
      </w:r>
      <w:proofErr w:type="gramStart"/>
      <w:r>
        <w:rPr>
          <w:sz w:val="20"/>
          <w:szCs w:val="20"/>
        </w:rPr>
        <w:t>amount</w:t>
      </w:r>
      <w:proofErr w:type="gramEnd"/>
      <w:r>
        <w:rPr>
          <w:sz w:val="20"/>
          <w:szCs w:val="20"/>
        </w:rPr>
        <w:t xml:space="preserve"> of raw materials, personnel, and other resources are </w:t>
      </w:r>
      <w:r w:rsidR="003647B5">
        <w:rPr>
          <w:sz w:val="20"/>
          <w:szCs w:val="20"/>
        </w:rPr>
        <w:t xml:space="preserve">“scheduled” in order to create the necessary number of products. </w:t>
      </w:r>
      <w:r w:rsidR="00867000">
        <w:rPr>
          <w:sz w:val="20"/>
          <w:szCs w:val="20"/>
        </w:rPr>
        <w:t xml:space="preserve">This plan is integrated into a master schedule </w:t>
      </w:r>
      <w:r w:rsidR="00A00AD7">
        <w:rPr>
          <w:sz w:val="20"/>
          <w:szCs w:val="20"/>
        </w:rPr>
        <w:t>that drives when and where resources will be required. Formally, the master schedule feeds into the Material, Production, and Inventory Plans</w:t>
      </w:r>
      <w:r w:rsidR="0063059A">
        <w:rPr>
          <w:sz w:val="20"/>
          <w:szCs w:val="20"/>
        </w:rPr>
        <w:t>.</w:t>
      </w:r>
      <w:r w:rsidR="00B40FC1">
        <w:rPr>
          <w:sz w:val="20"/>
          <w:szCs w:val="20"/>
        </w:rPr>
        <w:t xml:space="preserve"> The very first step in setting the master schedule is generating a forecast.</w:t>
      </w:r>
    </w:p>
    <w:p w14:paraId="651DB5C2" w14:textId="77777777" w:rsidR="0008434F" w:rsidRDefault="00B40FC1" w:rsidP="00CC0BA8">
      <w:pPr>
        <w:ind w:left="1260" w:hanging="126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Forecast</w:t>
      </w:r>
      <w:r w:rsidR="004D69EB">
        <w:rPr>
          <w:b/>
          <w:bCs/>
          <w:sz w:val="20"/>
          <w:szCs w:val="20"/>
        </w:rPr>
        <w:t>s</w:t>
      </w:r>
      <w:r w:rsidR="00CC0BA8">
        <w:rPr>
          <w:b/>
          <w:bCs/>
          <w:sz w:val="20"/>
          <w:szCs w:val="20"/>
        </w:rPr>
        <w:tab/>
      </w:r>
      <w:r w:rsidR="00B91F76">
        <w:rPr>
          <w:sz w:val="20"/>
          <w:szCs w:val="20"/>
        </w:rPr>
        <w:t>can be quantitative and/or qualitative and rel</w:t>
      </w:r>
      <w:r w:rsidR="004D69EB">
        <w:rPr>
          <w:sz w:val="20"/>
          <w:szCs w:val="20"/>
        </w:rPr>
        <w:t>y</w:t>
      </w:r>
      <w:r w:rsidR="00CF2845">
        <w:rPr>
          <w:sz w:val="20"/>
          <w:szCs w:val="20"/>
        </w:rPr>
        <w:t xml:space="preserve"> on diverse sources of information ranging from historical performance, market research, </w:t>
      </w:r>
      <w:r w:rsidR="0063782C">
        <w:rPr>
          <w:sz w:val="20"/>
          <w:szCs w:val="20"/>
        </w:rPr>
        <w:t>expert opinions, regression analysis, customer surveys, and time series methods.</w:t>
      </w:r>
      <w:r w:rsidR="001D7C46">
        <w:rPr>
          <w:sz w:val="20"/>
          <w:szCs w:val="20"/>
        </w:rPr>
        <w:t xml:space="preserve"> Forecasting can help reduce uncertainty around not knowing</w:t>
      </w:r>
      <w:r w:rsidR="00C564E1">
        <w:rPr>
          <w:sz w:val="20"/>
          <w:szCs w:val="20"/>
        </w:rPr>
        <w:t xml:space="preserve"> exact demand given the required lead time and service levels.</w:t>
      </w:r>
      <w:r w:rsidR="00C122AB">
        <w:rPr>
          <w:sz w:val="20"/>
          <w:szCs w:val="20"/>
        </w:rPr>
        <w:t xml:space="preserve"> </w:t>
      </w:r>
      <w:r w:rsidR="004F1022">
        <w:rPr>
          <w:sz w:val="20"/>
          <w:szCs w:val="20"/>
        </w:rPr>
        <w:t xml:space="preserve">As lead times get longer, </w:t>
      </w:r>
      <w:r w:rsidR="00C50FC9">
        <w:rPr>
          <w:sz w:val="20"/>
          <w:szCs w:val="20"/>
        </w:rPr>
        <w:t xml:space="preserve">supply and demand forecasting </w:t>
      </w:r>
      <w:r w:rsidR="00E84427">
        <w:rPr>
          <w:sz w:val="20"/>
          <w:szCs w:val="20"/>
        </w:rPr>
        <w:t>become</w:t>
      </w:r>
      <w:r w:rsidR="00C50FC9">
        <w:rPr>
          <w:sz w:val="20"/>
          <w:szCs w:val="20"/>
        </w:rPr>
        <w:t xml:space="preserve"> more uncertain because customers are themselves </w:t>
      </w:r>
      <w:r w:rsidR="001C7A0D">
        <w:rPr>
          <w:sz w:val="20"/>
          <w:szCs w:val="20"/>
        </w:rPr>
        <w:t xml:space="preserve">more </w:t>
      </w:r>
      <w:r w:rsidR="006F0723">
        <w:rPr>
          <w:sz w:val="20"/>
          <w:szCs w:val="20"/>
        </w:rPr>
        <w:t>unsure</w:t>
      </w:r>
      <w:r w:rsidR="001C7A0D">
        <w:rPr>
          <w:sz w:val="20"/>
          <w:szCs w:val="20"/>
        </w:rPr>
        <w:t xml:space="preserve"> about </w:t>
      </w:r>
      <w:r w:rsidR="006F0723">
        <w:rPr>
          <w:sz w:val="20"/>
          <w:szCs w:val="20"/>
        </w:rPr>
        <w:t xml:space="preserve">long-horizon </w:t>
      </w:r>
      <w:r w:rsidR="001C7A0D">
        <w:rPr>
          <w:sz w:val="20"/>
          <w:szCs w:val="20"/>
        </w:rPr>
        <w:t xml:space="preserve">market demand </w:t>
      </w:r>
      <w:r w:rsidR="006F0723">
        <w:rPr>
          <w:sz w:val="20"/>
          <w:szCs w:val="20"/>
        </w:rPr>
        <w:t>with</w:t>
      </w:r>
      <w:r w:rsidR="001C7A0D">
        <w:rPr>
          <w:sz w:val="20"/>
          <w:szCs w:val="20"/>
        </w:rPr>
        <w:t xml:space="preserve"> supply-side variability</w:t>
      </w:r>
      <w:r w:rsidR="00DB5000">
        <w:rPr>
          <w:sz w:val="20"/>
          <w:szCs w:val="20"/>
        </w:rPr>
        <w:t xml:space="preserve"> adding more complexity to forecasting</w:t>
      </w:r>
      <w:r w:rsidR="003E5400">
        <w:rPr>
          <w:sz w:val="20"/>
          <w:szCs w:val="20"/>
        </w:rPr>
        <w:t>.</w:t>
      </w:r>
      <w:r w:rsidR="00DB5000">
        <w:rPr>
          <w:sz w:val="20"/>
          <w:szCs w:val="20"/>
        </w:rPr>
        <w:t xml:space="preserve"> </w:t>
      </w:r>
      <w:r w:rsidR="00057C40">
        <w:rPr>
          <w:sz w:val="20"/>
          <w:szCs w:val="20"/>
        </w:rPr>
        <w:t xml:space="preserve">Seasonality also </w:t>
      </w:r>
      <w:r w:rsidR="002D7C0F">
        <w:rPr>
          <w:sz w:val="20"/>
          <w:szCs w:val="20"/>
        </w:rPr>
        <w:t>plays</w:t>
      </w:r>
      <w:r w:rsidR="00746E20">
        <w:rPr>
          <w:sz w:val="20"/>
          <w:szCs w:val="20"/>
        </w:rPr>
        <w:t xml:space="preserve"> </w:t>
      </w:r>
      <w:r w:rsidR="002D7C0F">
        <w:rPr>
          <w:sz w:val="20"/>
          <w:szCs w:val="20"/>
        </w:rPr>
        <w:t>a role</w:t>
      </w:r>
      <w:r w:rsidR="0008434F">
        <w:rPr>
          <w:sz w:val="20"/>
          <w:szCs w:val="20"/>
        </w:rPr>
        <w:t>.</w:t>
      </w:r>
    </w:p>
    <w:p w14:paraId="62116F41" w14:textId="2CDE7AAE" w:rsidR="004905DB" w:rsidRDefault="007A20B9" w:rsidP="00864D86">
      <w:pPr>
        <w:ind w:left="1800" w:hanging="180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Master Schedule</w:t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 xml:space="preserve">There are three components </w:t>
      </w:r>
      <w:r w:rsidR="00F76F34">
        <w:rPr>
          <w:sz w:val="20"/>
          <w:szCs w:val="20"/>
        </w:rPr>
        <w:t xml:space="preserve">to a master schedule: 1) </w:t>
      </w:r>
      <w:r w:rsidR="00F76F34" w:rsidRPr="00FC4960">
        <w:rPr>
          <w:b/>
          <w:bCs/>
          <w:sz w:val="20"/>
          <w:szCs w:val="20"/>
        </w:rPr>
        <w:t>material resource plan</w:t>
      </w:r>
      <w:r w:rsidR="00F76F34">
        <w:rPr>
          <w:sz w:val="20"/>
          <w:szCs w:val="20"/>
        </w:rPr>
        <w:t xml:space="preserve">, 2) </w:t>
      </w:r>
      <w:r w:rsidR="00F76F34" w:rsidRPr="00FC4960">
        <w:rPr>
          <w:b/>
          <w:bCs/>
          <w:sz w:val="20"/>
          <w:szCs w:val="20"/>
        </w:rPr>
        <w:t>enterprise resource plan</w:t>
      </w:r>
      <w:r w:rsidR="00F76F34">
        <w:rPr>
          <w:sz w:val="20"/>
          <w:szCs w:val="20"/>
        </w:rPr>
        <w:t xml:space="preserve">, and 3) </w:t>
      </w:r>
      <w:r w:rsidR="00F76F34" w:rsidRPr="00FC4960">
        <w:rPr>
          <w:b/>
          <w:bCs/>
          <w:sz w:val="20"/>
          <w:szCs w:val="20"/>
        </w:rPr>
        <w:t>inventory plan</w:t>
      </w:r>
      <w:r w:rsidR="00F76F34">
        <w:rPr>
          <w:sz w:val="20"/>
          <w:szCs w:val="20"/>
        </w:rPr>
        <w:t>. The demand-plan and supply-plan</w:t>
      </w:r>
      <w:r w:rsidR="00825F12">
        <w:rPr>
          <w:sz w:val="20"/>
          <w:szCs w:val="20"/>
        </w:rPr>
        <w:t>, as discussed in the</w:t>
      </w:r>
      <w:r w:rsidR="00FC4960">
        <w:rPr>
          <w:sz w:val="20"/>
          <w:szCs w:val="20"/>
        </w:rPr>
        <w:t xml:space="preserve"> “Forecasts” section serve as constraints to the master schedule.</w:t>
      </w:r>
      <w:r w:rsidR="00040F81">
        <w:rPr>
          <w:sz w:val="20"/>
          <w:szCs w:val="20"/>
        </w:rPr>
        <w:t xml:space="preserve"> Once the </w:t>
      </w:r>
      <w:r w:rsidR="00040F81" w:rsidRPr="007F48DA">
        <w:rPr>
          <w:b/>
          <w:bCs/>
          <w:sz w:val="20"/>
          <w:szCs w:val="20"/>
        </w:rPr>
        <w:t>demand-plan</w:t>
      </w:r>
      <w:r w:rsidR="00040F81">
        <w:rPr>
          <w:sz w:val="20"/>
          <w:szCs w:val="20"/>
        </w:rPr>
        <w:t xml:space="preserve"> is formulated,</w:t>
      </w:r>
      <w:r w:rsidR="007F48DA">
        <w:rPr>
          <w:sz w:val="20"/>
          <w:szCs w:val="20"/>
        </w:rPr>
        <w:t xml:space="preserve"> t</w:t>
      </w:r>
      <w:r w:rsidR="00EA030D">
        <w:rPr>
          <w:sz w:val="20"/>
          <w:szCs w:val="20"/>
        </w:rPr>
        <w:t xml:space="preserve">he </w:t>
      </w:r>
      <w:r w:rsidR="00EA030D" w:rsidRPr="0000376B">
        <w:rPr>
          <w:b/>
          <w:bCs/>
          <w:sz w:val="20"/>
          <w:szCs w:val="20"/>
        </w:rPr>
        <w:t>supply</w:t>
      </w:r>
      <w:r w:rsidR="0000376B" w:rsidRPr="0000376B">
        <w:rPr>
          <w:b/>
          <w:bCs/>
          <w:sz w:val="20"/>
          <w:szCs w:val="20"/>
        </w:rPr>
        <w:t>-</w:t>
      </w:r>
      <w:r w:rsidR="00EA030D" w:rsidRPr="0000376B">
        <w:rPr>
          <w:b/>
          <w:bCs/>
          <w:sz w:val="20"/>
          <w:szCs w:val="20"/>
        </w:rPr>
        <w:t>plan</w:t>
      </w:r>
      <w:r w:rsidR="00EA030D">
        <w:rPr>
          <w:sz w:val="20"/>
          <w:szCs w:val="20"/>
        </w:rPr>
        <w:t xml:space="preserve"> </w:t>
      </w:r>
      <w:r w:rsidR="00130E2C">
        <w:rPr>
          <w:sz w:val="20"/>
          <w:szCs w:val="20"/>
        </w:rPr>
        <w:t xml:space="preserve">considers the </w:t>
      </w:r>
      <w:r w:rsidR="006C1862">
        <w:rPr>
          <w:sz w:val="20"/>
          <w:szCs w:val="20"/>
        </w:rPr>
        <w:t xml:space="preserve">safety stock levels </w:t>
      </w:r>
      <w:r w:rsidR="00130E2C">
        <w:rPr>
          <w:sz w:val="20"/>
          <w:szCs w:val="20"/>
        </w:rPr>
        <w:t>relative to th</w:t>
      </w:r>
      <w:r w:rsidR="006C1862">
        <w:rPr>
          <w:sz w:val="20"/>
          <w:szCs w:val="20"/>
        </w:rPr>
        <w:t xml:space="preserve">e </w:t>
      </w:r>
      <w:r w:rsidR="00EA030D">
        <w:rPr>
          <w:sz w:val="20"/>
          <w:szCs w:val="20"/>
        </w:rPr>
        <w:t>demand</w:t>
      </w:r>
      <w:r w:rsidR="006C1862">
        <w:rPr>
          <w:sz w:val="20"/>
          <w:szCs w:val="20"/>
        </w:rPr>
        <w:t xml:space="preserve"> plan</w:t>
      </w:r>
      <w:r w:rsidR="0000376B">
        <w:rPr>
          <w:sz w:val="20"/>
          <w:szCs w:val="20"/>
        </w:rPr>
        <w:t xml:space="preserve"> in order to generate a </w:t>
      </w:r>
      <w:r w:rsidR="0000376B" w:rsidRPr="0000376B">
        <w:rPr>
          <w:b/>
          <w:bCs/>
          <w:sz w:val="20"/>
          <w:szCs w:val="20"/>
        </w:rPr>
        <w:t>ma</w:t>
      </w:r>
      <w:r w:rsidR="00D36C4A">
        <w:rPr>
          <w:b/>
          <w:bCs/>
          <w:sz w:val="20"/>
          <w:szCs w:val="20"/>
        </w:rPr>
        <w:t xml:space="preserve">ster </w:t>
      </w:r>
      <w:r w:rsidR="0000376B" w:rsidRPr="0000376B">
        <w:rPr>
          <w:b/>
          <w:bCs/>
          <w:sz w:val="20"/>
          <w:szCs w:val="20"/>
        </w:rPr>
        <w:t>schedule</w:t>
      </w:r>
      <w:r w:rsidR="0000376B">
        <w:rPr>
          <w:sz w:val="20"/>
          <w:szCs w:val="20"/>
        </w:rPr>
        <w:t>.</w:t>
      </w:r>
    </w:p>
    <w:p w14:paraId="1D79ABEE" w14:textId="5834185A" w:rsidR="00C41F42" w:rsidRDefault="000A05BD" w:rsidP="00857999">
      <w:pPr>
        <w:ind w:left="1530" w:firstLine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Before looking at each </w:t>
      </w:r>
      <w:r w:rsidR="00AC407F">
        <w:rPr>
          <w:sz w:val="20"/>
          <w:szCs w:val="20"/>
        </w:rPr>
        <w:t>of these sub-components in detail, lets first examine key business parameters:</w:t>
      </w:r>
    </w:p>
    <w:p w14:paraId="7A99D500" w14:textId="6B336DE0" w:rsidR="00AC407F" w:rsidRDefault="00AC407F" w:rsidP="00AC407F">
      <w:pPr>
        <w:pStyle w:val="ListParagraph"/>
        <w:numPr>
          <w:ilvl w:val="0"/>
          <w:numId w:val="8"/>
        </w:numPr>
        <w:ind w:left="20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CTC has 80 </w:t>
      </w:r>
      <w:r w:rsidR="00557E85">
        <w:rPr>
          <w:sz w:val="20"/>
          <w:szCs w:val="20"/>
        </w:rPr>
        <w:t xml:space="preserve">manufacturing </w:t>
      </w:r>
      <w:proofErr w:type="gramStart"/>
      <w:r w:rsidR="00557E85">
        <w:rPr>
          <w:sz w:val="20"/>
          <w:szCs w:val="20"/>
        </w:rPr>
        <w:t>employees</w:t>
      </w:r>
      <w:proofErr w:type="gramEnd"/>
    </w:p>
    <w:p w14:paraId="59CF288D" w14:textId="75DD0F4C" w:rsidR="00557E85" w:rsidRDefault="00557E85" w:rsidP="00AC407F">
      <w:pPr>
        <w:pStyle w:val="ListParagraph"/>
        <w:numPr>
          <w:ilvl w:val="0"/>
          <w:numId w:val="8"/>
        </w:numPr>
        <w:ind w:left="2070"/>
        <w:jc w:val="both"/>
        <w:rPr>
          <w:sz w:val="20"/>
          <w:szCs w:val="20"/>
        </w:rPr>
      </w:pPr>
      <w:r>
        <w:rPr>
          <w:sz w:val="20"/>
          <w:szCs w:val="20"/>
        </w:rPr>
        <w:t>At any given time</w:t>
      </w:r>
      <w:r w:rsidR="00BC3B5B">
        <w:rPr>
          <w:sz w:val="20"/>
          <w:szCs w:val="20"/>
        </w:rPr>
        <w:t>,</w:t>
      </w:r>
      <w:r>
        <w:rPr>
          <w:sz w:val="20"/>
          <w:szCs w:val="20"/>
        </w:rPr>
        <w:t xml:space="preserve"> there is a minimum of 30 employees </w:t>
      </w:r>
      <w:proofErr w:type="gramStart"/>
      <w:r>
        <w:rPr>
          <w:sz w:val="20"/>
          <w:szCs w:val="20"/>
        </w:rPr>
        <w:t>working</w:t>
      </w:r>
      <w:proofErr w:type="gramEnd"/>
    </w:p>
    <w:p w14:paraId="78777922" w14:textId="147F61F1" w:rsidR="00557E85" w:rsidRDefault="00BC3B5B" w:rsidP="00AC407F">
      <w:pPr>
        <w:pStyle w:val="ListParagraph"/>
        <w:numPr>
          <w:ilvl w:val="0"/>
          <w:numId w:val="8"/>
        </w:numPr>
        <w:ind w:left="20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Employees work an 8-hour </w:t>
      </w:r>
      <w:proofErr w:type="gramStart"/>
      <w:r>
        <w:rPr>
          <w:sz w:val="20"/>
          <w:szCs w:val="20"/>
        </w:rPr>
        <w:t>shift</w:t>
      </w:r>
      <w:proofErr w:type="gramEnd"/>
    </w:p>
    <w:p w14:paraId="00A5C397" w14:textId="2841809D" w:rsidR="00BC3B5B" w:rsidRPr="00AC407F" w:rsidRDefault="004368C0" w:rsidP="00AC407F">
      <w:pPr>
        <w:pStyle w:val="ListParagraph"/>
        <w:numPr>
          <w:ilvl w:val="0"/>
          <w:numId w:val="8"/>
        </w:numPr>
        <w:ind w:left="2070"/>
        <w:jc w:val="both"/>
        <w:rPr>
          <w:sz w:val="20"/>
          <w:szCs w:val="20"/>
        </w:rPr>
      </w:pPr>
      <w:r>
        <w:rPr>
          <w:sz w:val="20"/>
          <w:szCs w:val="20"/>
        </w:rPr>
        <w:t>CTC manufactures 25 scissors per hour using 5 manufacturing lines each with a throughput of</w:t>
      </w:r>
      <w:r w:rsidR="00E64452">
        <w:rPr>
          <w:sz w:val="20"/>
          <w:szCs w:val="20"/>
        </w:rPr>
        <w:t xml:space="preserve"> one scissor manufactured every 12 minutes.</w:t>
      </w:r>
    </w:p>
    <w:p w14:paraId="384F2EC7" w14:textId="7C6E31E0" w:rsidR="00F038F1" w:rsidRPr="00F038F1" w:rsidRDefault="00F95EEB" w:rsidP="00F038F1">
      <w:pPr>
        <w:ind w:left="1260" w:hanging="126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Demand</w:t>
      </w:r>
      <w:r w:rsidR="00FE2063">
        <w:rPr>
          <w:b/>
          <w:bCs/>
          <w:sz w:val="20"/>
          <w:szCs w:val="20"/>
        </w:rPr>
        <w:tab/>
      </w:r>
      <w:r w:rsidR="001D13CB">
        <w:rPr>
          <w:sz w:val="20"/>
          <w:szCs w:val="20"/>
        </w:rPr>
        <w:t xml:space="preserve">The forecasted demand can be formulated by customer </w:t>
      </w:r>
      <w:r w:rsidR="00AC04A2">
        <w:rPr>
          <w:sz w:val="20"/>
          <w:szCs w:val="20"/>
        </w:rPr>
        <w:t xml:space="preserve">by product </w:t>
      </w:r>
      <w:r w:rsidR="001D13CB">
        <w:rPr>
          <w:sz w:val="20"/>
          <w:szCs w:val="20"/>
        </w:rPr>
        <w:t>by month.</w:t>
      </w:r>
      <w:r w:rsidR="00AC04A2">
        <w:rPr>
          <w:sz w:val="20"/>
          <w:szCs w:val="20"/>
        </w:rPr>
        <w:t xml:space="preserve"> The individual customer demand by product </w:t>
      </w:r>
      <w:r w:rsidR="006E71E3">
        <w:rPr>
          <w:sz w:val="20"/>
          <w:szCs w:val="20"/>
        </w:rPr>
        <w:t xml:space="preserve">can </w:t>
      </w:r>
      <w:r w:rsidR="007075F8">
        <w:rPr>
          <w:sz w:val="20"/>
          <w:szCs w:val="20"/>
        </w:rPr>
        <w:t xml:space="preserve">be </w:t>
      </w:r>
      <w:r w:rsidR="006E71E3">
        <w:rPr>
          <w:sz w:val="20"/>
          <w:szCs w:val="20"/>
        </w:rPr>
        <w:t>total</w:t>
      </w:r>
      <w:r w:rsidR="007075F8">
        <w:rPr>
          <w:sz w:val="20"/>
          <w:szCs w:val="20"/>
        </w:rPr>
        <w:t>ed</w:t>
      </w:r>
      <w:r w:rsidR="006E71E3">
        <w:rPr>
          <w:sz w:val="20"/>
          <w:szCs w:val="20"/>
        </w:rPr>
        <w:t xml:space="preserve"> to arrive at </w:t>
      </w:r>
      <w:r w:rsidR="007075F8">
        <w:rPr>
          <w:sz w:val="20"/>
          <w:szCs w:val="20"/>
        </w:rPr>
        <w:t xml:space="preserve">the </w:t>
      </w:r>
      <w:r w:rsidR="006E71E3">
        <w:rPr>
          <w:sz w:val="20"/>
          <w:szCs w:val="20"/>
        </w:rPr>
        <w:t>total monthly product demand.</w:t>
      </w:r>
    </w:p>
    <w:p w14:paraId="10224BBC" w14:textId="59ADC87B" w:rsidR="00EA6420" w:rsidRDefault="00EA6420" w:rsidP="00EA6420">
      <w:pPr>
        <w:ind w:left="1260" w:hanging="126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Supply</w:t>
      </w:r>
      <w:r>
        <w:rPr>
          <w:b/>
          <w:bCs/>
          <w:sz w:val="20"/>
          <w:szCs w:val="20"/>
        </w:rPr>
        <w:tab/>
      </w:r>
      <w:r w:rsidR="005A1C37">
        <w:rPr>
          <w:sz w:val="20"/>
          <w:szCs w:val="20"/>
        </w:rPr>
        <w:t>The required manufacturing output equal t</w:t>
      </w:r>
      <w:r w:rsidR="0021051F">
        <w:rPr>
          <w:sz w:val="20"/>
          <w:szCs w:val="20"/>
        </w:rPr>
        <w:t>he total</w:t>
      </w:r>
      <w:r w:rsidR="002A5CF1">
        <w:rPr>
          <w:sz w:val="20"/>
          <w:szCs w:val="20"/>
        </w:rPr>
        <w:t xml:space="preserve"> monthly product</w:t>
      </w:r>
      <w:r w:rsidR="0021051F">
        <w:rPr>
          <w:sz w:val="20"/>
          <w:szCs w:val="20"/>
        </w:rPr>
        <w:t xml:space="preserve"> demand netted against</w:t>
      </w:r>
      <w:r w:rsidR="004E3C62">
        <w:rPr>
          <w:sz w:val="20"/>
          <w:szCs w:val="20"/>
        </w:rPr>
        <w:t xml:space="preserve"> </w:t>
      </w:r>
      <w:r w:rsidR="00EC67E9">
        <w:rPr>
          <w:sz w:val="20"/>
          <w:szCs w:val="20"/>
        </w:rPr>
        <w:t>on</w:t>
      </w:r>
      <w:r w:rsidR="001B67A2">
        <w:rPr>
          <w:sz w:val="20"/>
          <w:szCs w:val="20"/>
        </w:rPr>
        <w:t xml:space="preserve">-hand inventory </w:t>
      </w:r>
      <w:r w:rsidR="005A1C37">
        <w:rPr>
          <w:sz w:val="20"/>
          <w:szCs w:val="20"/>
        </w:rPr>
        <w:t xml:space="preserve">with an add-back for </w:t>
      </w:r>
      <w:r w:rsidR="0021051F">
        <w:rPr>
          <w:sz w:val="20"/>
          <w:szCs w:val="20"/>
        </w:rPr>
        <w:t>safety stock</w:t>
      </w:r>
      <w:r w:rsidR="0033395A">
        <w:rPr>
          <w:sz w:val="20"/>
          <w:szCs w:val="20"/>
        </w:rPr>
        <w:t>.</w:t>
      </w:r>
      <w:r w:rsidR="005F6381">
        <w:rPr>
          <w:sz w:val="20"/>
          <w:szCs w:val="20"/>
        </w:rPr>
        <w:t xml:space="preserve"> </w:t>
      </w:r>
      <w:r w:rsidR="00491EA5">
        <w:rPr>
          <w:sz w:val="20"/>
          <w:szCs w:val="20"/>
        </w:rPr>
        <w:t>This simple calculation</w:t>
      </w:r>
      <w:r w:rsidR="005F6381">
        <w:rPr>
          <w:sz w:val="20"/>
          <w:szCs w:val="20"/>
        </w:rPr>
        <w:t xml:space="preserve"> assum</w:t>
      </w:r>
      <w:r w:rsidR="00491EA5">
        <w:rPr>
          <w:sz w:val="20"/>
          <w:szCs w:val="20"/>
        </w:rPr>
        <w:t>es</w:t>
      </w:r>
      <w:r w:rsidR="005F6381">
        <w:rPr>
          <w:sz w:val="20"/>
          <w:szCs w:val="20"/>
        </w:rPr>
        <w:t xml:space="preserve"> that the distribution network can </w:t>
      </w:r>
      <w:r w:rsidR="005F6381">
        <w:rPr>
          <w:sz w:val="20"/>
          <w:szCs w:val="20"/>
        </w:rPr>
        <w:lastRenderedPageBreak/>
        <w:t>deliver th</w:t>
      </w:r>
      <w:r w:rsidR="00657D37">
        <w:rPr>
          <w:sz w:val="20"/>
          <w:szCs w:val="20"/>
        </w:rPr>
        <w:t>e</w:t>
      </w:r>
      <w:r w:rsidR="005F6381">
        <w:rPr>
          <w:sz w:val="20"/>
          <w:szCs w:val="20"/>
        </w:rPr>
        <w:t xml:space="preserve"> demand irrespective of the </w:t>
      </w:r>
      <w:r w:rsidR="00DA4DF1">
        <w:rPr>
          <w:sz w:val="20"/>
          <w:szCs w:val="20"/>
        </w:rPr>
        <w:t>proximity of the end-customer, however, this assumption doesn’t h</w:t>
      </w:r>
      <w:r w:rsidR="00FB6778">
        <w:rPr>
          <w:sz w:val="20"/>
          <w:szCs w:val="20"/>
        </w:rPr>
        <w:t xml:space="preserve">old for complex </w:t>
      </w:r>
      <w:r w:rsidR="0025006D">
        <w:rPr>
          <w:sz w:val="20"/>
          <w:szCs w:val="20"/>
        </w:rPr>
        <w:t>and disperse</w:t>
      </w:r>
      <w:r w:rsidR="0086126C">
        <w:rPr>
          <w:sz w:val="20"/>
          <w:szCs w:val="20"/>
        </w:rPr>
        <w:t>d</w:t>
      </w:r>
      <w:r w:rsidR="0025006D">
        <w:rPr>
          <w:sz w:val="20"/>
          <w:szCs w:val="20"/>
        </w:rPr>
        <w:t xml:space="preserve"> distribution networks.</w:t>
      </w:r>
    </w:p>
    <w:p w14:paraId="158F87BA" w14:textId="79AD3102" w:rsidR="00434EFE" w:rsidRDefault="00434EFE" w:rsidP="00EA6420">
      <w:pPr>
        <w:ind w:left="1260" w:hanging="126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ab/>
        <w:t xml:space="preserve">Required </w:t>
      </w:r>
      <w:r w:rsidR="00F07F0A">
        <w:rPr>
          <w:b/>
          <w:bCs/>
          <w:sz w:val="20"/>
          <w:szCs w:val="20"/>
        </w:rPr>
        <w:t xml:space="preserve">Manufacturing Output </w:t>
      </w:r>
      <w:r>
        <w:rPr>
          <w:b/>
          <w:bCs/>
          <w:sz w:val="20"/>
          <w:szCs w:val="20"/>
        </w:rPr>
        <w:t xml:space="preserve">= </w:t>
      </w:r>
      <w:r w:rsidR="002E5261">
        <w:rPr>
          <w:sz w:val="20"/>
          <w:szCs w:val="20"/>
        </w:rPr>
        <w:t>Demand</w:t>
      </w:r>
      <w:r w:rsidR="00657D37">
        <w:rPr>
          <w:sz w:val="20"/>
          <w:szCs w:val="20"/>
        </w:rPr>
        <w:t xml:space="preserve">   </w:t>
      </w:r>
      <w:r w:rsidR="003A4838">
        <w:rPr>
          <w:sz w:val="20"/>
          <w:szCs w:val="20"/>
        </w:rPr>
        <w:t>–</w:t>
      </w:r>
      <w:r w:rsidR="00657D37">
        <w:rPr>
          <w:sz w:val="20"/>
          <w:szCs w:val="20"/>
        </w:rPr>
        <w:t xml:space="preserve">   </w:t>
      </w:r>
      <w:r>
        <w:rPr>
          <w:sz w:val="20"/>
          <w:szCs w:val="20"/>
        </w:rPr>
        <w:t>On-hand inventory</w:t>
      </w:r>
      <w:r w:rsidR="00657D37">
        <w:rPr>
          <w:sz w:val="20"/>
          <w:szCs w:val="20"/>
        </w:rPr>
        <w:t xml:space="preserve">   </w:t>
      </w:r>
      <w:r w:rsidR="00657D37">
        <w:rPr>
          <w:sz w:val="20"/>
          <w:szCs w:val="20"/>
        </w:rPr>
        <w:t>+</w:t>
      </w:r>
      <w:r w:rsidR="00657D37">
        <w:rPr>
          <w:sz w:val="20"/>
          <w:szCs w:val="20"/>
        </w:rPr>
        <w:t xml:space="preserve">   </w:t>
      </w:r>
      <w:r w:rsidR="00657D37">
        <w:rPr>
          <w:sz w:val="20"/>
          <w:szCs w:val="20"/>
        </w:rPr>
        <w:t>Safety stock</w:t>
      </w:r>
    </w:p>
    <w:p w14:paraId="7272C001" w14:textId="08F34162" w:rsidR="00AA1BFF" w:rsidRDefault="003A4838" w:rsidP="00D46777">
      <w:pPr>
        <w:ind w:left="1260" w:hanging="126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="00657D37">
        <w:rPr>
          <w:sz w:val="20"/>
          <w:szCs w:val="20"/>
        </w:rPr>
        <w:t>If a company runs manufacturing</w:t>
      </w:r>
      <w:r w:rsidR="00A95DD6">
        <w:rPr>
          <w:sz w:val="20"/>
          <w:szCs w:val="20"/>
        </w:rPr>
        <w:t xml:space="preserve"> exactly as prescribed</w:t>
      </w:r>
      <w:r w:rsidR="00637F8F">
        <w:rPr>
          <w:sz w:val="20"/>
          <w:szCs w:val="20"/>
        </w:rPr>
        <w:t xml:space="preserve"> above</w:t>
      </w:r>
      <w:r w:rsidR="00A95DD6">
        <w:rPr>
          <w:sz w:val="20"/>
          <w:szCs w:val="20"/>
        </w:rPr>
        <w:t xml:space="preserve">, </w:t>
      </w:r>
      <w:r w:rsidR="00637F8F">
        <w:rPr>
          <w:sz w:val="20"/>
          <w:szCs w:val="20"/>
        </w:rPr>
        <w:t xml:space="preserve">next month’s on-hand inventory will </w:t>
      </w:r>
      <w:r w:rsidR="004822B1">
        <w:rPr>
          <w:sz w:val="20"/>
          <w:szCs w:val="20"/>
        </w:rPr>
        <w:t xml:space="preserve">be offset entirely by </w:t>
      </w:r>
      <w:r w:rsidR="00AA1BFF">
        <w:rPr>
          <w:sz w:val="20"/>
          <w:szCs w:val="20"/>
        </w:rPr>
        <w:t xml:space="preserve">the safety-stock and </w:t>
      </w:r>
      <w:r w:rsidR="000C0F98">
        <w:rPr>
          <w:sz w:val="20"/>
          <w:szCs w:val="20"/>
        </w:rPr>
        <w:t xml:space="preserve">the </w:t>
      </w:r>
      <w:r w:rsidR="002E5F26">
        <w:rPr>
          <w:sz w:val="20"/>
          <w:szCs w:val="20"/>
        </w:rPr>
        <w:t xml:space="preserve">monthly </w:t>
      </w:r>
      <w:r w:rsidR="000C0F98">
        <w:rPr>
          <w:sz w:val="20"/>
          <w:szCs w:val="20"/>
        </w:rPr>
        <w:t xml:space="preserve">required manufacturing output will always equal to </w:t>
      </w:r>
      <w:r w:rsidR="002E5F26">
        <w:rPr>
          <w:sz w:val="20"/>
          <w:szCs w:val="20"/>
        </w:rPr>
        <w:t xml:space="preserve">monthly demand. </w:t>
      </w:r>
      <w:r w:rsidR="004B3DB3">
        <w:rPr>
          <w:sz w:val="20"/>
          <w:szCs w:val="20"/>
        </w:rPr>
        <w:t>However</w:t>
      </w:r>
      <w:r w:rsidR="0063356B">
        <w:rPr>
          <w:sz w:val="20"/>
          <w:szCs w:val="20"/>
        </w:rPr>
        <w:t>,</w:t>
      </w:r>
      <w:r w:rsidR="004B3DB3">
        <w:rPr>
          <w:sz w:val="20"/>
          <w:szCs w:val="20"/>
        </w:rPr>
        <w:t xml:space="preserve"> this may not be the way to drive manufacturing output in real-world scenarios</w:t>
      </w:r>
      <w:r w:rsidR="0063356B">
        <w:rPr>
          <w:sz w:val="20"/>
          <w:szCs w:val="20"/>
        </w:rPr>
        <w:t xml:space="preserve"> due to several complicating factors:</w:t>
      </w:r>
    </w:p>
    <w:p w14:paraId="5FF5F4CA" w14:textId="5B4F36B9" w:rsidR="0063356B" w:rsidRDefault="0063356B" w:rsidP="00D46777">
      <w:pPr>
        <w:ind w:left="1260" w:hanging="126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D894F54" w14:textId="4B2F58E9" w:rsidR="008874FA" w:rsidRDefault="00E5312E" w:rsidP="00D46777">
      <w:pPr>
        <w:ind w:left="1260" w:hanging="1260"/>
        <w:jc w:val="both"/>
        <w:rPr>
          <w:sz w:val="20"/>
          <w:szCs w:val="20"/>
        </w:rPr>
      </w:pPr>
      <w:r>
        <w:rPr>
          <w:sz w:val="20"/>
          <w:szCs w:val="20"/>
        </w:rPr>
        <w:t>xact production schedule</w:t>
      </w:r>
      <w:r w:rsidR="00AD5B9A">
        <w:rPr>
          <w:sz w:val="20"/>
          <w:szCs w:val="20"/>
        </w:rPr>
        <w:t>. However, it may be more economical to general surplus supply and retain a larger excess inventory</w:t>
      </w:r>
      <w:r w:rsidR="00471A31">
        <w:rPr>
          <w:sz w:val="20"/>
          <w:szCs w:val="20"/>
        </w:rPr>
        <w:t xml:space="preserve"> after factoring inventory holding costs.</w:t>
      </w:r>
    </w:p>
    <w:p w14:paraId="3B159355" w14:textId="1C45A7C0" w:rsidR="00A03F02" w:rsidRPr="008874FA" w:rsidRDefault="00B76B28" w:rsidP="00D46777">
      <w:pPr>
        <w:ind w:left="1260" w:hanging="126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A03F02" w:rsidRPr="008874FA" w:rsidSect="00D86061">
      <w:endnotePr>
        <w:numFmt w:val="decimal"/>
      </w:endnotePr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D70EC" w14:textId="77777777" w:rsidR="00B41B41" w:rsidRDefault="00B41B41" w:rsidP="0068340D">
      <w:pPr>
        <w:spacing w:after="0" w:line="240" w:lineRule="auto"/>
      </w:pPr>
      <w:r>
        <w:separator/>
      </w:r>
    </w:p>
  </w:endnote>
  <w:endnote w:type="continuationSeparator" w:id="0">
    <w:p w14:paraId="7A8347C0" w14:textId="77777777" w:rsidR="00B41B41" w:rsidRDefault="00B41B41" w:rsidP="00683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B33FA" w14:textId="77777777" w:rsidR="00B41B41" w:rsidRDefault="00B41B41" w:rsidP="0068340D">
      <w:pPr>
        <w:spacing w:after="0" w:line="240" w:lineRule="auto"/>
      </w:pPr>
      <w:r>
        <w:separator/>
      </w:r>
    </w:p>
  </w:footnote>
  <w:footnote w:type="continuationSeparator" w:id="0">
    <w:p w14:paraId="73C78467" w14:textId="77777777" w:rsidR="00B41B41" w:rsidRDefault="00B41B41" w:rsidP="006834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0324"/>
    <w:multiLevelType w:val="hybridMultilevel"/>
    <w:tmpl w:val="3A0C5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560D6"/>
    <w:multiLevelType w:val="hybridMultilevel"/>
    <w:tmpl w:val="89CCCAE4"/>
    <w:lvl w:ilvl="0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1B0C43AC"/>
    <w:multiLevelType w:val="hybridMultilevel"/>
    <w:tmpl w:val="CEBE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A0A98"/>
    <w:multiLevelType w:val="hybridMultilevel"/>
    <w:tmpl w:val="39F2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80CC9"/>
    <w:multiLevelType w:val="hybridMultilevel"/>
    <w:tmpl w:val="52CCD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A2191"/>
    <w:multiLevelType w:val="hybridMultilevel"/>
    <w:tmpl w:val="F5767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63B30"/>
    <w:multiLevelType w:val="hybridMultilevel"/>
    <w:tmpl w:val="A0CAD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36C73"/>
    <w:multiLevelType w:val="hybridMultilevel"/>
    <w:tmpl w:val="67A47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952503">
    <w:abstractNumId w:val="3"/>
  </w:num>
  <w:num w:numId="2" w16cid:durableId="1772436928">
    <w:abstractNumId w:val="2"/>
  </w:num>
  <w:num w:numId="3" w16cid:durableId="530726196">
    <w:abstractNumId w:val="6"/>
  </w:num>
  <w:num w:numId="4" w16cid:durableId="531067384">
    <w:abstractNumId w:val="5"/>
  </w:num>
  <w:num w:numId="5" w16cid:durableId="1733386342">
    <w:abstractNumId w:val="0"/>
  </w:num>
  <w:num w:numId="6" w16cid:durableId="1947735669">
    <w:abstractNumId w:val="4"/>
  </w:num>
  <w:num w:numId="7" w16cid:durableId="377554883">
    <w:abstractNumId w:val="7"/>
  </w:num>
  <w:num w:numId="8" w16cid:durableId="1990400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71E"/>
    <w:rsid w:val="000011C1"/>
    <w:rsid w:val="0000376B"/>
    <w:rsid w:val="00030C6C"/>
    <w:rsid w:val="00033AD3"/>
    <w:rsid w:val="00040F81"/>
    <w:rsid w:val="00043464"/>
    <w:rsid w:val="000457AF"/>
    <w:rsid w:val="00056001"/>
    <w:rsid w:val="0005717C"/>
    <w:rsid w:val="00057C40"/>
    <w:rsid w:val="0006492F"/>
    <w:rsid w:val="00070ABB"/>
    <w:rsid w:val="00073C62"/>
    <w:rsid w:val="0008434F"/>
    <w:rsid w:val="00086990"/>
    <w:rsid w:val="00087581"/>
    <w:rsid w:val="00091B75"/>
    <w:rsid w:val="0009386D"/>
    <w:rsid w:val="000961BE"/>
    <w:rsid w:val="00097D9D"/>
    <w:rsid w:val="000A05BD"/>
    <w:rsid w:val="000A3678"/>
    <w:rsid w:val="000A6740"/>
    <w:rsid w:val="000A7128"/>
    <w:rsid w:val="000A7238"/>
    <w:rsid w:val="000B0AED"/>
    <w:rsid w:val="000B151E"/>
    <w:rsid w:val="000B79DC"/>
    <w:rsid w:val="000C0F98"/>
    <w:rsid w:val="000C1D3B"/>
    <w:rsid w:val="000D0360"/>
    <w:rsid w:val="000D0CFB"/>
    <w:rsid w:val="000D2E0A"/>
    <w:rsid w:val="000D70BB"/>
    <w:rsid w:val="000E2076"/>
    <w:rsid w:val="000E2F08"/>
    <w:rsid w:val="000E3F80"/>
    <w:rsid w:val="000E5E28"/>
    <w:rsid w:val="001044A8"/>
    <w:rsid w:val="00104BDC"/>
    <w:rsid w:val="0011534E"/>
    <w:rsid w:val="00116C49"/>
    <w:rsid w:val="001235FF"/>
    <w:rsid w:val="001259E1"/>
    <w:rsid w:val="00125D4D"/>
    <w:rsid w:val="00130E2C"/>
    <w:rsid w:val="00131138"/>
    <w:rsid w:val="00131465"/>
    <w:rsid w:val="00131A40"/>
    <w:rsid w:val="00142F7E"/>
    <w:rsid w:val="00147232"/>
    <w:rsid w:val="00161E9B"/>
    <w:rsid w:val="00175DC5"/>
    <w:rsid w:val="001767B4"/>
    <w:rsid w:val="00183A46"/>
    <w:rsid w:val="00196C4B"/>
    <w:rsid w:val="00197B74"/>
    <w:rsid w:val="001A2890"/>
    <w:rsid w:val="001A642E"/>
    <w:rsid w:val="001A6943"/>
    <w:rsid w:val="001B50A7"/>
    <w:rsid w:val="001B67A2"/>
    <w:rsid w:val="001C7A0D"/>
    <w:rsid w:val="001D13CB"/>
    <w:rsid w:val="001D4B42"/>
    <w:rsid w:val="001D7C46"/>
    <w:rsid w:val="001E6E0E"/>
    <w:rsid w:val="001E70AD"/>
    <w:rsid w:val="001F071C"/>
    <w:rsid w:val="001F6556"/>
    <w:rsid w:val="002101B3"/>
    <w:rsid w:val="0021051F"/>
    <w:rsid w:val="0021109A"/>
    <w:rsid w:val="00215A83"/>
    <w:rsid w:val="00217B91"/>
    <w:rsid w:val="00223EAA"/>
    <w:rsid w:val="00224ACF"/>
    <w:rsid w:val="00225DDC"/>
    <w:rsid w:val="00227D06"/>
    <w:rsid w:val="002333E4"/>
    <w:rsid w:val="002419A1"/>
    <w:rsid w:val="00243003"/>
    <w:rsid w:val="0025006D"/>
    <w:rsid w:val="00252DE6"/>
    <w:rsid w:val="002567EB"/>
    <w:rsid w:val="00260D29"/>
    <w:rsid w:val="002638AD"/>
    <w:rsid w:val="00271FEE"/>
    <w:rsid w:val="00276FD0"/>
    <w:rsid w:val="00282F86"/>
    <w:rsid w:val="0028347E"/>
    <w:rsid w:val="002907D0"/>
    <w:rsid w:val="00292AAA"/>
    <w:rsid w:val="00297FA6"/>
    <w:rsid w:val="002A5CF1"/>
    <w:rsid w:val="002B4C9A"/>
    <w:rsid w:val="002B670F"/>
    <w:rsid w:val="002B7FC5"/>
    <w:rsid w:val="002C2F49"/>
    <w:rsid w:val="002D1B91"/>
    <w:rsid w:val="002D77D0"/>
    <w:rsid w:val="002D7C0F"/>
    <w:rsid w:val="002E4D2F"/>
    <w:rsid w:val="002E5261"/>
    <w:rsid w:val="002E5C85"/>
    <w:rsid w:val="002E5F26"/>
    <w:rsid w:val="00301228"/>
    <w:rsid w:val="003016C8"/>
    <w:rsid w:val="00310557"/>
    <w:rsid w:val="003215CD"/>
    <w:rsid w:val="003228C0"/>
    <w:rsid w:val="00326178"/>
    <w:rsid w:val="003305C8"/>
    <w:rsid w:val="00332148"/>
    <w:rsid w:val="00332D63"/>
    <w:rsid w:val="0033395A"/>
    <w:rsid w:val="00340216"/>
    <w:rsid w:val="003409C5"/>
    <w:rsid w:val="00346857"/>
    <w:rsid w:val="00347436"/>
    <w:rsid w:val="00350C93"/>
    <w:rsid w:val="003647B5"/>
    <w:rsid w:val="003709E2"/>
    <w:rsid w:val="00373D15"/>
    <w:rsid w:val="003747CF"/>
    <w:rsid w:val="00377389"/>
    <w:rsid w:val="00382A81"/>
    <w:rsid w:val="00382E55"/>
    <w:rsid w:val="0039008D"/>
    <w:rsid w:val="00391631"/>
    <w:rsid w:val="00391EC3"/>
    <w:rsid w:val="0039654C"/>
    <w:rsid w:val="00397289"/>
    <w:rsid w:val="003A4838"/>
    <w:rsid w:val="003A57E7"/>
    <w:rsid w:val="003B1537"/>
    <w:rsid w:val="003B3747"/>
    <w:rsid w:val="003C1A79"/>
    <w:rsid w:val="003C35D0"/>
    <w:rsid w:val="003C38E4"/>
    <w:rsid w:val="003C58CB"/>
    <w:rsid w:val="003D3A03"/>
    <w:rsid w:val="003E0B01"/>
    <w:rsid w:val="003E5400"/>
    <w:rsid w:val="003E7E8E"/>
    <w:rsid w:val="003F2D64"/>
    <w:rsid w:val="003F587E"/>
    <w:rsid w:val="00400753"/>
    <w:rsid w:val="00401031"/>
    <w:rsid w:val="0040545C"/>
    <w:rsid w:val="00413836"/>
    <w:rsid w:val="00415D95"/>
    <w:rsid w:val="004170CB"/>
    <w:rsid w:val="00420195"/>
    <w:rsid w:val="004219C3"/>
    <w:rsid w:val="00424E47"/>
    <w:rsid w:val="004264E9"/>
    <w:rsid w:val="004329B8"/>
    <w:rsid w:val="00434EFE"/>
    <w:rsid w:val="004368C0"/>
    <w:rsid w:val="0044119D"/>
    <w:rsid w:val="00441F4E"/>
    <w:rsid w:val="00442BCA"/>
    <w:rsid w:val="0044672F"/>
    <w:rsid w:val="004514C8"/>
    <w:rsid w:val="00451ADF"/>
    <w:rsid w:val="00460F06"/>
    <w:rsid w:val="004624A9"/>
    <w:rsid w:val="004637EB"/>
    <w:rsid w:val="00465A92"/>
    <w:rsid w:val="00467C9B"/>
    <w:rsid w:val="00470412"/>
    <w:rsid w:val="0047058C"/>
    <w:rsid w:val="00471A31"/>
    <w:rsid w:val="0047420A"/>
    <w:rsid w:val="0048123F"/>
    <w:rsid w:val="004822B1"/>
    <w:rsid w:val="00482DB9"/>
    <w:rsid w:val="0048728B"/>
    <w:rsid w:val="004905DB"/>
    <w:rsid w:val="00491EA5"/>
    <w:rsid w:val="004938DF"/>
    <w:rsid w:val="004A2A76"/>
    <w:rsid w:val="004A52A6"/>
    <w:rsid w:val="004B1988"/>
    <w:rsid w:val="004B3DB3"/>
    <w:rsid w:val="004B4CEC"/>
    <w:rsid w:val="004B7F25"/>
    <w:rsid w:val="004C1E14"/>
    <w:rsid w:val="004C56DF"/>
    <w:rsid w:val="004C5C8E"/>
    <w:rsid w:val="004D1406"/>
    <w:rsid w:val="004D5EA4"/>
    <w:rsid w:val="004D5F0D"/>
    <w:rsid w:val="004D69EB"/>
    <w:rsid w:val="004E3C62"/>
    <w:rsid w:val="004E51CC"/>
    <w:rsid w:val="004F1022"/>
    <w:rsid w:val="004F796C"/>
    <w:rsid w:val="004F7BB2"/>
    <w:rsid w:val="00501308"/>
    <w:rsid w:val="00502D7D"/>
    <w:rsid w:val="0050696D"/>
    <w:rsid w:val="005078BB"/>
    <w:rsid w:val="005137A8"/>
    <w:rsid w:val="0052018F"/>
    <w:rsid w:val="005211EF"/>
    <w:rsid w:val="00521224"/>
    <w:rsid w:val="005229C9"/>
    <w:rsid w:val="00532A24"/>
    <w:rsid w:val="00532B41"/>
    <w:rsid w:val="005428DD"/>
    <w:rsid w:val="00543605"/>
    <w:rsid w:val="00552439"/>
    <w:rsid w:val="00557E85"/>
    <w:rsid w:val="0056002F"/>
    <w:rsid w:val="0056355F"/>
    <w:rsid w:val="0056671B"/>
    <w:rsid w:val="005709B9"/>
    <w:rsid w:val="0057598A"/>
    <w:rsid w:val="00577088"/>
    <w:rsid w:val="00577517"/>
    <w:rsid w:val="0058142B"/>
    <w:rsid w:val="00590A7B"/>
    <w:rsid w:val="0059262C"/>
    <w:rsid w:val="005A1C37"/>
    <w:rsid w:val="005B15D0"/>
    <w:rsid w:val="005B2343"/>
    <w:rsid w:val="005B5011"/>
    <w:rsid w:val="005B7C92"/>
    <w:rsid w:val="005C6AFF"/>
    <w:rsid w:val="005D113B"/>
    <w:rsid w:val="005D6997"/>
    <w:rsid w:val="005D77B5"/>
    <w:rsid w:val="005D7802"/>
    <w:rsid w:val="005E1959"/>
    <w:rsid w:val="005E59BD"/>
    <w:rsid w:val="005E72E8"/>
    <w:rsid w:val="005E7463"/>
    <w:rsid w:val="005F6381"/>
    <w:rsid w:val="005F7CFE"/>
    <w:rsid w:val="00602505"/>
    <w:rsid w:val="006039B2"/>
    <w:rsid w:val="0060442E"/>
    <w:rsid w:val="00611C4C"/>
    <w:rsid w:val="00611CF1"/>
    <w:rsid w:val="00612C9E"/>
    <w:rsid w:val="006162E5"/>
    <w:rsid w:val="00617B0F"/>
    <w:rsid w:val="00620289"/>
    <w:rsid w:val="00621479"/>
    <w:rsid w:val="00622F47"/>
    <w:rsid w:val="00625BD7"/>
    <w:rsid w:val="00626EFE"/>
    <w:rsid w:val="0063059A"/>
    <w:rsid w:val="00630EE4"/>
    <w:rsid w:val="0063125C"/>
    <w:rsid w:val="0063356B"/>
    <w:rsid w:val="006360FD"/>
    <w:rsid w:val="0063782C"/>
    <w:rsid w:val="00637F8F"/>
    <w:rsid w:val="006420EA"/>
    <w:rsid w:val="006435D8"/>
    <w:rsid w:val="006457BA"/>
    <w:rsid w:val="006504D8"/>
    <w:rsid w:val="006533DA"/>
    <w:rsid w:val="00657D37"/>
    <w:rsid w:val="006621EA"/>
    <w:rsid w:val="00664C58"/>
    <w:rsid w:val="006657F3"/>
    <w:rsid w:val="0066741C"/>
    <w:rsid w:val="006710FE"/>
    <w:rsid w:val="006742BC"/>
    <w:rsid w:val="00674814"/>
    <w:rsid w:val="006801CB"/>
    <w:rsid w:val="0068340D"/>
    <w:rsid w:val="006A66BE"/>
    <w:rsid w:val="006A671E"/>
    <w:rsid w:val="006A6D43"/>
    <w:rsid w:val="006B6FBE"/>
    <w:rsid w:val="006C1862"/>
    <w:rsid w:val="006C1A43"/>
    <w:rsid w:val="006C2329"/>
    <w:rsid w:val="006C2BD1"/>
    <w:rsid w:val="006C6E1E"/>
    <w:rsid w:val="006C7ED0"/>
    <w:rsid w:val="006C7F5C"/>
    <w:rsid w:val="006D31B1"/>
    <w:rsid w:val="006D4B23"/>
    <w:rsid w:val="006E5038"/>
    <w:rsid w:val="006E6F5B"/>
    <w:rsid w:val="006E71E3"/>
    <w:rsid w:val="006F0723"/>
    <w:rsid w:val="006F212D"/>
    <w:rsid w:val="006F2272"/>
    <w:rsid w:val="006F40C6"/>
    <w:rsid w:val="00702F7A"/>
    <w:rsid w:val="007075F8"/>
    <w:rsid w:val="0071640C"/>
    <w:rsid w:val="007200D2"/>
    <w:rsid w:val="00720FA2"/>
    <w:rsid w:val="00721BAA"/>
    <w:rsid w:val="007318FD"/>
    <w:rsid w:val="00731C66"/>
    <w:rsid w:val="00732743"/>
    <w:rsid w:val="00741AB0"/>
    <w:rsid w:val="00744A1F"/>
    <w:rsid w:val="00744E7E"/>
    <w:rsid w:val="00746E20"/>
    <w:rsid w:val="00753045"/>
    <w:rsid w:val="00756669"/>
    <w:rsid w:val="00760C58"/>
    <w:rsid w:val="007611FA"/>
    <w:rsid w:val="007627D8"/>
    <w:rsid w:val="00765209"/>
    <w:rsid w:val="00766012"/>
    <w:rsid w:val="00770AF9"/>
    <w:rsid w:val="00772440"/>
    <w:rsid w:val="00772B82"/>
    <w:rsid w:val="00780B10"/>
    <w:rsid w:val="00784565"/>
    <w:rsid w:val="00791A9E"/>
    <w:rsid w:val="007945AC"/>
    <w:rsid w:val="007965DE"/>
    <w:rsid w:val="00797E54"/>
    <w:rsid w:val="007A20B9"/>
    <w:rsid w:val="007A3EFE"/>
    <w:rsid w:val="007A65B5"/>
    <w:rsid w:val="007C18B6"/>
    <w:rsid w:val="007D1D52"/>
    <w:rsid w:val="007D455A"/>
    <w:rsid w:val="007E0D9D"/>
    <w:rsid w:val="007E24B7"/>
    <w:rsid w:val="007E3A64"/>
    <w:rsid w:val="007E4E4D"/>
    <w:rsid w:val="007E5A7E"/>
    <w:rsid w:val="007F07E0"/>
    <w:rsid w:val="007F11F2"/>
    <w:rsid w:val="007F48DA"/>
    <w:rsid w:val="00800F7A"/>
    <w:rsid w:val="008048D4"/>
    <w:rsid w:val="00810048"/>
    <w:rsid w:val="00820105"/>
    <w:rsid w:val="008243F6"/>
    <w:rsid w:val="008258F1"/>
    <w:rsid w:val="00825F12"/>
    <w:rsid w:val="00827550"/>
    <w:rsid w:val="00831E61"/>
    <w:rsid w:val="0083617F"/>
    <w:rsid w:val="00841B3C"/>
    <w:rsid w:val="00842B1B"/>
    <w:rsid w:val="008443BF"/>
    <w:rsid w:val="0085635B"/>
    <w:rsid w:val="00857999"/>
    <w:rsid w:val="0086126C"/>
    <w:rsid w:val="00862180"/>
    <w:rsid w:val="00862FB1"/>
    <w:rsid w:val="00863D4C"/>
    <w:rsid w:val="00864D86"/>
    <w:rsid w:val="00865330"/>
    <w:rsid w:val="00867000"/>
    <w:rsid w:val="0086733C"/>
    <w:rsid w:val="00870AB2"/>
    <w:rsid w:val="008849BF"/>
    <w:rsid w:val="00885A4F"/>
    <w:rsid w:val="0088658A"/>
    <w:rsid w:val="0088712D"/>
    <w:rsid w:val="008874FA"/>
    <w:rsid w:val="0088758E"/>
    <w:rsid w:val="0089118E"/>
    <w:rsid w:val="008923F9"/>
    <w:rsid w:val="008956C9"/>
    <w:rsid w:val="00897FC3"/>
    <w:rsid w:val="008A0C6C"/>
    <w:rsid w:val="008A4070"/>
    <w:rsid w:val="008B013C"/>
    <w:rsid w:val="008B10EF"/>
    <w:rsid w:val="008C11D9"/>
    <w:rsid w:val="008C2F75"/>
    <w:rsid w:val="008C3F66"/>
    <w:rsid w:val="008D0CB1"/>
    <w:rsid w:val="008D271B"/>
    <w:rsid w:val="008D55C1"/>
    <w:rsid w:val="008E01EE"/>
    <w:rsid w:val="008E0D63"/>
    <w:rsid w:val="008E19F1"/>
    <w:rsid w:val="008E435E"/>
    <w:rsid w:val="008F050E"/>
    <w:rsid w:val="008F271C"/>
    <w:rsid w:val="00900A61"/>
    <w:rsid w:val="00901F11"/>
    <w:rsid w:val="00902211"/>
    <w:rsid w:val="009120BB"/>
    <w:rsid w:val="00912551"/>
    <w:rsid w:val="00916037"/>
    <w:rsid w:val="00924185"/>
    <w:rsid w:val="00926937"/>
    <w:rsid w:val="00940747"/>
    <w:rsid w:val="00940C72"/>
    <w:rsid w:val="00942972"/>
    <w:rsid w:val="00942DBB"/>
    <w:rsid w:val="00947867"/>
    <w:rsid w:val="00951F5D"/>
    <w:rsid w:val="00961CE7"/>
    <w:rsid w:val="009630F6"/>
    <w:rsid w:val="00973546"/>
    <w:rsid w:val="009903B4"/>
    <w:rsid w:val="009903FC"/>
    <w:rsid w:val="00990463"/>
    <w:rsid w:val="009950F5"/>
    <w:rsid w:val="009A070F"/>
    <w:rsid w:val="009A5ABC"/>
    <w:rsid w:val="009A7617"/>
    <w:rsid w:val="009B0A12"/>
    <w:rsid w:val="009B472C"/>
    <w:rsid w:val="009B6724"/>
    <w:rsid w:val="009C27AF"/>
    <w:rsid w:val="009C2F5E"/>
    <w:rsid w:val="009D0E08"/>
    <w:rsid w:val="009D1387"/>
    <w:rsid w:val="009D4EB0"/>
    <w:rsid w:val="009E13F2"/>
    <w:rsid w:val="009E26A2"/>
    <w:rsid w:val="009E4002"/>
    <w:rsid w:val="009E4D86"/>
    <w:rsid w:val="009F48A7"/>
    <w:rsid w:val="009F6219"/>
    <w:rsid w:val="00A00AD7"/>
    <w:rsid w:val="00A03F02"/>
    <w:rsid w:val="00A03FE1"/>
    <w:rsid w:val="00A1150A"/>
    <w:rsid w:val="00A13D20"/>
    <w:rsid w:val="00A14080"/>
    <w:rsid w:val="00A14DE0"/>
    <w:rsid w:val="00A16B72"/>
    <w:rsid w:val="00A17E30"/>
    <w:rsid w:val="00A25859"/>
    <w:rsid w:val="00A2685E"/>
    <w:rsid w:val="00A30522"/>
    <w:rsid w:val="00A36725"/>
    <w:rsid w:val="00A42799"/>
    <w:rsid w:val="00A477EB"/>
    <w:rsid w:val="00A5351C"/>
    <w:rsid w:val="00A5507A"/>
    <w:rsid w:val="00A552FE"/>
    <w:rsid w:val="00A65B72"/>
    <w:rsid w:val="00A75DAB"/>
    <w:rsid w:val="00A826ED"/>
    <w:rsid w:val="00A87B5A"/>
    <w:rsid w:val="00A9547B"/>
    <w:rsid w:val="00A95785"/>
    <w:rsid w:val="00A95DD6"/>
    <w:rsid w:val="00A97995"/>
    <w:rsid w:val="00AA03D4"/>
    <w:rsid w:val="00AA1BFF"/>
    <w:rsid w:val="00AB2D88"/>
    <w:rsid w:val="00AB6299"/>
    <w:rsid w:val="00AC04A2"/>
    <w:rsid w:val="00AC0DCC"/>
    <w:rsid w:val="00AC146C"/>
    <w:rsid w:val="00AC2097"/>
    <w:rsid w:val="00AC225C"/>
    <w:rsid w:val="00AC407F"/>
    <w:rsid w:val="00AD0E3B"/>
    <w:rsid w:val="00AD2835"/>
    <w:rsid w:val="00AD2B7D"/>
    <w:rsid w:val="00AD3487"/>
    <w:rsid w:val="00AD50B1"/>
    <w:rsid w:val="00AD5B9A"/>
    <w:rsid w:val="00AD5D79"/>
    <w:rsid w:val="00AD5F74"/>
    <w:rsid w:val="00AE5007"/>
    <w:rsid w:val="00AE7D25"/>
    <w:rsid w:val="00AF0E7B"/>
    <w:rsid w:val="00AF36B5"/>
    <w:rsid w:val="00AF4EB5"/>
    <w:rsid w:val="00AF6C1C"/>
    <w:rsid w:val="00AF7913"/>
    <w:rsid w:val="00B01E82"/>
    <w:rsid w:val="00B02315"/>
    <w:rsid w:val="00B04ACC"/>
    <w:rsid w:val="00B264D1"/>
    <w:rsid w:val="00B26EE8"/>
    <w:rsid w:val="00B3632E"/>
    <w:rsid w:val="00B40FC1"/>
    <w:rsid w:val="00B41B41"/>
    <w:rsid w:val="00B46824"/>
    <w:rsid w:val="00B6376D"/>
    <w:rsid w:val="00B661A0"/>
    <w:rsid w:val="00B72C1F"/>
    <w:rsid w:val="00B73A29"/>
    <w:rsid w:val="00B7598F"/>
    <w:rsid w:val="00B766B0"/>
    <w:rsid w:val="00B76B28"/>
    <w:rsid w:val="00B77A03"/>
    <w:rsid w:val="00B80007"/>
    <w:rsid w:val="00B80833"/>
    <w:rsid w:val="00B854CA"/>
    <w:rsid w:val="00B85EC5"/>
    <w:rsid w:val="00B9184C"/>
    <w:rsid w:val="00B91D64"/>
    <w:rsid w:val="00B91F76"/>
    <w:rsid w:val="00B92A2D"/>
    <w:rsid w:val="00BA597C"/>
    <w:rsid w:val="00BA7A42"/>
    <w:rsid w:val="00BB1DF8"/>
    <w:rsid w:val="00BB3383"/>
    <w:rsid w:val="00BB4146"/>
    <w:rsid w:val="00BB4593"/>
    <w:rsid w:val="00BB64E4"/>
    <w:rsid w:val="00BB68A5"/>
    <w:rsid w:val="00BC3B5B"/>
    <w:rsid w:val="00BC5694"/>
    <w:rsid w:val="00BC5D28"/>
    <w:rsid w:val="00BC77F5"/>
    <w:rsid w:val="00BC7A71"/>
    <w:rsid w:val="00BD1B6B"/>
    <w:rsid w:val="00BD3DF1"/>
    <w:rsid w:val="00BD6041"/>
    <w:rsid w:val="00BE7919"/>
    <w:rsid w:val="00BF3F8D"/>
    <w:rsid w:val="00BF49FE"/>
    <w:rsid w:val="00BF65C7"/>
    <w:rsid w:val="00C122AB"/>
    <w:rsid w:val="00C22FB2"/>
    <w:rsid w:val="00C402F4"/>
    <w:rsid w:val="00C41F42"/>
    <w:rsid w:val="00C42281"/>
    <w:rsid w:val="00C42FD6"/>
    <w:rsid w:val="00C50EB5"/>
    <w:rsid w:val="00C50FC9"/>
    <w:rsid w:val="00C52B8C"/>
    <w:rsid w:val="00C54244"/>
    <w:rsid w:val="00C54405"/>
    <w:rsid w:val="00C564E1"/>
    <w:rsid w:val="00C57467"/>
    <w:rsid w:val="00C608D6"/>
    <w:rsid w:val="00C60B59"/>
    <w:rsid w:val="00C61A33"/>
    <w:rsid w:val="00C62F73"/>
    <w:rsid w:val="00C83CE7"/>
    <w:rsid w:val="00C8607F"/>
    <w:rsid w:val="00C90048"/>
    <w:rsid w:val="00C919CE"/>
    <w:rsid w:val="00C9472D"/>
    <w:rsid w:val="00C94D22"/>
    <w:rsid w:val="00C951BE"/>
    <w:rsid w:val="00C95C70"/>
    <w:rsid w:val="00CB2143"/>
    <w:rsid w:val="00CB23A2"/>
    <w:rsid w:val="00CB785F"/>
    <w:rsid w:val="00CB7B87"/>
    <w:rsid w:val="00CC0BA8"/>
    <w:rsid w:val="00CC1070"/>
    <w:rsid w:val="00CC40E8"/>
    <w:rsid w:val="00CC70A3"/>
    <w:rsid w:val="00CD48EA"/>
    <w:rsid w:val="00CD5018"/>
    <w:rsid w:val="00CE06F2"/>
    <w:rsid w:val="00CE111D"/>
    <w:rsid w:val="00CE1C18"/>
    <w:rsid w:val="00CF2845"/>
    <w:rsid w:val="00CF2BAD"/>
    <w:rsid w:val="00D01B69"/>
    <w:rsid w:val="00D01F7B"/>
    <w:rsid w:val="00D076B3"/>
    <w:rsid w:val="00D10111"/>
    <w:rsid w:val="00D158E0"/>
    <w:rsid w:val="00D16232"/>
    <w:rsid w:val="00D16836"/>
    <w:rsid w:val="00D171CC"/>
    <w:rsid w:val="00D20CB1"/>
    <w:rsid w:val="00D239C7"/>
    <w:rsid w:val="00D25048"/>
    <w:rsid w:val="00D2761D"/>
    <w:rsid w:val="00D35C91"/>
    <w:rsid w:val="00D36C4A"/>
    <w:rsid w:val="00D37B4D"/>
    <w:rsid w:val="00D41434"/>
    <w:rsid w:val="00D41522"/>
    <w:rsid w:val="00D42E90"/>
    <w:rsid w:val="00D43F16"/>
    <w:rsid w:val="00D46777"/>
    <w:rsid w:val="00D5481C"/>
    <w:rsid w:val="00D576F7"/>
    <w:rsid w:val="00D629A4"/>
    <w:rsid w:val="00D667AE"/>
    <w:rsid w:val="00D67397"/>
    <w:rsid w:val="00D80F00"/>
    <w:rsid w:val="00D81D01"/>
    <w:rsid w:val="00D84AB3"/>
    <w:rsid w:val="00D86061"/>
    <w:rsid w:val="00D90780"/>
    <w:rsid w:val="00D90B7E"/>
    <w:rsid w:val="00D952E4"/>
    <w:rsid w:val="00D966BE"/>
    <w:rsid w:val="00DA3029"/>
    <w:rsid w:val="00DA3906"/>
    <w:rsid w:val="00DA3C3F"/>
    <w:rsid w:val="00DA4DF1"/>
    <w:rsid w:val="00DA6627"/>
    <w:rsid w:val="00DA6678"/>
    <w:rsid w:val="00DB5000"/>
    <w:rsid w:val="00DB78D0"/>
    <w:rsid w:val="00DC70D9"/>
    <w:rsid w:val="00DD0A76"/>
    <w:rsid w:val="00DD1614"/>
    <w:rsid w:val="00DD703B"/>
    <w:rsid w:val="00DE28F6"/>
    <w:rsid w:val="00DE2B54"/>
    <w:rsid w:val="00DE5908"/>
    <w:rsid w:val="00DE7B07"/>
    <w:rsid w:val="00DF5C22"/>
    <w:rsid w:val="00E02FDC"/>
    <w:rsid w:val="00E1393C"/>
    <w:rsid w:val="00E218F7"/>
    <w:rsid w:val="00E24F97"/>
    <w:rsid w:val="00E253EE"/>
    <w:rsid w:val="00E25823"/>
    <w:rsid w:val="00E321BE"/>
    <w:rsid w:val="00E40292"/>
    <w:rsid w:val="00E41246"/>
    <w:rsid w:val="00E5312E"/>
    <w:rsid w:val="00E57199"/>
    <w:rsid w:val="00E57DFF"/>
    <w:rsid w:val="00E60A20"/>
    <w:rsid w:val="00E64452"/>
    <w:rsid w:val="00E75E4F"/>
    <w:rsid w:val="00E82C31"/>
    <w:rsid w:val="00E84427"/>
    <w:rsid w:val="00E94C73"/>
    <w:rsid w:val="00EA030D"/>
    <w:rsid w:val="00EA0311"/>
    <w:rsid w:val="00EA1CEE"/>
    <w:rsid w:val="00EA2698"/>
    <w:rsid w:val="00EA417F"/>
    <w:rsid w:val="00EA4B77"/>
    <w:rsid w:val="00EA6420"/>
    <w:rsid w:val="00EA6712"/>
    <w:rsid w:val="00EB3D40"/>
    <w:rsid w:val="00EC668D"/>
    <w:rsid w:val="00EC67E9"/>
    <w:rsid w:val="00ED0C2F"/>
    <w:rsid w:val="00ED1ED2"/>
    <w:rsid w:val="00EE3BB7"/>
    <w:rsid w:val="00EE684F"/>
    <w:rsid w:val="00F01E60"/>
    <w:rsid w:val="00F038F1"/>
    <w:rsid w:val="00F059CA"/>
    <w:rsid w:val="00F07F0A"/>
    <w:rsid w:val="00F1124B"/>
    <w:rsid w:val="00F133BE"/>
    <w:rsid w:val="00F170B3"/>
    <w:rsid w:val="00F43820"/>
    <w:rsid w:val="00F45563"/>
    <w:rsid w:val="00F55ADD"/>
    <w:rsid w:val="00F568AD"/>
    <w:rsid w:val="00F5795A"/>
    <w:rsid w:val="00F6603D"/>
    <w:rsid w:val="00F66D2E"/>
    <w:rsid w:val="00F66E5E"/>
    <w:rsid w:val="00F7321A"/>
    <w:rsid w:val="00F7495A"/>
    <w:rsid w:val="00F750CA"/>
    <w:rsid w:val="00F75F8F"/>
    <w:rsid w:val="00F76F34"/>
    <w:rsid w:val="00F9304A"/>
    <w:rsid w:val="00F934BB"/>
    <w:rsid w:val="00F94E10"/>
    <w:rsid w:val="00F95EEB"/>
    <w:rsid w:val="00FA49C8"/>
    <w:rsid w:val="00FA5B46"/>
    <w:rsid w:val="00FB170E"/>
    <w:rsid w:val="00FB317D"/>
    <w:rsid w:val="00FB6778"/>
    <w:rsid w:val="00FC3DCA"/>
    <w:rsid w:val="00FC4960"/>
    <w:rsid w:val="00FD0E75"/>
    <w:rsid w:val="00FD3017"/>
    <w:rsid w:val="00FD4D76"/>
    <w:rsid w:val="00FD5708"/>
    <w:rsid w:val="00FD59B7"/>
    <w:rsid w:val="00FD62DE"/>
    <w:rsid w:val="00FE2063"/>
    <w:rsid w:val="00FF3215"/>
    <w:rsid w:val="00FF4F08"/>
    <w:rsid w:val="00FF6C95"/>
    <w:rsid w:val="00FF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C9F4"/>
  <w15:chartTrackingRefBased/>
  <w15:docId w15:val="{D80D70AE-38E7-4754-BEC2-B0309E68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6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14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514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514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4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14C8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8340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340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8340D"/>
    <w:rPr>
      <w:vertAlign w:val="superscript"/>
    </w:rPr>
  </w:style>
  <w:style w:type="table" w:styleId="TableGrid">
    <w:name w:val="Table Grid"/>
    <w:basedOn w:val="TableNormal"/>
    <w:uiPriority w:val="39"/>
    <w:rsid w:val="00131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131A4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131A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8C2F7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2F7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2F7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F6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C95"/>
  </w:style>
  <w:style w:type="paragraph" w:styleId="Footer">
    <w:name w:val="footer"/>
    <w:basedOn w:val="Normal"/>
    <w:link w:val="FooterChar"/>
    <w:uiPriority w:val="99"/>
    <w:unhideWhenUsed/>
    <w:rsid w:val="00FF6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4D116-2ACA-4016-A47E-FF6D283B0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6679</TotalTime>
  <Pages>2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Jathar</dc:creator>
  <cp:keywords/>
  <dc:description/>
  <cp:lastModifiedBy>Nikhil Jathar</cp:lastModifiedBy>
  <cp:revision>669</cp:revision>
  <dcterms:created xsi:type="dcterms:W3CDTF">2023-06-02T13:20:00Z</dcterms:created>
  <dcterms:modified xsi:type="dcterms:W3CDTF">2023-06-22T12:24:00Z</dcterms:modified>
</cp:coreProperties>
</file>