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13B6" w14:textId="5C66F9E0" w:rsidR="00941C58" w:rsidRPr="0026296C" w:rsidRDefault="000F7525" w:rsidP="0026296C">
      <w:pPr>
        <w:spacing w:after="240"/>
        <w:jc w:val="center"/>
        <w:rPr>
          <w:b/>
          <w:bCs/>
          <w:color w:val="323E4F" w:themeColor="text2" w:themeShade="BF"/>
          <w:sz w:val="28"/>
          <w:szCs w:val="28"/>
        </w:rPr>
      </w:pPr>
      <w:r w:rsidRPr="00AF6813">
        <w:rPr>
          <w:b/>
          <w:bCs/>
          <w:color w:val="323E4F" w:themeColor="text2" w:themeShade="BF"/>
          <w:sz w:val="28"/>
          <w:szCs w:val="28"/>
        </w:rPr>
        <w:t>Predicting Semiconductor Business Trends</w:t>
      </w:r>
    </w:p>
    <w:p w14:paraId="7A70958F" w14:textId="0337D588" w:rsidR="00B81872" w:rsidRDefault="00B81872" w:rsidP="00B81872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Chapter 1</w:t>
      </w:r>
      <w:r>
        <w:rPr>
          <w:color w:val="4472C4" w:themeColor="accent1"/>
          <w:sz w:val="24"/>
          <w:szCs w:val="24"/>
        </w:rPr>
        <w:tab/>
        <w:t>Understanding Learning Curves</w:t>
      </w:r>
    </w:p>
    <w:p w14:paraId="05ACCB9F" w14:textId="77777777" w:rsidR="00440728" w:rsidRDefault="00C921A4" w:rsidP="00440728">
      <w:pPr>
        <w:ind w:left="720" w:hanging="720"/>
        <w:jc w:val="both"/>
        <w:rPr>
          <w:sz w:val="20"/>
          <w:szCs w:val="20"/>
        </w:rPr>
      </w:pPr>
      <w:r w:rsidRPr="00625B46">
        <w:rPr>
          <w:b/>
          <w:bCs/>
          <w:sz w:val="20"/>
          <w:szCs w:val="20"/>
        </w:rPr>
        <w:t>1952</w:t>
      </w:r>
      <w:r>
        <w:rPr>
          <w:sz w:val="20"/>
          <w:szCs w:val="20"/>
        </w:rPr>
        <w:tab/>
        <w:t xml:space="preserve">AT&amp;T </w:t>
      </w:r>
      <w:r w:rsidR="00440728">
        <w:rPr>
          <w:sz w:val="20"/>
          <w:szCs w:val="20"/>
        </w:rPr>
        <w:t>sold licenses to patents and basic know-how for their newly developed solid-state transistor (STT) technology to anyone willing to pay $50K.</w:t>
      </w:r>
    </w:p>
    <w:p w14:paraId="4B3BE89E" w14:textId="1D88DBD6" w:rsidR="00683354" w:rsidRDefault="00683354" w:rsidP="00683354">
      <w:pPr>
        <w:ind w:left="720" w:hanging="720"/>
        <w:jc w:val="both"/>
        <w:rPr>
          <w:sz w:val="20"/>
          <w:szCs w:val="20"/>
        </w:rPr>
      </w:pPr>
      <w:r w:rsidRPr="00625B46">
        <w:rPr>
          <w:b/>
          <w:bCs/>
          <w:sz w:val="20"/>
          <w:szCs w:val="20"/>
        </w:rPr>
        <w:t>1956</w:t>
      </w:r>
      <w:r>
        <w:rPr>
          <w:sz w:val="20"/>
          <w:szCs w:val="20"/>
        </w:rPr>
        <w:tab/>
      </w:r>
      <w:r w:rsidR="00362921">
        <w:rPr>
          <w:sz w:val="20"/>
          <w:szCs w:val="20"/>
        </w:rPr>
        <w:t>IBM developed the Winchester disk drive but did not have a formal licensing process.</w:t>
      </w:r>
    </w:p>
    <w:p w14:paraId="77E60822" w14:textId="035224E6" w:rsidR="00946136" w:rsidRDefault="00F43781" w:rsidP="007C0AE4">
      <w:pPr>
        <w:jc w:val="both"/>
        <w:rPr>
          <w:sz w:val="20"/>
          <w:szCs w:val="20"/>
        </w:rPr>
      </w:pPr>
      <w:r>
        <w:rPr>
          <w:sz w:val="20"/>
          <w:szCs w:val="20"/>
        </w:rPr>
        <w:t>Companies</w:t>
      </w:r>
      <w:r w:rsidR="00F901C1">
        <w:rPr>
          <w:sz w:val="20"/>
          <w:szCs w:val="20"/>
        </w:rPr>
        <w:t xml:space="preserve"> choosing</w:t>
      </w:r>
      <w:r>
        <w:rPr>
          <w:sz w:val="20"/>
          <w:szCs w:val="20"/>
        </w:rPr>
        <w:t xml:space="preserve"> to </w:t>
      </w:r>
      <w:r w:rsidR="007C0AE4">
        <w:rPr>
          <w:sz w:val="20"/>
          <w:szCs w:val="20"/>
        </w:rPr>
        <w:t xml:space="preserve">commercialize </w:t>
      </w:r>
      <w:r w:rsidR="0064061B">
        <w:rPr>
          <w:sz w:val="20"/>
          <w:szCs w:val="20"/>
        </w:rPr>
        <w:t>AT&amp;T’s</w:t>
      </w:r>
      <w:r w:rsidR="007C0AE4">
        <w:rPr>
          <w:sz w:val="20"/>
          <w:szCs w:val="20"/>
        </w:rPr>
        <w:t xml:space="preserve"> technology competed on a level playing field with no initial competitive barriers such as patents or market share</w:t>
      </w:r>
      <w:r w:rsidR="00E74158">
        <w:rPr>
          <w:sz w:val="20"/>
          <w:szCs w:val="20"/>
        </w:rPr>
        <w:t xml:space="preserve"> pressure</w:t>
      </w:r>
      <w:r w:rsidR="00BC4B86">
        <w:rPr>
          <w:sz w:val="20"/>
          <w:szCs w:val="20"/>
        </w:rPr>
        <w:t>s</w:t>
      </w:r>
      <w:r w:rsidR="00E74158">
        <w:rPr>
          <w:sz w:val="20"/>
          <w:szCs w:val="20"/>
        </w:rPr>
        <w:t>.</w:t>
      </w:r>
      <w:r w:rsidR="002F5227">
        <w:rPr>
          <w:sz w:val="20"/>
          <w:szCs w:val="20"/>
        </w:rPr>
        <w:t xml:space="preserve"> </w:t>
      </w:r>
      <w:r w:rsidR="00751FE1">
        <w:rPr>
          <w:sz w:val="20"/>
          <w:szCs w:val="20"/>
        </w:rPr>
        <w:t>Furthermore, r</w:t>
      </w:r>
      <w:r w:rsidR="0069697C">
        <w:rPr>
          <w:sz w:val="20"/>
          <w:szCs w:val="20"/>
        </w:rPr>
        <w:t xml:space="preserve">egulations </w:t>
      </w:r>
      <w:r w:rsidR="00BC4B86">
        <w:rPr>
          <w:sz w:val="20"/>
          <w:szCs w:val="20"/>
        </w:rPr>
        <w:t>were non-</w:t>
      </w:r>
      <w:r w:rsidR="001F4FDF">
        <w:rPr>
          <w:sz w:val="20"/>
          <w:szCs w:val="20"/>
        </w:rPr>
        <w:t>exist</w:t>
      </w:r>
      <w:r w:rsidR="00BC4B86">
        <w:rPr>
          <w:sz w:val="20"/>
          <w:szCs w:val="20"/>
        </w:rPr>
        <w:t>ent</w:t>
      </w:r>
      <w:r w:rsidR="001F4FDF">
        <w:rPr>
          <w:sz w:val="20"/>
          <w:szCs w:val="20"/>
        </w:rPr>
        <w:t xml:space="preserve"> and</w:t>
      </w:r>
      <w:r w:rsidR="00751FE1">
        <w:rPr>
          <w:sz w:val="20"/>
          <w:szCs w:val="20"/>
        </w:rPr>
        <w:t xml:space="preserve"> as a result</w:t>
      </w:r>
      <w:r w:rsidR="001F4FDF">
        <w:rPr>
          <w:sz w:val="20"/>
          <w:szCs w:val="20"/>
        </w:rPr>
        <w:t xml:space="preserve"> these early companies </w:t>
      </w:r>
      <w:r w:rsidR="006A303E">
        <w:rPr>
          <w:sz w:val="20"/>
          <w:szCs w:val="20"/>
        </w:rPr>
        <w:t>were a</w:t>
      </w:r>
      <w:r w:rsidR="001F4FDF">
        <w:rPr>
          <w:sz w:val="20"/>
          <w:szCs w:val="20"/>
        </w:rPr>
        <w:t xml:space="preserve"> hotbed </w:t>
      </w:r>
      <w:r w:rsidR="00F37147">
        <w:rPr>
          <w:sz w:val="20"/>
          <w:szCs w:val="20"/>
        </w:rPr>
        <w:t>for</w:t>
      </w:r>
      <w:r w:rsidR="001F4FDF">
        <w:rPr>
          <w:sz w:val="20"/>
          <w:szCs w:val="20"/>
        </w:rPr>
        <w:t xml:space="preserve"> new ideas,</w:t>
      </w:r>
      <w:r w:rsidR="00971CC9">
        <w:rPr>
          <w:sz w:val="20"/>
          <w:szCs w:val="20"/>
        </w:rPr>
        <w:t xml:space="preserve"> </w:t>
      </w:r>
      <w:r w:rsidR="001F4FDF">
        <w:rPr>
          <w:sz w:val="20"/>
          <w:szCs w:val="20"/>
        </w:rPr>
        <w:t>business approaches</w:t>
      </w:r>
      <w:r w:rsidR="00F702DD">
        <w:rPr>
          <w:sz w:val="20"/>
          <w:szCs w:val="20"/>
        </w:rPr>
        <w:t>, and financial growth.</w:t>
      </w:r>
      <w:r w:rsidR="00F7053B">
        <w:rPr>
          <w:sz w:val="20"/>
          <w:szCs w:val="20"/>
        </w:rPr>
        <w:t xml:space="preserve"> Today,</w:t>
      </w:r>
      <w:r w:rsidR="00237614">
        <w:rPr>
          <w:sz w:val="20"/>
          <w:szCs w:val="20"/>
        </w:rPr>
        <w:t xml:space="preserve"> the </w:t>
      </w:r>
      <w:r w:rsidR="003C0AFF">
        <w:rPr>
          <w:sz w:val="20"/>
          <w:szCs w:val="20"/>
        </w:rPr>
        <w:t>SCI</w:t>
      </w:r>
      <w:r w:rsidR="00237614">
        <w:rPr>
          <w:sz w:val="20"/>
          <w:szCs w:val="20"/>
        </w:rPr>
        <w:t xml:space="preserve"> industry provides the most significant example in recent history of</w:t>
      </w:r>
      <w:r w:rsidR="00F7053B">
        <w:rPr>
          <w:sz w:val="20"/>
          <w:szCs w:val="20"/>
        </w:rPr>
        <w:t xml:space="preserve"> global</w:t>
      </w:r>
      <w:r w:rsidR="00237614">
        <w:rPr>
          <w:sz w:val="20"/>
          <w:szCs w:val="20"/>
        </w:rPr>
        <w:t xml:space="preserve"> </w:t>
      </w:r>
      <w:r w:rsidR="00237614" w:rsidRPr="00374885">
        <w:rPr>
          <w:b/>
          <w:bCs/>
          <w:sz w:val="20"/>
          <w:szCs w:val="20"/>
          <w:u w:val="single"/>
        </w:rPr>
        <w:t>free</w:t>
      </w:r>
      <w:r w:rsidR="00170BBA">
        <w:rPr>
          <w:b/>
          <w:bCs/>
          <w:sz w:val="20"/>
          <w:szCs w:val="20"/>
          <w:u w:val="single"/>
        </w:rPr>
        <w:t xml:space="preserve"> </w:t>
      </w:r>
      <w:r w:rsidR="00A96747" w:rsidRPr="00374885">
        <w:rPr>
          <w:b/>
          <w:bCs/>
          <w:sz w:val="20"/>
          <w:szCs w:val="20"/>
          <w:u w:val="single"/>
        </w:rPr>
        <w:t>market</w:t>
      </w:r>
      <w:r w:rsidR="00237614">
        <w:rPr>
          <w:sz w:val="20"/>
          <w:szCs w:val="20"/>
        </w:rPr>
        <w:t xml:space="preserve"> economics.</w:t>
      </w:r>
      <w:r w:rsidR="0042612B">
        <w:rPr>
          <w:sz w:val="20"/>
          <w:szCs w:val="20"/>
        </w:rPr>
        <w:t xml:space="preserve"> </w:t>
      </w:r>
      <w:r w:rsidR="00946136">
        <w:rPr>
          <w:sz w:val="20"/>
          <w:szCs w:val="20"/>
        </w:rPr>
        <w:t xml:space="preserve">Similar to </w:t>
      </w:r>
      <w:r w:rsidR="003F6055">
        <w:rPr>
          <w:sz w:val="20"/>
          <w:szCs w:val="20"/>
        </w:rPr>
        <w:t xml:space="preserve">SSTs, the Winchester disk drive </w:t>
      </w:r>
      <w:r w:rsidR="00D279E4">
        <w:rPr>
          <w:sz w:val="20"/>
          <w:szCs w:val="20"/>
        </w:rPr>
        <w:t xml:space="preserve">market </w:t>
      </w:r>
      <w:r w:rsidR="003F6055">
        <w:rPr>
          <w:sz w:val="20"/>
          <w:szCs w:val="20"/>
        </w:rPr>
        <w:t xml:space="preserve">also </w:t>
      </w:r>
      <w:r w:rsidR="00F021D5">
        <w:rPr>
          <w:sz w:val="20"/>
          <w:szCs w:val="20"/>
        </w:rPr>
        <w:t>encompassed</w:t>
      </w:r>
      <w:r w:rsidR="00D279E4">
        <w:rPr>
          <w:sz w:val="20"/>
          <w:szCs w:val="20"/>
        </w:rPr>
        <w:t xml:space="preserve"> </w:t>
      </w:r>
      <w:r w:rsidR="003F6055">
        <w:rPr>
          <w:sz w:val="20"/>
          <w:szCs w:val="20"/>
        </w:rPr>
        <w:t>business</w:t>
      </w:r>
      <w:r w:rsidR="00D279E4">
        <w:rPr>
          <w:sz w:val="20"/>
          <w:szCs w:val="20"/>
        </w:rPr>
        <w:t>es</w:t>
      </w:r>
      <w:r w:rsidR="008912B6">
        <w:rPr>
          <w:sz w:val="20"/>
          <w:szCs w:val="20"/>
        </w:rPr>
        <w:t xml:space="preserve"> operating </w:t>
      </w:r>
      <w:r w:rsidR="005245C0">
        <w:rPr>
          <w:sz w:val="20"/>
          <w:szCs w:val="20"/>
        </w:rPr>
        <w:t>in nearly</w:t>
      </w:r>
      <w:r w:rsidR="008912B6">
        <w:rPr>
          <w:sz w:val="20"/>
          <w:szCs w:val="20"/>
        </w:rPr>
        <w:t xml:space="preserve"> ideal conditions of supply, demand, and free</w:t>
      </w:r>
      <w:r w:rsidR="002A3712">
        <w:rPr>
          <w:sz w:val="20"/>
          <w:szCs w:val="20"/>
        </w:rPr>
        <w:t xml:space="preserve"> </w:t>
      </w:r>
      <w:r w:rsidR="008912B6">
        <w:rPr>
          <w:sz w:val="20"/>
          <w:szCs w:val="20"/>
        </w:rPr>
        <w:t>market economics.</w:t>
      </w:r>
      <w:r w:rsidR="007E19F8">
        <w:rPr>
          <w:sz w:val="20"/>
          <w:szCs w:val="20"/>
        </w:rPr>
        <w:t xml:space="preserve"> The </w:t>
      </w:r>
      <w:r w:rsidR="005245C0">
        <w:rPr>
          <w:sz w:val="20"/>
          <w:szCs w:val="20"/>
        </w:rPr>
        <w:t>SCI</w:t>
      </w:r>
      <w:r w:rsidR="007E19F8">
        <w:rPr>
          <w:sz w:val="20"/>
          <w:szCs w:val="20"/>
        </w:rPr>
        <w:t xml:space="preserve"> exhibited </w:t>
      </w:r>
      <w:r w:rsidR="005C5978">
        <w:rPr>
          <w:sz w:val="20"/>
          <w:szCs w:val="20"/>
        </w:rPr>
        <w:t>life cycles that were longer than the disk drive industry but had the same free</w:t>
      </w:r>
      <w:r w:rsidR="002A3712">
        <w:rPr>
          <w:sz w:val="20"/>
          <w:szCs w:val="20"/>
        </w:rPr>
        <w:t xml:space="preserve"> </w:t>
      </w:r>
      <w:r w:rsidR="005C5978">
        <w:rPr>
          <w:sz w:val="20"/>
          <w:szCs w:val="20"/>
        </w:rPr>
        <w:t>market characteristics.</w:t>
      </w:r>
    </w:p>
    <w:p w14:paraId="471DDBC1" w14:textId="3467E748" w:rsidR="003549EE" w:rsidRDefault="003B41AF" w:rsidP="007C0AE4">
      <w:pPr>
        <w:jc w:val="both"/>
        <w:rPr>
          <w:sz w:val="20"/>
          <w:szCs w:val="20"/>
        </w:rPr>
      </w:pPr>
      <w:r>
        <w:rPr>
          <w:sz w:val="20"/>
          <w:szCs w:val="20"/>
        </w:rPr>
        <w:t>Over time</w:t>
      </w:r>
      <w:r w:rsidR="009F2E40">
        <w:rPr>
          <w:sz w:val="20"/>
          <w:szCs w:val="20"/>
        </w:rPr>
        <w:t>,</w:t>
      </w:r>
      <w:r w:rsidR="00532B4D">
        <w:rPr>
          <w:sz w:val="20"/>
          <w:szCs w:val="20"/>
        </w:rPr>
        <w:t xml:space="preserve"> SSTs and disk drives followed trends in</w:t>
      </w:r>
      <w:r w:rsidR="00374885">
        <w:rPr>
          <w:sz w:val="20"/>
          <w:szCs w:val="20"/>
        </w:rPr>
        <w:t xml:space="preserve"> global </w:t>
      </w:r>
      <w:r w:rsidR="00532B4D">
        <w:rPr>
          <w:sz w:val="20"/>
          <w:szCs w:val="20"/>
        </w:rPr>
        <w:t>market</w:t>
      </w:r>
      <w:r w:rsidR="00374885">
        <w:rPr>
          <w:sz w:val="20"/>
          <w:szCs w:val="20"/>
        </w:rPr>
        <w:t>s</w:t>
      </w:r>
      <w:r w:rsidR="00532B4D">
        <w:rPr>
          <w:sz w:val="20"/>
          <w:szCs w:val="20"/>
        </w:rPr>
        <w:t xml:space="preserve"> that could be </w:t>
      </w:r>
      <w:r w:rsidR="00532B4D" w:rsidRPr="006C2D46">
        <w:rPr>
          <w:b/>
          <w:bCs/>
          <w:sz w:val="20"/>
          <w:szCs w:val="20"/>
          <w:u w:val="single"/>
        </w:rPr>
        <w:t>quantified and used to predict the future</w:t>
      </w:r>
      <w:r w:rsidR="00B30AC7">
        <w:rPr>
          <w:sz w:val="20"/>
          <w:szCs w:val="20"/>
        </w:rPr>
        <w:t>.</w:t>
      </w:r>
    </w:p>
    <w:p w14:paraId="6EDE3521" w14:textId="2C87CFEE" w:rsidR="003778E7" w:rsidRDefault="00B30AC7" w:rsidP="009252F0">
      <w:pPr>
        <w:ind w:left="1440" w:hanging="1440"/>
        <w:jc w:val="both"/>
        <w:rPr>
          <w:sz w:val="20"/>
          <w:szCs w:val="20"/>
        </w:rPr>
      </w:pPr>
      <w:r w:rsidRPr="00CC1E6D">
        <w:rPr>
          <w:b/>
          <w:bCs/>
          <w:sz w:val="20"/>
          <w:szCs w:val="20"/>
        </w:rPr>
        <w:t>Key Takeaway</w:t>
      </w:r>
      <w:r>
        <w:rPr>
          <w:sz w:val="20"/>
          <w:szCs w:val="20"/>
        </w:rPr>
        <w:tab/>
      </w:r>
      <w:r w:rsidR="00B2267A">
        <w:rPr>
          <w:sz w:val="20"/>
          <w:szCs w:val="20"/>
        </w:rPr>
        <w:t xml:space="preserve">The economics and technology of the </w:t>
      </w:r>
      <w:r w:rsidR="006C2D46">
        <w:rPr>
          <w:sz w:val="20"/>
          <w:szCs w:val="20"/>
        </w:rPr>
        <w:t>SCI</w:t>
      </w:r>
      <w:r w:rsidR="00B2267A">
        <w:rPr>
          <w:sz w:val="20"/>
          <w:szCs w:val="20"/>
        </w:rPr>
        <w:t xml:space="preserve"> can be used to predict its </w:t>
      </w:r>
      <w:r w:rsidR="009F5A78">
        <w:rPr>
          <w:sz w:val="20"/>
          <w:szCs w:val="20"/>
        </w:rPr>
        <w:t>future direction and magnitude</w:t>
      </w:r>
      <w:r w:rsidR="00F2214B">
        <w:rPr>
          <w:sz w:val="20"/>
          <w:szCs w:val="20"/>
        </w:rPr>
        <w:t xml:space="preserve"> with a high degree of consistency</w:t>
      </w:r>
      <w:r w:rsidR="00090B12">
        <w:rPr>
          <w:sz w:val="20"/>
          <w:szCs w:val="20"/>
        </w:rPr>
        <w:t>.</w:t>
      </w:r>
    </w:p>
    <w:p w14:paraId="2078F603" w14:textId="427CC1B4" w:rsidR="00DA12D0" w:rsidRDefault="00954E4E" w:rsidP="009252F0">
      <w:pPr>
        <w:jc w:val="both"/>
        <w:rPr>
          <w:sz w:val="20"/>
          <w:szCs w:val="20"/>
        </w:rPr>
      </w:pPr>
      <w:r>
        <w:rPr>
          <w:sz w:val="20"/>
          <w:szCs w:val="20"/>
        </w:rPr>
        <w:t>The</w:t>
      </w:r>
      <w:r w:rsidR="00F96585">
        <w:rPr>
          <w:sz w:val="20"/>
          <w:szCs w:val="20"/>
        </w:rPr>
        <w:t xml:space="preserve"> </w:t>
      </w:r>
      <w:r w:rsidR="00F96585" w:rsidRPr="00B81872">
        <w:rPr>
          <w:b/>
          <w:bCs/>
          <w:sz w:val="20"/>
          <w:szCs w:val="20"/>
        </w:rPr>
        <w:t>transistor</w:t>
      </w:r>
      <w:r w:rsidRPr="00B81872">
        <w:rPr>
          <w:b/>
          <w:bCs/>
          <w:sz w:val="20"/>
          <w:szCs w:val="20"/>
        </w:rPr>
        <w:t xml:space="preserve"> learning curve</w:t>
      </w:r>
      <w:r>
        <w:rPr>
          <w:sz w:val="20"/>
          <w:szCs w:val="20"/>
        </w:rPr>
        <w:t xml:space="preserve"> (</w:t>
      </w:r>
      <w:r w:rsidR="00F96585" w:rsidRPr="00B81872">
        <w:rPr>
          <w:b/>
          <w:bCs/>
          <w:sz w:val="20"/>
          <w:szCs w:val="20"/>
        </w:rPr>
        <w:t>T</w:t>
      </w:r>
      <w:r w:rsidRPr="00B81872">
        <w:rPr>
          <w:b/>
          <w:bCs/>
          <w:sz w:val="20"/>
          <w:szCs w:val="20"/>
        </w:rPr>
        <w:t>LC</w:t>
      </w:r>
      <w:r>
        <w:rPr>
          <w:sz w:val="20"/>
          <w:szCs w:val="20"/>
        </w:rPr>
        <w:t>)</w:t>
      </w:r>
      <w:r w:rsidR="00A0708C">
        <w:rPr>
          <w:sz w:val="20"/>
          <w:szCs w:val="20"/>
        </w:rPr>
        <w:t xml:space="preserve">, which plots transistor </w:t>
      </w:r>
      <w:r w:rsidR="00BF1093">
        <w:rPr>
          <w:sz w:val="20"/>
          <w:szCs w:val="20"/>
        </w:rPr>
        <w:t xml:space="preserve">unit </w:t>
      </w:r>
      <w:r w:rsidR="00A0708C">
        <w:rPr>
          <w:sz w:val="20"/>
          <w:szCs w:val="20"/>
        </w:rPr>
        <w:t>revenue</w:t>
      </w:r>
      <w:r w:rsidR="00576A28">
        <w:rPr>
          <w:sz w:val="20"/>
          <w:szCs w:val="20"/>
        </w:rPr>
        <w:t xml:space="preserve"> versus cumulative transistors</w:t>
      </w:r>
      <w:r w:rsidR="00F96585">
        <w:rPr>
          <w:sz w:val="20"/>
          <w:szCs w:val="20"/>
        </w:rPr>
        <w:t xml:space="preserve"> </w:t>
      </w:r>
      <w:r w:rsidR="00576A28">
        <w:rPr>
          <w:sz w:val="20"/>
          <w:szCs w:val="20"/>
        </w:rPr>
        <w:t xml:space="preserve">shipped, </w:t>
      </w:r>
      <w:r w:rsidR="00DB2DF8" w:rsidRPr="00576A28">
        <w:rPr>
          <w:b/>
          <w:bCs/>
          <w:sz w:val="20"/>
          <w:szCs w:val="20"/>
          <w:u w:val="single"/>
        </w:rPr>
        <w:t xml:space="preserve">is the most </w:t>
      </w:r>
      <w:r w:rsidRPr="00576A28">
        <w:rPr>
          <w:b/>
          <w:bCs/>
          <w:sz w:val="20"/>
          <w:szCs w:val="20"/>
          <w:u w:val="single"/>
        </w:rPr>
        <w:t xml:space="preserve">predictable </w:t>
      </w:r>
      <w:r w:rsidR="00DB2DF8" w:rsidRPr="00576A28">
        <w:rPr>
          <w:b/>
          <w:bCs/>
          <w:sz w:val="20"/>
          <w:szCs w:val="20"/>
          <w:u w:val="single"/>
        </w:rPr>
        <w:t xml:space="preserve">tool in the </w:t>
      </w:r>
      <w:r w:rsidR="00B81872" w:rsidRPr="00576A28">
        <w:rPr>
          <w:b/>
          <w:bCs/>
          <w:sz w:val="20"/>
          <w:szCs w:val="20"/>
          <w:u w:val="single"/>
        </w:rPr>
        <w:t>SCI</w:t>
      </w:r>
      <w:r w:rsidR="00DB2DF8">
        <w:rPr>
          <w:sz w:val="20"/>
          <w:szCs w:val="20"/>
        </w:rPr>
        <w:t>.</w:t>
      </w:r>
      <w:r w:rsidR="003B3DE6">
        <w:rPr>
          <w:sz w:val="20"/>
          <w:szCs w:val="20"/>
        </w:rPr>
        <w:t xml:space="preserve"> </w:t>
      </w:r>
      <w:r w:rsidR="00BF1093">
        <w:rPr>
          <w:sz w:val="20"/>
          <w:szCs w:val="20"/>
        </w:rPr>
        <w:t>T</w:t>
      </w:r>
      <w:r w:rsidR="00C97070">
        <w:rPr>
          <w:sz w:val="20"/>
          <w:szCs w:val="20"/>
        </w:rPr>
        <w:t xml:space="preserve">ransistor </w:t>
      </w:r>
      <w:r w:rsidR="00BF1093">
        <w:rPr>
          <w:sz w:val="20"/>
          <w:szCs w:val="20"/>
        </w:rPr>
        <w:t xml:space="preserve">unit </w:t>
      </w:r>
      <w:r w:rsidR="00C97070">
        <w:rPr>
          <w:sz w:val="20"/>
          <w:szCs w:val="20"/>
        </w:rPr>
        <w:t>r</w:t>
      </w:r>
      <w:r w:rsidR="00EF30B7">
        <w:rPr>
          <w:sz w:val="20"/>
          <w:szCs w:val="20"/>
        </w:rPr>
        <w:t>evenu</w:t>
      </w:r>
      <w:r w:rsidR="00C97070">
        <w:rPr>
          <w:sz w:val="20"/>
          <w:szCs w:val="20"/>
        </w:rPr>
        <w:t xml:space="preserve">e is </w:t>
      </w:r>
      <w:r w:rsidR="00DA2678">
        <w:rPr>
          <w:sz w:val="20"/>
          <w:szCs w:val="20"/>
        </w:rPr>
        <w:t>a proxy for transistor</w:t>
      </w:r>
      <w:r w:rsidR="00C97070">
        <w:rPr>
          <w:sz w:val="20"/>
          <w:szCs w:val="20"/>
        </w:rPr>
        <w:t xml:space="preserve"> unit cost</w:t>
      </w:r>
      <w:r w:rsidR="00DA2678">
        <w:rPr>
          <w:sz w:val="20"/>
          <w:szCs w:val="20"/>
        </w:rPr>
        <w:t>.</w:t>
      </w:r>
      <w:r w:rsidR="00DA2678">
        <w:rPr>
          <w:rStyle w:val="EndnoteReference"/>
          <w:sz w:val="20"/>
          <w:szCs w:val="20"/>
        </w:rPr>
        <w:endnoteReference w:id="1"/>
      </w:r>
      <w:r w:rsidR="002F1769">
        <w:rPr>
          <w:sz w:val="20"/>
          <w:szCs w:val="20"/>
        </w:rPr>
        <w:t xml:space="preserve"> The </w:t>
      </w:r>
      <w:r w:rsidR="002A75B1">
        <w:rPr>
          <w:sz w:val="20"/>
          <w:szCs w:val="20"/>
        </w:rPr>
        <w:t>T</w:t>
      </w:r>
      <w:r w:rsidR="002F1769">
        <w:rPr>
          <w:sz w:val="20"/>
          <w:szCs w:val="20"/>
        </w:rPr>
        <w:t xml:space="preserve">LC is so </w:t>
      </w:r>
      <w:r w:rsidR="007C3BEB">
        <w:rPr>
          <w:sz w:val="20"/>
          <w:szCs w:val="20"/>
        </w:rPr>
        <w:t xml:space="preserve">prescriptive that SCCs </w:t>
      </w:r>
      <w:r w:rsidR="002A75B1">
        <w:rPr>
          <w:sz w:val="20"/>
          <w:szCs w:val="20"/>
        </w:rPr>
        <w:t>can</w:t>
      </w:r>
      <w:r w:rsidR="00DA12D0">
        <w:rPr>
          <w:sz w:val="20"/>
          <w:szCs w:val="20"/>
        </w:rPr>
        <w:t xml:space="preserve"> </w:t>
      </w:r>
      <w:r w:rsidR="007C3BEB">
        <w:rPr>
          <w:sz w:val="20"/>
          <w:szCs w:val="20"/>
        </w:rPr>
        <w:t>use it for</w:t>
      </w:r>
      <w:r w:rsidR="005A1CF2">
        <w:rPr>
          <w:sz w:val="20"/>
          <w:szCs w:val="20"/>
        </w:rPr>
        <w:t xml:space="preserve"> </w:t>
      </w:r>
      <w:r w:rsidR="00DA12D0">
        <w:rPr>
          <w:sz w:val="20"/>
          <w:szCs w:val="20"/>
        </w:rPr>
        <w:t xml:space="preserve">SCO and 4Ps </w:t>
      </w:r>
      <w:r w:rsidR="005A1CF2">
        <w:rPr>
          <w:sz w:val="20"/>
          <w:szCs w:val="20"/>
        </w:rPr>
        <w:t>strategic planning</w:t>
      </w:r>
      <w:r w:rsidR="00742A80">
        <w:rPr>
          <w:rStyle w:val="EndnoteReference"/>
          <w:sz w:val="20"/>
          <w:szCs w:val="20"/>
        </w:rPr>
        <w:endnoteReference w:id="2"/>
      </w:r>
      <w:r w:rsidR="00DC19BC">
        <w:rPr>
          <w:sz w:val="20"/>
          <w:szCs w:val="20"/>
        </w:rPr>
        <w:t>.</w:t>
      </w:r>
    </w:p>
    <w:p w14:paraId="753659C2" w14:textId="2CBF8798" w:rsidR="00C0497D" w:rsidRDefault="00DA12D0" w:rsidP="00C0497D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DA0548">
        <w:rPr>
          <w:sz w:val="20"/>
          <w:szCs w:val="20"/>
        </w:rPr>
        <w:t>n the days of germanium and silicon discrete transistors</w:t>
      </w:r>
      <w:r w:rsidR="00F76F6D">
        <w:rPr>
          <w:sz w:val="20"/>
          <w:szCs w:val="20"/>
        </w:rPr>
        <w:t>, T</w:t>
      </w:r>
      <w:r w:rsidR="00CA1D48">
        <w:rPr>
          <w:sz w:val="20"/>
          <w:szCs w:val="20"/>
        </w:rPr>
        <w:t>exas Instruments</w:t>
      </w:r>
      <w:r w:rsidR="00F76F6D">
        <w:rPr>
          <w:sz w:val="20"/>
          <w:szCs w:val="20"/>
        </w:rPr>
        <w:t xml:space="preserve"> co</w:t>
      </w:r>
      <w:r>
        <w:rPr>
          <w:sz w:val="20"/>
          <w:szCs w:val="20"/>
        </w:rPr>
        <w:t xml:space="preserve">uld </w:t>
      </w:r>
      <w:r w:rsidR="00F76F6D">
        <w:rPr>
          <w:sz w:val="20"/>
          <w:szCs w:val="20"/>
        </w:rPr>
        <w:t xml:space="preserve">use </w:t>
      </w:r>
      <w:r w:rsidR="00246BD1">
        <w:rPr>
          <w:sz w:val="20"/>
          <w:szCs w:val="20"/>
        </w:rPr>
        <w:t>TLC</w:t>
      </w:r>
      <w:r w:rsidR="00CA1D48">
        <w:rPr>
          <w:sz w:val="20"/>
          <w:szCs w:val="20"/>
        </w:rPr>
        <w:t>s</w:t>
      </w:r>
      <w:r w:rsidR="00F76F6D">
        <w:rPr>
          <w:sz w:val="20"/>
          <w:szCs w:val="20"/>
        </w:rPr>
        <w:t xml:space="preserve"> to predict the</w:t>
      </w:r>
      <w:r w:rsidR="00034AC9">
        <w:rPr>
          <w:sz w:val="20"/>
          <w:szCs w:val="20"/>
        </w:rPr>
        <w:t xml:space="preserve"> </w:t>
      </w:r>
      <w:r w:rsidR="00246BD1">
        <w:rPr>
          <w:sz w:val="20"/>
          <w:szCs w:val="20"/>
        </w:rPr>
        <w:t xml:space="preserve">marginal </w:t>
      </w:r>
      <w:r w:rsidR="00034AC9">
        <w:rPr>
          <w:sz w:val="20"/>
          <w:szCs w:val="20"/>
        </w:rPr>
        <w:t>cost on the 100,000</w:t>
      </w:r>
      <w:r w:rsidR="00034AC9" w:rsidRPr="00034AC9">
        <w:rPr>
          <w:sz w:val="20"/>
          <w:szCs w:val="20"/>
          <w:vertAlign w:val="superscript"/>
        </w:rPr>
        <w:t>th</w:t>
      </w:r>
      <w:r w:rsidR="00034AC9">
        <w:rPr>
          <w:sz w:val="20"/>
          <w:szCs w:val="20"/>
        </w:rPr>
        <w:t xml:space="preserve"> </w:t>
      </w:r>
      <w:r w:rsidR="00D35A89">
        <w:rPr>
          <w:sz w:val="20"/>
          <w:szCs w:val="20"/>
        </w:rPr>
        <w:t>transistor</w:t>
      </w:r>
      <w:r w:rsidR="00246BD1">
        <w:rPr>
          <w:sz w:val="20"/>
          <w:szCs w:val="20"/>
        </w:rPr>
        <w:t xml:space="preserve"> after th</w:t>
      </w:r>
      <w:r w:rsidR="003228E4">
        <w:rPr>
          <w:sz w:val="20"/>
          <w:szCs w:val="20"/>
        </w:rPr>
        <w:t>e 1</w:t>
      </w:r>
      <w:r w:rsidR="00D35A89">
        <w:rPr>
          <w:sz w:val="20"/>
          <w:szCs w:val="20"/>
        </w:rPr>
        <w:t>,</w:t>
      </w:r>
      <w:r w:rsidR="003228E4">
        <w:rPr>
          <w:sz w:val="20"/>
          <w:szCs w:val="20"/>
        </w:rPr>
        <w:t>000</w:t>
      </w:r>
      <w:r w:rsidR="003228E4" w:rsidRPr="003228E4">
        <w:rPr>
          <w:sz w:val="20"/>
          <w:szCs w:val="20"/>
          <w:vertAlign w:val="superscript"/>
        </w:rPr>
        <w:t>th</w:t>
      </w:r>
      <w:r w:rsidR="003228E4">
        <w:rPr>
          <w:sz w:val="20"/>
          <w:szCs w:val="20"/>
        </w:rPr>
        <w:t xml:space="preserve"> transistor was produced.</w:t>
      </w:r>
      <w:r w:rsidR="00D63ABF">
        <w:rPr>
          <w:sz w:val="20"/>
          <w:szCs w:val="20"/>
        </w:rPr>
        <w:t xml:space="preserve"> </w:t>
      </w:r>
      <w:r w:rsidR="0071326E">
        <w:rPr>
          <w:sz w:val="20"/>
          <w:szCs w:val="20"/>
        </w:rPr>
        <w:t xml:space="preserve">With this insight TI </w:t>
      </w:r>
      <w:r w:rsidR="00D63ABF">
        <w:rPr>
          <w:sz w:val="20"/>
          <w:szCs w:val="20"/>
        </w:rPr>
        <w:t xml:space="preserve">could </w:t>
      </w:r>
      <w:r w:rsidR="00DC2940">
        <w:rPr>
          <w:sz w:val="20"/>
          <w:szCs w:val="20"/>
        </w:rPr>
        <w:t xml:space="preserve">initially </w:t>
      </w:r>
      <w:r w:rsidR="00D63ABF">
        <w:rPr>
          <w:sz w:val="20"/>
          <w:szCs w:val="20"/>
        </w:rPr>
        <w:t xml:space="preserve">price a particular transistor </w:t>
      </w:r>
      <w:r w:rsidR="00DC2940">
        <w:rPr>
          <w:sz w:val="20"/>
          <w:szCs w:val="20"/>
        </w:rPr>
        <w:t>product at a loss to gain</w:t>
      </w:r>
      <w:r w:rsidR="00F76E14">
        <w:rPr>
          <w:sz w:val="20"/>
          <w:szCs w:val="20"/>
        </w:rPr>
        <w:t xml:space="preserve"> market share and parlay this advantage i</w:t>
      </w:r>
      <w:r w:rsidR="000C04A9">
        <w:rPr>
          <w:sz w:val="20"/>
          <w:szCs w:val="20"/>
        </w:rPr>
        <w:t>nto higher profi</w:t>
      </w:r>
      <w:r w:rsidR="0082775A">
        <w:rPr>
          <w:sz w:val="20"/>
          <w:szCs w:val="20"/>
        </w:rPr>
        <w:t>tability</w:t>
      </w:r>
      <w:r w:rsidR="00FC7B80">
        <w:rPr>
          <w:sz w:val="20"/>
          <w:szCs w:val="20"/>
        </w:rPr>
        <w:t xml:space="preserve"> and market influence when they reached future high unit volume sales.</w:t>
      </w:r>
    </w:p>
    <w:p w14:paraId="2FF7D4AB" w14:textId="3C9DD40D" w:rsidR="0017750F" w:rsidRDefault="00293491" w:rsidP="00C0497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LCs </w:t>
      </w:r>
      <w:r w:rsidR="00212C88">
        <w:rPr>
          <w:sz w:val="20"/>
          <w:szCs w:val="20"/>
        </w:rPr>
        <w:t xml:space="preserve">can be </w:t>
      </w:r>
      <w:r w:rsidR="00212C88" w:rsidRPr="008977C9">
        <w:rPr>
          <w:b/>
          <w:bCs/>
          <w:sz w:val="20"/>
          <w:szCs w:val="20"/>
          <w:u w:val="single"/>
        </w:rPr>
        <w:t>used for any product</w:t>
      </w:r>
      <w:r w:rsidR="00212C88">
        <w:rPr>
          <w:sz w:val="20"/>
          <w:szCs w:val="20"/>
        </w:rPr>
        <w:t xml:space="preserve">. </w:t>
      </w:r>
      <w:r w:rsidR="00DD5CE8">
        <w:rPr>
          <w:sz w:val="20"/>
          <w:szCs w:val="20"/>
        </w:rPr>
        <w:t>The</w:t>
      </w:r>
      <w:r w:rsidR="00D3531F">
        <w:rPr>
          <w:sz w:val="20"/>
          <w:szCs w:val="20"/>
        </w:rPr>
        <w:t xml:space="preserve"> vertical axis p</w:t>
      </w:r>
      <w:r w:rsidR="00BB1F05">
        <w:rPr>
          <w:sz w:val="20"/>
          <w:szCs w:val="20"/>
        </w:rPr>
        <w:t>lots the</w:t>
      </w:r>
      <w:r w:rsidR="002D00F3">
        <w:rPr>
          <w:sz w:val="20"/>
          <w:szCs w:val="20"/>
        </w:rPr>
        <w:t xml:space="preserve"> </w:t>
      </w:r>
      <w:r w:rsidR="006B083B">
        <w:rPr>
          <w:sz w:val="20"/>
          <w:szCs w:val="20"/>
        </w:rPr>
        <w:t xml:space="preserve">log of </w:t>
      </w:r>
      <w:r w:rsidR="002D00F3">
        <w:rPr>
          <w:sz w:val="20"/>
          <w:szCs w:val="20"/>
        </w:rPr>
        <w:t>unit</w:t>
      </w:r>
      <w:r w:rsidR="00DD5CE8">
        <w:rPr>
          <w:sz w:val="20"/>
          <w:szCs w:val="20"/>
        </w:rPr>
        <w:t xml:space="preserve"> </w:t>
      </w:r>
      <w:r w:rsidR="002D00F3">
        <w:rPr>
          <w:sz w:val="20"/>
          <w:szCs w:val="20"/>
        </w:rPr>
        <w:t>cost</w:t>
      </w:r>
      <w:r w:rsidR="00C422D1">
        <w:rPr>
          <w:sz w:val="20"/>
          <w:szCs w:val="20"/>
        </w:rPr>
        <w:t xml:space="preserve"> while t</w:t>
      </w:r>
      <w:r w:rsidR="00A13EA8">
        <w:rPr>
          <w:sz w:val="20"/>
          <w:szCs w:val="20"/>
        </w:rPr>
        <w:t>he horizontal axis plots the log of cumulative units produced over the product’s entire history.</w:t>
      </w:r>
      <w:r w:rsidR="00A13EA8">
        <w:rPr>
          <w:rStyle w:val="EndnoteReference"/>
          <w:sz w:val="20"/>
          <w:szCs w:val="20"/>
        </w:rPr>
        <w:endnoteReference w:id="3"/>
      </w:r>
      <w:r w:rsidR="00A13EA8">
        <w:rPr>
          <w:sz w:val="20"/>
          <w:szCs w:val="20"/>
        </w:rPr>
        <w:t xml:space="preserve"> </w:t>
      </w:r>
      <w:r w:rsidR="00B65425">
        <w:rPr>
          <w:sz w:val="20"/>
          <w:szCs w:val="20"/>
        </w:rPr>
        <w:t xml:space="preserve">The </w:t>
      </w:r>
      <w:r w:rsidR="00702F1E">
        <w:rPr>
          <w:sz w:val="20"/>
          <w:szCs w:val="20"/>
        </w:rPr>
        <w:t xml:space="preserve">catch is that it </w:t>
      </w:r>
      <w:r w:rsidR="00DD5CE8">
        <w:rPr>
          <w:sz w:val="20"/>
          <w:szCs w:val="20"/>
        </w:rPr>
        <w:t>must</w:t>
      </w:r>
      <w:r w:rsidR="00702F1E">
        <w:rPr>
          <w:sz w:val="20"/>
          <w:szCs w:val="20"/>
        </w:rPr>
        <w:t xml:space="preserve"> be the </w:t>
      </w:r>
      <w:r w:rsidR="00702F1E" w:rsidRPr="006B083B">
        <w:rPr>
          <w:b/>
          <w:bCs/>
          <w:sz w:val="20"/>
          <w:szCs w:val="20"/>
          <w:u w:val="single"/>
        </w:rPr>
        <w:t>same product</w:t>
      </w:r>
      <w:r w:rsidR="00702F1E" w:rsidRPr="00B069D1">
        <w:rPr>
          <w:b/>
          <w:bCs/>
          <w:sz w:val="20"/>
          <w:szCs w:val="20"/>
          <w:u w:val="single"/>
        </w:rPr>
        <w:t xml:space="preserve"> being produced over and over again</w:t>
      </w:r>
      <w:r w:rsidR="00702F1E">
        <w:rPr>
          <w:sz w:val="20"/>
          <w:szCs w:val="20"/>
        </w:rPr>
        <w:t>.</w:t>
      </w:r>
      <w:r w:rsidR="001C02B8">
        <w:rPr>
          <w:sz w:val="20"/>
          <w:szCs w:val="20"/>
        </w:rPr>
        <w:t xml:space="preserve"> </w:t>
      </w:r>
      <w:r w:rsidR="007D36BD">
        <w:rPr>
          <w:sz w:val="20"/>
          <w:szCs w:val="20"/>
        </w:rPr>
        <w:t>For all</w:t>
      </w:r>
      <w:r w:rsidR="00096FFB">
        <w:rPr>
          <w:sz w:val="20"/>
          <w:szCs w:val="20"/>
        </w:rPr>
        <w:t xml:space="preserve"> LCs</w:t>
      </w:r>
      <w:r w:rsidR="00B069D1">
        <w:rPr>
          <w:sz w:val="20"/>
          <w:szCs w:val="20"/>
        </w:rPr>
        <w:t>,</w:t>
      </w:r>
      <w:r w:rsidR="00096FFB">
        <w:rPr>
          <w:sz w:val="20"/>
          <w:szCs w:val="20"/>
        </w:rPr>
        <w:t xml:space="preserve"> </w:t>
      </w:r>
      <w:r w:rsidR="00AD7C55">
        <w:rPr>
          <w:sz w:val="20"/>
          <w:szCs w:val="20"/>
        </w:rPr>
        <w:t xml:space="preserve">unit cost decreases monotonically </w:t>
      </w:r>
      <w:r w:rsidR="007D36BD">
        <w:rPr>
          <w:sz w:val="20"/>
          <w:szCs w:val="20"/>
        </w:rPr>
        <w:t xml:space="preserve">with </w:t>
      </w:r>
      <w:r w:rsidR="00AD7C55">
        <w:rPr>
          <w:sz w:val="20"/>
          <w:szCs w:val="20"/>
        </w:rPr>
        <w:t>more experience or “learning”.</w:t>
      </w:r>
      <w:r w:rsidR="004E1066">
        <w:rPr>
          <w:sz w:val="20"/>
          <w:szCs w:val="20"/>
        </w:rPr>
        <w:t xml:space="preserve"> Doubling </w:t>
      </w:r>
      <w:r w:rsidR="007D36BD">
        <w:rPr>
          <w:sz w:val="20"/>
          <w:szCs w:val="20"/>
        </w:rPr>
        <w:t>c</w:t>
      </w:r>
      <w:r w:rsidR="004E1066">
        <w:rPr>
          <w:sz w:val="20"/>
          <w:szCs w:val="20"/>
        </w:rPr>
        <w:t xml:space="preserve">umulative </w:t>
      </w:r>
      <w:r w:rsidR="007D36BD">
        <w:rPr>
          <w:sz w:val="20"/>
          <w:szCs w:val="20"/>
        </w:rPr>
        <w:t>v</w:t>
      </w:r>
      <w:r w:rsidR="004E1066">
        <w:rPr>
          <w:sz w:val="20"/>
          <w:szCs w:val="20"/>
        </w:rPr>
        <w:t xml:space="preserve">olume </w:t>
      </w:r>
      <w:r w:rsidR="009F7D3D">
        <w:rPr>
          <w:sz w:val="20"/>
          <w:szCs w:val="20"/>
        </w:rPr>
        <w:t xml:space="preserve">results in a fixed percentage </w:t>
      </w:r>
      <w:r w:rsidR="004E1066">
        <w:rPr>
          <w:sz w:val="20"/>
          <w:szCs w:val="20"/>
        </w:rPr>
        <w:t xml:space="preserve">decrease </w:t>
      </w:r>
      <w:r w:rsidR="009F7D3D">
        <w:rPr>
          <w:sz w:val="20"/>
          <w:szCs w:val="20"/>
        </w:rPr>
        <w:t xml:space="preserve">in </w:t>
      </w:r>
      <w:r w:rsidR="007D36BD">
        <w:rPr>
          <w:sz w:val="20"/>
          <w:szCs w:val="20"/>
        </w:rPr>
        <w:t>u</w:t>
      </w:r>
      <w:r w:rsidR="004E1066">
        <w:rPr>
          <w:sz w:val="20"/>
          <w:szCs w:val="20"/>
        </w:rPr>
        <w:t xml:space="preserve">nit </w:t>
      </w:r>
      <w:r w:rsidR="007D36BD">
        <w:rPr>
          <w:sz w:val="20"/>
          <w:szCs w:val="20"/>
        </w:rPr>
        <w:t>c</w:t>
      </w:r>
      <w:r w:rsidR="004E1066">
        <w:rPr>
          <w:sz w:val="20"/>
          <w:szCs w:val="20"/>
        </w:rPr>
        <w:t>ost.</w:t>
      </w:r>
      <w:r w:rsidR="00E95D99">
        <w:rPr>
          <w:sz w:val="20"/>
          <w:szCs w:val="20"/>
        </w:rPr>
        <w:t xml:space="preserve"> This </w:t>
      </w:r>
      <w:r w:rsidR="00E95D99" w:rsidRPr="005965EE">
        <w:rPr>
          <w:b/>
          <w:bCs/>
          <w:sz w:val="20"/>
          <w:szCs w:val="20"/>
          <w:u w:val="single"/>
        </w:rPr>
        <w:t>percentage decrease is different for different products</w:t>
      </w:r>
      <w:r w:rsidR="00E95D99">
        <w:rPr>
          <w:sz w:val="20"/>
          <w:szCs w:val="20"/>
        </w:rPr>
        <w:t xml:space="preserve"> but tends to be similar across a broad range of products in an industry like semiconductors.</w:t>
      </w:r>
    </w:p>
    <w:p w14:paraId="6FA2C6ED" w14:textId="2AAB3484" w:rsidR="005500B3" w:rsidRDefault="00C24009" w:rsidP="00C0497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Many efficiencies contribute to </w:t>
      </w:r>
      <w:r w:rsidR="00830278">
        <w:rPr>
          <w:sz w:val="20"/>
          <w:szCs w:val="20"/>
        </w:rPr>
        <w:t>unit c</w:t>
      </w:r>
      <w:r>
        <w:rPr>
          <w:sz w:val="20"/>
          <w:szCs w:val="20"/>
        </w:rPr>
        <w:t>ost</w:t>
      </w:r>
      <w:r w:rsidR="00A86447">
        <w:rPr>
          <w:sz w:val="20"/>
          <w:szCs w:val="20"/>
        </w:rPr>
        <w:t xml:space="preserve"> reduction</w:t>
      </w:r>
      <w:r w:rsidR="0065436E">
        <w:rPr>
          <w:sz w:val="20"/>
          <w:szCs w:val="20"/>
        </w:rPr>
        <w:t xml:space="preserve"> </w:t>
      </w:r>
      <w:r w:rsidR="000A0E98">
        <w:rPr>
          <w:sz w:val="20"/>
          <w:szCs w:val="20"/>
        </w:rPr>
        <w:t>as</w:t>
      </w:r>
      <w:r w:rsidR="00A86447">
        <w:rPr>
          <w:sz w:val="20"/>
          <w:szCs w:val="20"/>
        </w:rPr>
        <w:t xml:space="preserve"> </w:t>
      </w:r>
      <w:r w:rsidR="000A0E98">
        <w:rPr>
          <w:sz w:val="20"/>
          <w:szCs w:val="20"/>
        </w:rPr>
        <w:t>v</w:t>
      </w:r>
      <w:r w:rsidR="00A86447">
        <w:rPr>
          <w:sz w:val="20"/>
          <w:szCs w:val="20"/>
        </w:rPr>
        <w:t>olume</w:t>
      </w:r>
      <w:r w:rsidR="0065436E">
        <w:rPr>
          <w:sz w:val="20"/>
          <w:szCs w:val="20"/>
        </w:rPr>
        <w:t xml:space="preserve"> </w:t>
      </w:r>
      <w:r w:rsidR="000A0E98">
        <w:rPr>
          <w:sz w:val="20"/>
          <w:szCs w:val="20"/>
        </w:rPr>
        <w:t>increases</w:t>
      </w:r>
      <w:r w:rsidR="0065436E">
        <w:rPr>
          <w:sz w:val="20"/>
          <w:szCs w:val="20"/>
        </w:rPr>
        <w:t xml:space="preserve"> </w:t>
      </w:r>
      <w:r w:rsidR="003663E2">
        <w:rPr>
          <w:sz w:val="20"/>
          <w:szCs w:val="20"/>
        </w:rPr>
        <w:t>such as spreading</w:t>
      </w:r>
      <w:r w:rsidR="0065436E">
        <w:rPr>
          <w:sz w:val="20"/>
          <w:szCs w:val="20"/>
        </w:rPr>
        <w:t xml:space="preserve"> depreciation and development costs over larger </w:t>
      </w:r>
      <w:r w:rsidR="003663E2">
        <w:rPr>
          <w:sz w:val="20"/>
          <w:szCs w:val="20"/>
        </w:rPr>
        <w:t xml:space="preserve">chunks of </w:t>
      </w:r>
      <w:r w:rsidR="0065436E">
        <w:rPr>
          <w:sz w:val="20"/>
          <w:szCs w:val="20"/>
        </w:rPr>
        <w:t>volume</w:t>
      </w:r>
      <w:r w:rsidR="00A64AAB">
        <w:rPr>
          <w:sz w:val="20"/>
          <w:szCs w:val="20"/>
        </w:rPr>
        <w:t xml:space="preserve"> per unit time</w:t>
      </w:r>
      <w:r w:rsidR="0065436E">
        <w:rPr>
          <w:sz w:val="20"/>
          <w:szCs w:val="20"/>
        </w:rPr>
        <w:t>.</w:t>
      </w:r>
      <w:r w:rsidR="00657D2F">
        <w:rPr>
          <w:sz w:val="20"/>
          <w:szCs w:val="20"/>
        </w:rPr>
        <w:t xml:space="preserve"> </w:t>
      </w:r>
      <w:r w:rsidR="008C7FB9">
        <w:rPr>
          <w:sz w:val="20"/>
          <w:szCs w:val="20"/>
        </w:rPr>
        <w:t xml:space="preserve">There are </w:t>
      </w:r>
      <w:r w:rsidR="00170BBA">
        <w:rPr>
          <w:sz w:val="20"/>
          <w:szCs w:val="20"/>
        </w:rPr>
        <w:t>a few more</w:t>
      </w:r>
      <w:r w:rsidR="00A64AAB">
        <w:rPr>
          <w:sz w:val="20"/>
          <w:szCs w:val="20"/>
        </w:rPr>
        <w:t xml:space="preserve"> </w:t>
      </w:r>
      <w:r w:rsidR="008C7FB9">
        <w:rPr>
          <w:sz w:val="20"/>
          <w:szCs w:val="20"/>
        </w:rPr>
        <w:t>considerations</w:t>
      </w:r>
      <w:r w:rsidR="005500B3">
        <w:rPr>
          <w:sz w:val="20"/>
          <w:szCs w:val="20"/>
        </w:rPr>
        <w:t xml:space="preserve"> when using </w:t>
      </w:r>
      <w:r w:rsidR="001E617F">
        <w:rPr>
          <w:sz w:val="20"/>
          <w:szCs w:val="20"/>
        </w:rPr>
        <w:t>LCs</w:t>
      </w:r>
      <w:r w:rsidR="00A2093D">
        <w:rPr>
          <w:sz w:val="20"/>
          <w:szCs w:val="20"/>
        </w:rPr>
        <w:t>:</w:t>
      </w:r>
    </w:p>
    <w:p w14:paraId="5A35D7FA" w14:textId="4123DEEE" w:rsidR="005500B3" w:rsidRDefault="005500B3" w:rsidP="005500B3">
      <w:pPr>
        <w:pStyle w:val="ListParagraph"/>
        <w:numPr>
          <w:ilvl w:val="0"/>
          <w:numId w:val="7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They m</w:t>
      </w:r>
      <w:r w:rsidR="001E617F" w:rsidRPr="005500B3">
        <w:rPr>
          <w:sz w:val="20"/>
          <w:szCs w:val="20"/>
        </w:rPr>
        <w:t>ust be adjusted for inflation</w:t>
      </w:r>
      <w:r w:rsidR="00C4471A">
        <w:rPr>
          <w:sz w:val="20"/>
          <w:szCs w:val="20"/>
        </w:rPr>
        <w:t>.</w:t>
      </w:r>
    </w:p>
    <w:p w14:paraId="73D2C1CE" w14:textId="5B27FF1C" w:rsidR="001E617F" w:rsidRDefault="005500B3" w:rsidP="005500B3">
      <w:pPr>
        <w:pStyle w:val="ListParagraph"/>
        <w:numPr>
          <w:ilvl w:val="0"/>
          <w:numId w:val="7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They only apply in </w:t>
      </w:r>
      <w:r w:rsidR="00170BBA">
        <w:rPr>
          <w:sz w:val="20"/>
          <w:szCs w:val="20"/>
        </w:rPr>
        <w:t>free marke</w:t>
      </w:r>
      <w:r w:rsidR="005D6CA6">
        <w:rPr>
          <w:sz w:val="20"/>
          <w:szCs w:val="20"/>
        </w:rPr>
        <w:t>ts</w:t>
      </w:r>
      <w:r w:rsidR="00682C96">
        <w:rPr>
          <w:sz w:val="20"/>
          <w:szCs w:val="20"/>
        </w:rPr>
        <w:t xml:space="preserve"> </w:t>
      </w:r>
      <w:r w:rsidR="005D6CA6">
        <w:rPr>
          <w:sz w:val="20"/>
          <w:szCs w:val="20"/>
        </w:rPr>
        <w:t xml:space="preserve">characterized by </w:t>
      </w:r>
      <w:r w:rsidR="00682C96">
        <w:rPr>
          <w:sz w:val="20"/>
          <w:szCs w:val="20"/>
        </w:rPr>
        <w:t>minimal tariffs, trade barriers, taxes</w:t>
      </w:r>
      <w:r w:rsidR="00A2093D">
        <w:rPr>
          <w:sz w:val="20"/>
          <w:szCs w:val="20"/>
        </w:rPr>
        <w:t>, regulations</w:t>
      </w:r>
      <w:r w:rsidR="00BC4100">
        <w:rPr>
          <w:sz w:val="20"/>
          <w:szCs w:val="20"/>
        </w:rPr>
        <w:t xml:space="preserve">, freight, </w:t>
      </w:r>
      <w:r w:rsidR="00682C96">
        <w:rPr>
          <w:sz w:val="20"/>
          <w:szCs w:val="20"/>
        </w:rPr>
        <w:t>and other</w:t>
      </w:r>
      <w:r w:rsidR="00A2093D">
        <w:rPr>
          <w:sz w:val="20"/>
          <w:szCs w:val="20"/>
        </w:rPr>
        <w:t xml:space="preserve"> non-direct production costs.</w:t>
      </w:r>
    </w:p>
    <w:p w14:paraId="2D812CE4" w14:textId="592C273A" w:rsidR="00467D49" w:rsidRDefault="00495899" w:rsidP="00467D4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LC have utility </w:t>
      </w:r>
      <w:r w:rsidR="00881294">
        <w:rPr>
          <w:sz w:val="20"/>
          <w:szCs w:val="20"/>
        </w:rPr>
        <w:t xml:space="preserve">for as long as a product is produced. </w:t>
      </w:r>
      <w:r w:rsidR="004743B5">
        <w:rPr>
          <w:sz w:val="20"/>
          <w:szCs w:val="20"/>
        </w:rPr>
        <w:t>Thus,</w:t>
      </w:r>
      <w:r w:rsidR="00881294">
        <w:rPr>
          <w:sz w:val="20"/>
          <w:szCs w:val="20"/>
        </w:rPr>
        <w:t xml:space="preserve"> </w:t>
      </w:r>
      <w:r w:rsidR="00BF4B1B" w:rsidRPr="00B9519C">
        <w:rPr>
          <w:b/>
          <w:bCs/>
          <w:sz w:val="20"/>
          <w:szCs w:val="20"/>
          <w:u w:val="single"/>
        </w:rPr>
        <w:t>LC</w:t>
      </w:r>
      <w:r w:rsidR="00FA5B88" w:rsidRPr="00B9519C">
        <w:rPr>
          <w:b/>
          <w:bCs/>
          <w:sz w:val="20"/>
          <w:szCs w:val="20"/>
          <w:u w:val="single"/>
        </w:rPr>
        <w:t>s</w:t>
      </w:r>
      <w:r w:rsidR="00BF4B1B" w:rsidRPr="00B9519C">
        <w:rPr>
          <w:b/>
          <w:bCs/>
          <w:sz w:val="20"/>
          <w:szCs w:val="20"/>
          <w:u w:val="single"/>
        </w:rPr>
        <w:t xml:space="preserve"> never become irrelevant</w:t>
      </w:r>
      <w:r w:rsidR="00B04DEE" w:rsidRPr="00B9519C">
        <w:rPr>
          <w:b/>
          <w:bCs/>
          <w:sz w:val="20"/>
          <w:szCs w:val="20"/>
          <w:u w:val="single"/>
        </w:rPr>
        <w:t xml:space="preserve"> or obsolete</w:t>
      </w:r>
      <w:r w:rsidR="00B04DEE">
        <w:rPr>
          <w:sz w:val="20"/>
          <w:szCs w:val="20"/>
        </w:rPr>
        <w:t>. However, a</w:t>
      </w:r>
      <w:r w:rsidR="002771E9">
        <w:rPr>
          <w:sz w:val="20"/>
          <w:szCs w:val="20"/>
        </w:rPr>
        <w:t xml:space="preserve">s an industry matures, the cumulative number of products </w:t>
      </w:r>
      <w:r w:rsidR="002862C4">
        <w:rPr>
          <w:sz w:val="20"/>
          <w:szCs w:val="20"/>
        </w:rPr>
        <w:t>s</w:t>
      </w:r>
      <w:r w:rsidR="002771E9">
        <w:rPr>
          <w:sz w:val="20"/>
          <w:szCs w:val="20"/>
        </w:rPr>
        <w:t>top</w:t>
      </w:r>
      <w:r w:rsidR="002862C4">
        <w:rPr>
          <w:sz w:val="20"/>
          <w:szCs w:val="20"/>
        </w:rPr>
        <w:t>s</w:t>
      </w:r>
      <w:r w:rsidR="002771E9">
        <w:rPr>
          <w:sz w:val="20"/>
          <w:szCs w:val="20"/>
        </w:rPr>
        <w:t xml:space="preserve"> moving </w:t>
      </w:r>
      <w:r w:rsidR="004743B5">
        <w:rPr>
          <w:sz w:val="20"/>
          <w:szCs w:val="20"/>
        </w:rPr>
        <w:t>as</w:t>
      </w:r>
      <w:r w:rsidR="002771E9">
        <w:rPr>
          <w:sz w:val="20"/>
          <w:szCs w:val="20"/>
        </w:rPr>
        <w:t xml:space="preserve"> quickly to the right</w:t>
      </w:r>
      <w:r w:rsidR="00267547">
        <w:rPr>
          <w:sz w:val="20"/>
          <w:szCs w:val="20"/>
        </w:rPr>
        <w:t xml:space="preserve"> on a log scale</w:t>
      </w:r>
      <w:r w:rsidR="00C272B1">
        <w:rPr>
          <w:sz w:val="20"/>
          <w:szCs w:val="20"/>
        </w:rPr>
        <w:t xml:space="preserve"> resulting in</w:t>
      </w:r>
      <w:r w:rsidR="00267547">
        <w:rPr>
          <w:sz w:val="20"/>
          <w:szCs w:val="20"/>
        </w:rPr>
        <w:t xml:space="preserve"> prices decreas</w:t>
      </w:r>
      <w:r w:rsidR="00C272B1">
        <w:rPr>
          <w:sz w:val="20"/>
          <w:szCs w:val="20"/>
        </w:rPr>
        <w:t>ing</w:t>
      </w:r>
      <w:r w:rsidR="00267547">
        <w:rPr>
          <w:sz w:val="20"/>
          <w:szCs w:val="20"/>
        </w:rPr>
        <w:t xml:space="preserve"> </w:t>
      </w:r>
      <w:r w:rsidR="004D401A">
        <w:rPr>
          <w:sz w:val="20"/>
          <w:szCs w:val="20"/>
        </w:rPr>
        <w:t>less</w:t>
      </w:r>
      <w:r w:rsidR="00267547">
        <w:rPr>
          <w:sz w:val="20"/>
          <w:szCs w:val="20"/>
        </w:rPr>
        <w:t xml:space="preserve"> </w:t>
      </w:r>
      <w:r w:rsidR="004D401A">
        <w:rPr>
          <w:sz w:val="20"/>
          <w:szCs w:val="20"/>
        </w:rPr>
        <w:t>rapidly</w:t>
      </w:r>
      <w:r w:rsidR="00267547">
        <w:rPr>
          <w:sz w:val="20"/>
          <w:szCs w:val="20"/>
        </w:rPr>
        <w:t xml:space="preserve"> and</w:t>
      </w:r>
      <w:r w:rsidR="000800B0">
        <w:rPr>
          <w:sz w:val="20"/>
          <w:szCs w:val="20"/>
        </w:rPr>
        <w:t xml:space="preserve"> diminishing</w:t>
      </w:r>
      <w:r w:rsidR="00267547">
        <w:rPr>
          <w:sz w:val="20"/>
          <w:szCs w:val="20"/>
        </w:rPr>
        <w:t xml:space="preserve"> </w:t>
      </w:r>
      <w:r w:rsidR="004D401A">
        <w:rPr>
          <w:sz w:val="20"/>
          <w:szCs w:val="20"/>
        </w:rPr>
        <w:t>observable</w:t>
      </w:r>
      <w:r w:rsidR="00267547">
        <w:rPr>
          <w:sz w:val="20"/>
          <w:szCs w:val="20"/>
        </w:rPr>
        <w:t xml:space="preserve"> effect</w:t>
      </w:r>
      <w:r w:rsidR="000800B0">
        <w:rPr>
          <w:sz w:val="20"/>
          <w:szCs w:val="20"/>
        </w:rPr>
        <w:t>s</w:t>
      </w:r>
      <w:r w:rsidR="00267547">
        <w:rPr>
          <w:sz w:val="20"/>
          <w:szCs w:val="20"/>
        </w:rPr>
        <w:t xml:space="preserve"> of improved learning.</w:t>
      </w:r>
      <w:r w:rsidR="005A0408">
        <w:rPr>
          <w:sz w:val="20"/>
          <w:szCs w:val="20"/>
        </w:rPr>
        <w:t xml:space="preserve"> At some point, monetary inflation </w:t>
      </w:r>
      <w:r w:rsidR="00480720">
        <w:rPr>
          <w:sz w:val="20"/>
          <w:szCs w:val="20"/>
        </w:rPr>
        <w:t>surpass</w:t>
      </w:r>
      <w:r w:rsidR="004D401A">
        <w:rPr>
          <w:sz w:val="20"/>
          <w:szCs w:val="20"/>
        </w:rPr>
        <w:t>es</w:t>
      </w:r>
      <w:r w:rsidR="00480720">
        <w:rPr>
          <w:sz w:val="20"/>
          <w:szCs w:val="20"/>
        </w:rPr>
        <w:t xml:space="preserve"> </w:t>
      </w:r>
      <w:r w:rsidR="005A0408">
        <w:rPr>
          <w:sz w:val="20"/>
          <w:szCs w:val="20"/>
        </w:rPr>
        <w:t xml:space="preserve">manufacturing cost reduction and unit prices may </w:t>
      </w:r>
      <w:r w:rsidR="006C18DD">
        <w:rPr>
          <w:sz w:val="20"/>
          <w:szCs w:val="20"/>
        </w:rPr>
        <w:t>start</w:t>
      </w:r>
      <w:r w:rsidR="005A0408">
        <w:rPr>
          <w:sz w:val="20"/>
          <w:szCs w:val="20"/>
        </w:rPr>
        <w:t xml:space="preserve"> increas</w:t>
      </w:r>
      <w:r w:rsidR="006C18DD">
        <w:rPr>
          <w:sz w:val="20"/>
          <w:szCs w:val="20"/>
        </w:rPr>
        <w:t>ing</w:t>
      </w:r>
      <w:r w:rsidR="005A0408">
        <w:rPr>
          <w:sz w:val="20"/>
          <w:szCs w:val="20"/>
        </w:rPr>
        <w:t xml:space="preserve"> </w:t>
      </w:r>
      <w:r w:rsidR="00D4571F">
        <w:rPr>
          <w:sz w:val="20"/>
          <w:szCs w:val="20"/>
        </w:rPr>
        <w:t xml:space="preserve">in </w:t>
      </w:r>
      <w:r w:rsidR="005A0408">
        <w:rPr>
          <w:sz w:val="20"/>
          <w:szCs w:val="20"/>
        </w:rPr>
        <w:t xml:space="preserve">absolute dollars </w:t>
      </w:r>
      <w:r w:rsidR="006C18DD">
        <w:rPr>
          <w:sz w:val="20"/>
          <w:szCs w:val="20"/>
        </w:rPr>
        <w:t>terms.</w:t>
      </w:r>
    </w:p>
    <w:p w14:paraId="4E2660F1" w14:textId="117D2AD3" w:rsidR="00FA333B" w:rsidRDefault="00FA333B" w:rsidP="00467D49">
      <w:pPr>
        <w:jc w:val="both"/>
        <w:rPr>
          <w:sz w:val="20"/>
          <w:szCs w:val="20"/>
        </w:rPr>
      </w:pPr>
      <w:r>
        <w:rPr>
          <w:sz w:val="20"/>
          <w:szCs w:val="20"/>
        </w:rPr>
        <w:t>In 2019,</w:t>
      </w:r>
      <w:r w:rsidR="0021753A">
        <w:rPr>
          <w:sz w:val="20"/>
          <w:szCs w:val="20"/>
        </w:rPr>
        <w:t xml:space="preserve"> transistor unit </w:t>
      </w:r>
      <w:r w:rsidR="00480720">
        <w:rPr>
          <w:sz w:val="20"/>
          <w:szCs w:val="20"/>
        </w:rPr>
        <w:t>revenue decreased</w:t>
      </w:r>
      <w:r w:rsidR="0021753A">
        <w:rPr>
          <w:sz w:val="20"/>
          <w:szCs w:val="20"/>
        </w:rPr>
        <w:t xml:space="preserve"> at </w:t>
      </w:r>
      <w:r w:rsidR="0061240A">
        <w:rPr>
          <w:sz w:val="20"/>
          <w:szCs w:val="20"/>
        </w:rPr>
        <w:t xml:space="preserve">a rate of </w:t>
      </w:r>
      <w:r w:rsidR="0021753A">
        <w:rPr>
          <w:sz w:val="20"/>
          <w:szCs w:val="20"/>
        </w:rPr>
        <w:t>32% per year.</w:t>
      </w:r>
      <w:r w:rsidR="0061240A">
        <w:rPr>
          <w:sz w:val="20"/>
          <w:szCs w:val="20"/>
        </w:rPr>
        <w:t xml:space="preserve"> This </w:t>
      </w:r>
      <w:r w:rsidR="00474024">
        <w:rPr>
          <w:sz w:val="20"/>
          <w:szCs w:val="20"/>
        </w:rPr>
        <w:t xml:space="preserve">rate was applicable to all SC components produced. However, </w:t>
      </w:r>
      <w:r w:rsidR="00844013">
        <w:rPr>
          <w:sz w:val="20"/>
          <w:szCs w:val="20"/>
        </w:rPr>
        <w:t xml:space="preserve">when you partition all SC categorically – memory, logic, analog, etc. – you find that rates </w:t>
      </w:r>
      <w:r w:rsidR="00E6311C">
        <w:rPr>
          <w:sz w:val="20"/>
          <w:szCs w:val="20"/>
        </w:rPr>
        <w:t xml:space="preserve">by partition </w:t>
      </w:r>
      <w:r w:rsidR="00C65AF8">
        <w:rPr>
          <w:sz w:val="20"/>
          <w:szCs w:val="20"/>
        </w:rPr>
        <w:t xml:space="preserve">vary from the </w:t>
      </w:r>
      <w:r w:rsidR="009C72C4">
        <w:rPr>
          <w:sz w:val="20"/>
          <w:szCs w:val="20"/>
        </w:rPr>
        <w:t xml:space="preserve">general groups’ </w:t>
      </w:r>
      <w:r w:rsidR="00C65AF8">
        <w:rPr>
          <w:sz w:val="20"/>
          <w:szCs w:val="20"/>
        </w:rPr>
        <w:t>average.</w:t>
      </w:r>
      <w:r w:rsidR="002018A1">
        <w:rPr>
          <w:sz w:val="20"/>
          <w:szCs w:val="20"/>
        </w:rPr>
        <w:t xml:space="preserve"> Specifically, </w:t>
      </w:r>
      <w:r w:rsidR="00BE650E">
        <w:rPr>
          <w:sz w:val="20"/>
          <w:szCs w:val="20"/>
        </w:rPr>
        <w:t xml:space="preserve">looking at the NAND Flash and DRAM segments, you discover that these memory products’ transistor unit cost and cumulative volume </w:t>
      </w:r>
      <w:r w:rsidR="00DB742D">
        <w:rPr>
          <w:sz w:val="20"/>
          <w:szCs w:val="20"/>
        </w:rPr>
        <w:t>is way ahead of the non-memory segment.</w:t>
      </w:r>
      <w:r w:rsidR="00DC51E8">
        <w:rPr>
          <w:rStyle w:val="EndnoteReference"/>
          <w:sz w:val="20"/>
          <w:szCs w:val="20"/>
        </w:rPr>
        <w:endnoteReference w:id="4"/>
      </w:r>
    </w:p>
    <w:p w14:paraId="27ACD406" w14:textId="60041D6D" w:rsidR="005C6F22" w:rsidRDefault="008C0419" w:rsidP="00467D4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LCs do not specify how </w:t>
      </w:r>
      <w:r w:rsidR="009334C2">
        <w:rPr>
          <w:sz w:val="20"/>
          <w:szCs w:val="20"/>
        </w:rPr>
        <w:t xml:space="preserve">decreases in </w:t>
      </w:r>
      <w:r w:rsidR="0053227E">
        <w:rPr>
          <w:sz w:val="20"/>
          <w:szCs w:val="20"/>
        </w:rPr>
        <w:t>u</w:t>
      </w:r>
      <w:r>
        <w:rPr>
          <w:sz w:val="20"/>
          <w:szCs w:val="20"/>
        </w:rPr>
        <w:t>nit cost</w:t>
      </w:r>
      <w:r w:rsidR="0053227E">
        <w:rPr>
          <w:sz w:val="20"/>
          <w:szCs w:val="20"/>
        </w:rPr>
        <w:t xml:space="preserve"> are </w:t>
      </w:r>
      <w:r>
        <w:rPr>
          <w:sz w:val="20"/>
          <w:szCs w:val="20"/>
        </w:rPr>
        <w:t xml:space="preserve">achieved, only that it will happen as </w:t>
      </w:r>
      <w:r w:rsidR="001D175D">
        <w:rPr>
          <w:sz w:val="20"/>
          <w:szCs w:val="20"/>
        </w:rPr>
        <w:t>cumulative</w:t>
      </w:r>
      <w:r w:rsidR="00B0363D">
        <w:rPr>
          <w:sz w:val="20"/>
          <w:szCs w:val="20"/>
        </w:rPr>
        <w:t xml:space="preserve"> volume</w:t>
      </w:r>
      <w:r w:rsidR="00732378">
        <w:rPr>
          <w:sz w:val="20"/>
          <w:szCs w:val="20"/>
        </w:rPr>
        <w:t xml:space="preserve"> increases</w:t>
      </w:r>
      <w:r w:rsidR="001D175D">
        <w:rPr>
          <w:sz w:val="20"/>
          <w:szCs w:val="20"/>
        </w:rPr>
        <w:t>.</w:t>
      </w:r>
      <w:r w:rsidR="001D175D">
        <w:rPr>
          <w:rStyle w:val="EndnoteReference"/>
          <w:sz w:val="20"/>
          <w:szCs w:val="20"/>
        </w:rPr>
        <w:endnoteReference w:id="5"/>
      </w:r>
    </w:p>
    <w:p w14:paraId="63FB9F73" w14:textId="2543FEB0" w:rsidR="000D17F9" w:rsidRDefault="003A558F" w:rsidP="00467D49">
      <w:p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D973C0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ideal market conditions, </w:t>
      </w:r>
      <w:r w:rsidR="00732378">
        <w:rPr>
          <w:sz w:val="20"/>
          <w:szCs w:val="20"/>
        </w:rPr>
        <w:t xml:space="preserve">as </w:t>
      </w:r>
      <w:r>
        <w:rPr>
          <w:sz w:val="20"/>
          <w:szCs w:val="20"/>
        </w:rPr>
        <w:t>cited earlier, LCs are strictly monotonic</w:t>
      </w:r>
      <w:r w:rsidR="003A7428">
        <w:rPr>
          <w:sz w:val="20"/>
          <w:szCs w:val="20"/>
        </w:rPr>
        <w:t xml:space="preserve"> but deviations from monotonicity will result </w:t>
      </w:r>
      <w:r w:rsidR="00647EEC">
        <w:rPr>
          <w:sz w:val="20"/>
          <w:szCs w:val="20"/>
        </w:rPr>
        <w:t>from</w:t>
      </w:r>
      <w:r w:rsidR="003A7428">
        <w:rPr>
          <w:sz w:val="20"/>
          <w:szCs w:val="20"/>
        </w:rPr>
        <w:t xml:space="preserve"> non-ideal market scenarios</w:t>
      </w:r>
      <w:r w:rsidR="00732378">
        <w:rPr>
          <w:sz w:val="20"/>
          <w:szCs w:val="20"/>
        </w:rPr>
        <w:t>, such as</w:t>
      </w:r>
      <w:r w:rsidR="00876C4A">
        <w:rPr>
          <w:sz w:val="20"/>
          <w:szCs w:val="20"/>
        </w:rPr>
        <w:t xml:space="preserve"> the 2016 – 2018 </w:t>
      </w:r>
      <w:r w:rsidR="004F2809">
        <w:rPr>
          <w:sz w:val="20"/>
          <w:szCs w:val="20"/>
        </w:rPr>
        <w:t xml:space="preserve">DRAM </w:t>
      </w:r>
      <w:r w:rsidR="00876C4A">
        <w:rPr>
          <w:sz w:val="20"/>
          <w:szCs w:val="20"/>
        </w:rPr>
        <w:t>memory shortages.</w:t>
      </w:r>
      <w:r w:rsidR="009A37D3">
        <w:rPr>
          <w:sz w:val="20"/>
          <w:szCs w:val="20"/>
        </w:rPr>
        <w:t xml:space="preserve"> This shortage c</w:t>
      </w:r>
      <w:r w:rsidR="001E2CF0">
        <w:rPr>
          <w:sz w:val="20"/>
          <w:szCs w:val="20"/>
        </w:rPr>
        <w:t>reated</w:t>
      </w:r>
      <w:r w:rsidR="00BD7D58">
        <w:rPr>
          <w:sz w:val="20"/>
          <w:szCs w:val="20"/>
        </w:rPr>
        <w:t xml:space="preserve"> </w:t>
      </w:r>
      <w:r w:rsidR="001E2CF0">
        <w:rPr>
          <w:sz w:val="20"/>
          <w:szCs w:val="20"/>
        </w:rPr>
        <w:t xml:space="preserve">price inflation </w:t>
      </w:r>
      <w:r w:rsidR="00BD7D58">
        <w:rPr>
          <w:sz w:val="20"/>
          <w:szCs w:val="20"/>
        </w:rPr>
        <w:t xml:space="preserve">stemming from the </w:t>
      </w:r>
      <w:r w:rsidR="001E2CF0">
        <w:rPr>
          <w:sz w:val="20"/>
          <w:szCs w:val="20"/>
        </w:rPr>
        <w:t>supply-demand imbalanc</w:t>
      </w:r>
      <w:r w:rsidR="00F22344">
        <w:rPr>
          <w:sz w:val="20"/>
          <w:szCs w:val="20"/>
        </w:rPr>
        <w:t>e.</w:t>
      </w:r>
      <w:r w:rsidR="00F22344">
        <w:rPr>
          <w:rStyle w:val="EndnoteReference"/>
          <w:sz w:val="20"/>
          <w:szCs w:val="20"/>
        </w:rPr>
        <w:endnoteReference w:id="6"/>
      </w:r>
      <w:r w:rsidR="004E1326">
        <w:rPr>
          <w:sz w:val="20"/>
          <w:szCs w:val="20"/>
        </w:rPr>
        <w:t xml:space="preserve"> </w:t>
      </w:r>
      <w:r w:rsidR="009556E9">
        <w:rPr>
          <w:sz w:val="20"/>
          <w:szCs w:val="20"/>
        </w:rPr>
        <w:t>Whenever</w:t>
      </w:r>
      <w:r w:rsidR="00BD7D58">
        <w:rPr>
          <w:sz w:val="20"/>
          <w:szCs w:val="20"/>
        </w:rPr>
        <w:t xml:space="preserve"> </w:t>
      </w:r>
      <w:r w:rsidR="009556E9">
        <w:rPr>
          <w:sz w:val="20"/>
          <w:szCs w:val="20"/>
        </w:rPr>
        <w:t>supply</w:t>
      </w:r>
      <w:r w:rsidR="00BD7D58">
        <w:rPr>
          <w:sz w:val="20"/>
          <w:szCs w:val="20"/>
        </w:rPr>
        <w:t>-</w:t>
      </w:r>
      <w:r w:rsidR="009556E9">
        <w:rPr>
          <w:sz w:val="20"/>
          <w:szCs w:val="20"/>
        </w:rPr>
        <w:t>demand imbalance</w:t>
      </w:r>
      <w:r w:rsidR="00BD7D58">
        <w:rPr>
          <w:sz w:val="20"/>
          <w:szCs w:val="20"/>
        </w:rPr>
        <w:t>s</w:t>
      </w:r>
      <w:r w:rsidR="009556E9">
        <w:rPr>
          <w:sz w:val="20"/>
          <w:szCs w:val="20"/>
        </w:rPr>
        <w:t xml:space="preserve"> occur, unit cost</w:t>
      </w:r>
      <w:r w:rsidR="002A7E81">
        <w:rPr>
          <w:sz w:val="20"/>
          <w:szCs w:val="20"/>
        </w:rPr>
        <w:t xml:space="preserve"> </w:t>
      </w:r>
      <w:r w:rsidR="00B43E51" w:rsidRPr="00B43E51">
        <w:rPr>
          <w:b/>
          <w:bCs/>
          <w:sz w:val="20"/>
          <w:szCs w:val="20"/>
          <w:u w:val="single"/>
        </w:rPr>
        <w:t>temporarily</w:t>
      </w:r>
      <w:r w:rsidR="00B43E51">
        <w:rPr>
          <w:sz w:val="20"/>
          <w:szCs w:val="20"/>
        </w:rPr>
        <w:t xml:space="preserve"> </w:t>
      </w:r>
      <w:r w:rsidR="002A7E81">
        <w:rPr>
          <w:sz w:val="20"/>
          <w:szCs w:val="20"/>
        </w:rPr>
        <w:lastRenderedPageBreak/>
        <w:t xml:space="preserve">moves above or below the </w:t>
      </w:r>
      <w:r w:rsidR="004E1326">
        <w:rPr>
          <w:sz w:val="20"/>
          <w:szCs w:val="20"/>
        </w:rPr>
        <w:t xml:space="preserve">LC’s </w:t>
      </w:r>
      <w:r w:rsidR="002A7E81">
        <w:rPr>
          <w:sz w:val="20"/>
          <w:szCs w:val="20"/>
        </w:rPr>
        <w:t>long-term trend line. When supply</w:t>
      </w:r>
      <w:r w:rsidR="00B43E51">
        <w:rPr>
          <w:sz w:val="20"/>
          <w:szCs w:val="20"/>
        </w:rPr>
        <w:t>-</w:t>
      </w:r>
      <w:r w:rsidR="002A7E81">
        <w:rPr>
          <w:sz w:val="20"/>
          <w:szCs w:val="20"/>
        </w:rPr>
        <w:t>demand</w:t>
      </w:r>
      <w:r w:rsidR="00814080">
        <w:rPr>
          <w:sz w:val="20"/>
          <w:szCs w:val="20"/>
        </w:rPr>
        <w:t xml:space="preserve"> comes back in balance, unit cost will move to the other side of the LC </w:t>
      </w:r>
      <w:r w:rsidR="00084244">
        <w:rPr>
          <w:sz w:val="20"/>
          <w:szCs w:val="20"/>
        </w:rPr>
        <w:t>leading to a “mean reversion” back to the long-term trend.</w:t>
      </w:r>
    </w:p>
    <w:p w14:paraId="606467D7" w14:textId="3A646795" w:rsidR="00DF4ADD" w:rsidRDefault="00DF4ADD" w:rsidP="00467D4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While LC are primarily used for predicting unit costs, </w:t>
      </w:r>
      <w:r w:rsidR="0077437D">
        <w:rPr>
          <w:sz w:val="20"/>
          <w:szCs w:val="20"/>
        </w:rPr>
        <w:t>they can also be used to predict other metrics</w:t>
      </w:r>
      <w:r w:rsidR="006874F0">
        <w:rPr>
          <w:sz w:val="20"/>
          <w:szCs w:val="20"/>
        </w:rPr>
        <w:t xml:space="preserve"> such as improvements in performance, reliability, power dissipation, and any other parameters that benefit from the </w:t>
      </w:r>
      <w:r w:rsidR="00201BD9">
        <w:rPr>
          <w:sz w:val="20"/>
          <w:szCs w:val="20"/>
        </w:rPr>
        <w:t xml:space="preserve">experience gained as </w:t>
      </w:r>
      <w:r w:rsidR="006874F0">
        <w:rPr>
          <w:sz w:val="20"/>
          <w:szCs w:val="20"/>
        </w:rPr>
        <w:t xml:space="preserve">cumulative </w:t>
      </w:r>
      <w:r w:rsidR="00D24958">
        <w:rPr>
          <w:sz w:val="20"/>
          <w:szCs w:val="20"/>
        </w:rPr>
        <w:t xml:space="preserve">volume </w:t>
      </w:r>
      <w:r w:rsidR="001E6DE5">
        <w:rPr>
          <w:sz w:val="20"/>
          <w:szCs w:val="20"/>
        </w:rPr>
        <w:t>increases</w:t>
      </w:r>
      <w:r w:rsidR="00D24958">
        <w:rPr>
          <w:sz w:val="20"/>
          <w:szCs w:val="20"/>
        </w:rPr>
        <w:t>.</w:t>
      </w:r>
    </w:p>
    <w:p w14:paraId="7DD2BAD8" w14:textId="1B284747" w:rsidR="00D24958" w:rsidRDefault="00D24958" w:rsidP="00467D49">
      <w:pPr>
        <w:jc w:val="both"/>
        <w:rPr>
          <w:sz w:val="20"/>
          <w:szCs w:val="20"/>
        </w:rPr>
      </w:pPr>
      <w:r>
        <w:rPr>
          <w:sz w:val="20"/>
          <w:szCs w:val="20"/>
        </w:rPr>
        <w:t>LC</w:t>
      </w:r>
      <w:r w:rsidR="001E6DE5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793F38">
        <w:rPr>
          <w:sz w:val="20"/>
          <w:szCs w:val="20"/>
        </w:rPr>
        <w:t xml:space="preserve">are </w:t>
      </w:r>
      <w:r w:rsidR="001E6DE5">
        <w:rPr>
          <w:sz w:val="20"/>
          <w:szCs w:val="20"/>
        </w:rPr>
        <w:t xml:space="preserve">also </w:t>
      </w:r>
      <w:r w:rsidR="00793F38">
        <w:rPr>
          <w:sz w:val="20"/>
          <w:szCs w:val="20"/>
        </w:rPr>
        <w:t xml:space="preserve">useful for predicting “tipping points” for new technology adoption. </w:t>
      </w:r>
      <w:r w:rsidR="00F47643">
        <w:rPr>
          <w:sz w:val="20"/>
          <w:szCs w:val="20"/>
        </w:rPr>
        <w:t>The introduction</w:t>
      </w:r>
      <w:r w:rsidR="00793F38">
        <w:rPr>
          <w:sz w:val="20"/>
          <w:szCs w:val="20"/>
        </w:rPr>
        <w:t xml:space="preserve"> of </w:t>
      </w:r>
      <w:r w:rsidR="00793F38" w:rsidRPr="00F47643">
        <w:rPr>
          <w:b/>
          <w:bCs/>
          <w:sz w:val="20"/>
          <w:szCs w:val="20"/>
        </w:rPr>
        <w:t>compression technology</w:t>
      </w:r>
      <w:r w:rsidR="00793F38">
        <w:rPr>
          <w:sz w:val="20"/>
          <w:szCs w:val="20"/>
        </w:rPr>
        <w:t xml:space="preserve"> </w:t>
      </w:r>
      <w:r w:rsidR="00F47643">
        <w:rPr>
          <w:sz w:val="20"/>
          <w:szCs w:val="20"/>
        </w:rPr>
        <w:t xml:space="preserve">or </w:t>
      </w:r>
      <w:r w:rsidR="00F47643" w:rsidRPr="00F47643">
        <w:rPr>
          <w:b/>
          <w:bCs/>
          <w:sz w:val="20"/>
          <w:szCs w:val="20"/>
        </w:rPr>
        <w:t>embedded deterministic test</w:t>
      </w:r>
      <w:r w:rsidR="001C6999">
        <w:rPr>
          <w:b/>
          <w:bCs/>
          <w:sz w:val="20"/>
          <w:szCs w:val="20"/>
        </w:rPr>
        <w:t>s</w:t>
      </w:r>
      <w:r w:rsidR="00F47643">
        <w:rPr>
          <w:sz w:val="20"/>
          <w:szCs w:val="20"/>
        </w:rPr>
        <w:t xml:space="preserve">, </w:t>
      </w:r>
      <w:r w:rsidR="00793F38">
        <w:rPr>
          <w:sz w:val="20"/>
          <w:szCs w:val="20"/>
        </w:rPr>
        <w:t xml:space="preserve">in the SC test industry in 2001 illustrates </w:t>
      </w:r>
      <w:r w:rsidR="006556CE">
        <w:rPr>
          <w:sz w:val="20"/>
          <w:szCs w:val="20"/>
        </w:rPr>
        <w:t>effect</w:t>
      </w:r>
      <w:r w:rsidR="008A754E">
        <w:rPr>
          <w:sz w:val="20"/>
          <w:szCs w:val="20"/>
        </w:rPr>
        <w:t xml:space="preserve">. </w:t>
      </w:r>
      <w:r w:rsidR="000B4BDB">
        <w:rPr>
          <w:sz w:val="20"/>
          <w:szCs w:val="20"/>
        </w:rPr>
        <w:t>If compression technology</w:t>
      </w:r>
      <w:r w:rsidR="001C6999">
        <w:rPr>
          <w:sz w:val="20"/>
          <w:szCs w:val="20"/>
        </w:rPr>
        <w:t xml:space="preserve"> </w:t>
      </w:r>
      <w:r w:rsidR="000B4BDB">
        <w:rPr>
          <w:sz w:val="20"/>
          <w:szCs w:val="20"/>
        </w:rPr>
        <w:t xml:space="preserve">had never been introduced the </w:t>
      </w:r>
      <w:r w:rsidR="00F22925">
        <w:rPr>
          <w:sz w:val="20"/>
          <w:szCs w:val="20"/>
        </w:rPr>
        <w:t xml:space="preserve">automated testing equipment (ATE) LC would have eventually intersected the </w:t>
      </w:r>
      <w:r w:rsidR="006556CE">
        <w:rPr>
          <w:sz w:val="20"/>
          <w:szCs w:val="20"/>
        </w:rPr>
        <w:t>TLC</w:t>
      </w:r>
      <w:r w:rsidR="00F22925">
        <w:rPr>
          <w:sz w:val="20"/>
          <w:szCs w:val="20"/>
        </w:rPr>
        <w:t xml:space="preserve">. </w:t>
      </w:r>
      <w:r w:rsidR="00735B92">
        <w:rPr>
          <w:sz w:val="20"/>
          <w:szCs w:val="20"/>
        </w:rPr>
        <w:t>If this had happened, economically it would have meant that it would cost more to test a transistor than to manufacture it.</w:t>
      </w:r>
      <w:r w:rsidR="00261273">
        <w:rPr>
          <w:sz w:val="20"/>
          <w:szCs w:val="20"/>
        </w:rPr>
        <w:t xml:space="preserve"> However, with compression technology</w:t>
      </w:r>
      <w:r w:rsidR="00D954D4">
        <w:rPr>
          <w:sz w:val="20"/>
          <w:szCs w:val="20"/>
        </w:rPr>
        <w:t>,</w:t>
      </w:r>
      <w:r w:rsidR="00261273">
        <w:rPr>
          <w:sz w:val="20"/>
          <w:szCs w:val="20"/>
        </w:rPr>
        <w:t xml:space="preserve"> the </w:t>
      </w:r>
      <w:r w:rsidR="00C915B6">
        <w:rPr>
          <w:sz w:val="20"/>
          <w:szCs w:val="20"/>
        </w:rPr>
        <w:t xml:space="preserve">ATE </w:t>
      </w:r>
      <w:r w:rsidR="00D954D4">
        <w:rPr>
          <w:sz w:val="20"/>
          <w:szCs w:val="20"/>
        </w:rPr>
        <w:t xml:space="preserve">LC </w:t>
      </w:r>
      <w:r w:rsidR="00C915B6">
        <w:rPr>
          <w:sz w:val="20"/>
          <w:szCs w:val="20"/>
        </w:rPr>
        <w:t xml:space="preserve">steepened </w:t>
      </w:r>
      <w:r w:rsidR="00E776BA">
        <w:rPr>
          <w:sz w:val="20"/>
          <w:szCs w:val="20"/>
        </w:rPr>
        <w:t>and over</w:t>
      </w:r>
      <w:r w:rsidR="00D954D4">
        <w:rPr>
          <w:sz w:val="20"/>
          <w:szCs w:val="20"/>
        </w:rPr>
        <w:t xml:space="preserve"> </w:t>
      </w:r>
      <w:r w:rsidR="00E776BA">
        <w:rPr>
          <w:sz w:val="20"/>
          <w:szCs w:val="20"/>
        </w:rPr>
        <w:t>time</w:t>
      </w:r>
      <w:r w:rsidR="0028011D">
        <w:rPr>
          <w:sz w:val="20"/>
          <w:szCs w:val="20"/>
        </w:rPr>
        <w:t xml:space="preserve"> made the eventual intersection of ATE</w:t>
      </w:r>
      <w:r w:rsidR="00685F10">
        <w:rPr>
          <w:sz w:val="20"/>
          <w:szCs w:val="20"/>
        </w:rPr>
        <w:t>-LC</w:t>
      </w:r>
      <w:r w:rsidR="0028011D">
        <w:rPr>
          <w:sz w:val="20"/>
          <w:szCs w:val="20"/>
        </w:rPr>
        <w:t xml:space="preserve"> and </w:t>
      </w:r>
      <w:r w:rsidR="00685F10">
        <w:rPr>
          <w:sz w:val="20"/>
          <w:szCs w:val="20"/>
        </w:rPr>
        <w:t>T</w:t>
      </w:r>
      <w:r w:rsidR="0028011D">
        <w:rPr>
          <w:sz w:val="20"/>
          <w:szCs w:val="20"/>
        </w:rPr>
        <w:t>LC unlikely.</w:t>
      </w:r>
      <w:r w:rsidR="00047964">
        <w:rPr>
          <w:sz w:val="20"/>
          <w:szCs w:val="20"/>
        </w:rPr>
        <w:t xml:space="preserve"> Note that </w:t>
      </w:r>
      <w:r w:rsidR="00FF2CAF">
        <w:rPr>
          <w:sz w:val="20"/>
          <w:szCs w:val="20"/>
        </w:rPr>
        <w:t>the steepening of the ATE</w:t>
      </w:r>
      <w:r w:rsidR="00AB57CF">
        <w:rPr>
          <w:sz w:val="20"/>
          <w:szCs w:val="20"/>
        </w:rPr>
        <w:t>-</w:t>
      </w:r>
      <w:r w:rsidR="00FF2CAF">
        <w:rPr>
          <w:sz w:val="20"/>
          <w:szCs w:val="20"/>
        </w:rPr>
        <w:t xml:space="preserve">LC reduced the cost </w:t>
      </w:r>
      <w:r w:rsidR="00AB57CF">
        <w:rPr>
          <w:sz w:val="20"/>
          <w:szCs w:val="20"/>
        </w:rPr>
        <w:t>for</w:t>
      </w:r>
      <w:r w:rsidR="00FF2CAF">
        <w:rPr>
          <w:sz w:val="20"/>
          <w:szCs w:val="20"/>
        </w:rPr>
        <w:t xml:space="preserve"> customers buying </w:t>
      </w:r>
      <w:r w:rsidR="00534B81">
        <w:rPr>
          <w:sz w:val="20"/>
          <w:szCs w:val="20"/>
        </w:rPr>
        <w:t>transistors</w:t>
      </w:r>
      <w:r w:rsidR="00FF2CAF">
        <w:rPr>
          <w:sz w:val="20"/>
          <w:szCs w:val="20"/>
        </w:rPr>
        <w:t xml:space="preserve"> and at the same time reduced the revenue earned by </w:t>
      </w:r>
      <w:r w:rsidR="00AF6813">
        <w:rPr>
          <w:sz w:val="20"/>
          <w:szCs w:val="20"/>
        </w:rPr>
        <w:t>the ATE industry.</w:t>
      </w:r>
      <w:r w:rsidR="00AA42C3">
        <w:rPr>
          <w:rStyle w:val="EndnoteReference"/>
          <w:sz w:val="20"/>
          <w:szCs w:val="20"/>
        </w:rPr>
        <w:endnoteReference w:id="7"/>
      </w:r>
    </w:p>
    <w:p w14:paraId="1A38C002" w14:textId="2B4FD5B3" w:rsidR="00065FC5" w:rsidRDefault="00065FC5" w:rsidP="00065FC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Questions</w:t>
      </w:r>
    </w:p>
    <w:p w14:paraId="69392075" w14:textId="1C92A60B" w:rsidR="00065FC5" w:rsidRPr="00065FC5" w:rsidRDefault="00065FC5" w:rsidP="00065FC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do</w:t>
      </w:r>
      <w:r w:rsidR="005D19F7">
        <w:rPr>
          <w:sz w:val="20"/>
          <w:szCs w:val="20"/>
        </w:rPr>
        <w:t xml:space="preserve"> LCs behave in relation to product complexity</w:t>
      </w:r>
      <w:r w:rsidR="00AF3E39">
        <w:rPr>
          <w:sz w:val="20"/>
          <w:szCs w:val="20"/>
        </w:rPr>
        <w:t xml:space="preserve"> – </w:t>
      </w:r>
      <w:r w:rsidR="005D19F7">
        <w:rPr>
          <w:sz w:val="20"/>
          <w:szCs w:val="20"/>
        </w:rPr>
        <w:t>transistors, toasters, cars, and airplanes</w:t>
      </w:r>
      <w:r w:rsidR="00AF3E39">
        <w:rPr>
          <w:sz w:val="20"/>
          <w:szCs w:val="20"/>
        </w:rPr>
        <w:t>?</w:t>
      </w:r>
    </w:p>
    <w:sectPr w:rsidR="00065FC5" w:rsidRPr="00065FC5" w:rsidSect="004F5C02">
      <w:endnotePr>
        <w:numFmt w:val="decimal"/>
      </w:endnotePr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E021" w14:textId="77777777" w:rsidR="00A3627C" w:rsidRDefault="00A3627C" w:rsidP="0068340D">
      <w:pPr>
        <w:spacing w:after="0" w:line="240" w:lineRule="auto"/>
      </w:pPr>
      <w:r>
        <w:separator/>
      </w:r>
    </w:p>
  </w:endnote>
  <w:endnote w:type="continuationSeparator" w:id="0">
    <w:p w14:paraId="415A3287" w14:textId="77777777" w:rsidR="00A3627C" w:rsidRDefault="00A3627C" w:rsidP="0068340D">
      <w:pPr>
        <w:spacing w:after="0" w:line="240" w:lineRule="auto"/>
      </w:pPr>
      <w:r>
        <w:continuationSeparator/>
      </w:r>
    </w:p>
  </w:endnote>
  <w:endnote w:id="1">
    <w:p w14:paraId="09FF3F3A" w14:textId="730E14BD" w:rsidR="00DA2678" w:rsidRDefault="00DA2678" w:rsidP="00DA2678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</w:t>
      </w:r>
      <w:r>
        <w:tab/>
      </w:r>
      <w:r w:rsidR="00A637E1">
        <w:t xml:space="preserve">Does swapping revenue with cost per transistor require </w:t>
      </w:r>
      <w:r w:rsidR="00B22B64">
        <w:t xml:space="preserve">assumptions about </w:t>
      </w:r>
      <w:r w:rsidR="00430169">
        <w:t xml:space="preserve">transistor </w:t>
      </w:r>
      <w:r w:rsidR="00B22B64">
        <w:t>variation margins</w:t>
      </w:r>
      <w:r w:rsidR="00430169">
        <w:t>?</w:t>
      </w:r>
    </w:p>
  </w:endnote>
  <w:endnote w:id="2">
    <w:p w14:paraId="5E77B50C" w14:textId="63FE2781" w:rsidR="00742A80" w:rsidRDefault="00742A80" w:rsidP="00742A80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</w:t>
      </w:r>
      <w:r>
        <w:tab/>
      </w:r>
      <w:r w:rsidR="003D4639">
        <w:t xml:space="preserve">See </w:t>
      </w:r>
      <w:r>
        <w:t>BCG</w:t>
      </w:r>
      <w:r w:rsidR="0013056E">
        <w:t xml:space="preserve"> report “Perspectives on Experience”</w:t>
      </w:r>
      <w:r w:rsidR="003D4639">
        <w:t>.</w:t>
      </w:r>
    </w:p>
  </w:endnote>
  <w:endnote w:id="3">
    <w:p w14:paraId="581FBF78" w14:textId="77777777" w:rsidR="00A13EA8" w:rsidRDefault="00A13EA8" w:rsidP="00A13EA8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</w:t>
      </w:r>
      <w:r>
        <w:tab/>
        <w:t>How does time factor into an LC?</w:t>
      </w:r>
    </w:p>
  </w:endnote>
  <w:endnote w:id="4">
    <w:p w14:paraId="4CBD8015" w14:textId="715969A9" w:rsidR="00DC51E8" w:rsidRDefault="00DC51E8" w:rsidP="005C6F22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</w:t>
      </w:r>
      <w:r w:rsidR="005C6F22">
        <w:tab/>
      </w:r>
      <w:r w:rsidR="009B6D0F">
        <w:t xml:space="preserve">Fully understand the visualization and underlying mathematics of </w:t>
      </w:r>
      <w:r w:rsidR="00533EC9">
        <w:t>LCs</w:t>
      </w:r>
      <w:r w:rsidR="008F2D53">
        <w:t xml:space="preserve"> in terms of position on the LC, varying </w:t>
      </w:r>
      <w:r w:rsidR="001D175D">
        <w:t>slope,</w:t>
      </w:r>
      <w:r w:rsidR="005C6F22">
        <w:t xml:space="preserve"> and vertical shifts.</w:t>
      </w:r>
    </w:p>
  </w:endnote>
  <w:endnote w:id="5">
    <w:p w14:paraId="3B1DD708" w14:textId="1B1EF8EE" w:rsidR="00CC7723" w:rsidRDefault="001D175D" w:rsidP="00CC7723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</w:t>
      </w:r>
      <w:r>
        <w:tab/>
        <w:t>W</w:t>
      </w:r>
      <w:r w:rsidR="005F05E9">
        <w:t xml:space="preserve">hat scenarios would result in this </w:t>
      </w:r>
      <w:r w:rsidR="005A7E92">
        <w:t>statement</w:t>
      </w:r>
      <w:r w:rsidR="005F05E9">
        <w:t xml:space="preserve"> being violated? Can violation of the </w:t>
      </w:r>
      <w:r w:rsidR="005A7E92">
        <w:t xml:space="preserve">statement </w:t>
      </w:r>
      <w:r w:rsidR="005F05E9">
        <w:t>be modeled and correlated</w:t>
      </w:r>
      <w:r w:rsidR="005A7E92">
        <w:t xml:space="preserve"> back to what aspects of business and engineering would </w:t>
      </w:r>
      <w:r w:rsidR="00C00A46">
        <w:t>cause the violation?</w:t>
      </w:r>
    </w:p>
  </w:endnote>
  <w:endnote w:id="6">
    <w:p w14:paraId="4296CEA6" w14:textId="4E044098" w:rsidR="00F22344" w:rsidRDefault="00652F0C" w:rsidP="000D17F9">
      <w:pPr>
        <w:pStyle w:val="EndnoteText"/>
        <w:ind w:left="360" w:hanging="360"/>
      </w:pPr>
      <w:r>
        <w:rPr>
          <w:rStyle w:val="EndnoteReference"/>
        </w:rPr>
        <w:endnoteRef/>
      </w:r>
      <w:r w:rsidR="00F22344">
        <w:t xml:space="preserve"> </w:t>
      </w:r>
      <w:r w:rsidR="000D17F9">
        <w:tab/>
      </w:r>
      <w:r w:rsidR="00F22344">
        <w:t xml:space="preserve">What are other </w:t>
      </w:r>
      <w:r>
        <w:t>causes for non-monotonic moves in LCs?</w:t>
      </w:r>
    </w:p>
  </w:endnote>
  <w:endnote w:id="7">
    <w:p w14:paraId="734339B8" w14:textId="370BCCF5" w:rsidR="00AA42C3" w:rsidRDefault="00AA42C3" w:rsidP="00616214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</w:t>
      </w:r>
      <w:r w:rsidR="00616214">
        <w:tab/>
      </w:r>
      <w:r>
        <w:t xml:space="preserve">This last point is </w:t>
      </w:r>
      <w:r w:rsidR="00616214">
        <w:t>a bit tricky to understanding. Think about it more.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6508" w14:textId="77777777" w:rsidR="00A3627C" w:rsidRDefault="00A3627C" w:rsidP="0068340D">
      <w:pPr>
        <w:spacing w:after="0" w:line="240" w:lineRule="auto"/>
      </w:pPr>
      <w:r>
        <w:separator/>
      </w:r>
    </w:p>
  </w:footnote>
  <w:footnote w:type="continuationSeparator" w:id="0">
    <w:p w14:paraId="4D01B251" w14:textId="77777777" w:rsidR="00A3627C" w:rsidRDefault="00A3627C" w:rsidP="00683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495"/>
    <w:multiLevelType w:val="hybridMultilevel"/>
    <w:tmpl w:val="DE6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43AC"/>
    <w:multiLevelType w:val="hybridMultilevel"/>
    <w:tmpl w:val="CEB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0A98"/>
    <w:multiLevelType w:val="hybridMultilevel"/>
    <w:tmpl w:val="39F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009E7"/>
    <w:multiLevelType w:val="hybridMultilevel"/>
    <w:tmpl w:val="47F627BC"/>
    <w:lvl w:ilvl="0" w:tplc="0409000D">
      <w:start w:val="1"/>
      <w:numFmt w:val="bullet"/>
      <w:lvlText w:val=""/>
      <w:lvlJc w:val="left"/>
      <w:pPr>
        <w:ind w:left="14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" w15:restartNumberingAfterBreak="0">
    <w:nsid w:val="38BE0471"/>
    <w:multiLevelType w:val="hybridMultilevel"/>
    <w:tmpl w:val="39282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1A19"/>
    <w:multiLevelType w:val="hybridMultilevel"/>
    <w:tmpl w:val="CB02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F1E12"/>
    <w:multiLevelType w:val="hybridMultilevel"/>
    <w:tmpl w:val="E6AE4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6E52"/>
    <w:multiLevelType w:val="hybridMultilevel"/>
    <w:tmpl w:val="2A94DDC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237374598">
    <w:abstractNumId w:val="2"/>
  </w:num>
  <w:num w:numId="2" w16cid:durableId="1980761585">
    <w:abstractNumId w:val="1"/>
  </w:num>
  <w:num w:numId="3" w16cid:durableId="224535329">
    <w:abstractNumId w:val="6"/>
  </w:num>
  <w:num w:numId="4" w16cid:durableId="2002999184">
    <w:abstractNumId w:val="0"/>
  </w:num>
  <w:num w:numId="5" w16cid:durableId="922491516">
    <w:abstractNumId w:val="5"/>
  </w:num>
  <w:num w:numId="6" w16cid:durableId="1981615019">
    <w:abstractNumId w:val="7"/>
  </w:num>
  <w:num w:numId="7" w16cid:durableId="1872106051">
    <w:abstractNumId w:val="3"/>
  </w:num>
  <w:num w:numId="8" w16cid:durableId="1266571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1E"/>
    <w:rsid w:val="000011C1"/>
    <w:rsid w:val="00034AC9"/>
    <w:rsid w:val="000413D9"/>
    <w:rsid w:val="00047964"/>
    <w:rsid w:val="00065FC5"/>
    <w:rsid w:val="00070800"/>
    <w:rsid w:val="00070B4B"/>
    <w:rsid w:val="000800B0"/>
    <w:rsid w:val="00084244"/>
    <w:rsid w:val="00086990"/>
    <w:rsid w:val="00090B12"/>
    <w:rsid w:val="00096FFB"/>
    <w:rsid w:val="000A0E98"/>
    <w:rsid w:val="000A3678"/>
    <w:rsid w:val="000A3F53"/>
    <w:rsid w:val="000B4BDB"/>
    <w:rsid w:val="000C04A9"/>
    <w:rsid w:val="000C32A6"/>
    <w:rsid w:val="000C412E"/>
    <w:rsid w:val="000D0F53"/>
    <w:rsid w:val="000D17F9"/>
    <w:rsid w:val="000D2E0A"/>
    <w:rsid w:val="000D7DFC"/>
    <w:rsid w:val="000E2F08"/>
    <w:rsid w:val="000F5D33"/>
    <w:rsid w:val="000F7525"/>
    <w:rsid w:val="000F7EA0"/>
    <w:rsid w:val="0013056E"/>
    <w:rsid w:val="001308F8"/>
    <w:rsid w:val="001327CC"/>
    <w:rsid w:val="00135533"/>
    <w:rsid w:val="00142F7E"/>
    <w:rsid w:val="00161E9B"/>
    <w:rsid w:val="00170BBA"/>
    <w:rsid w:val="0017750F"/>
    <w:rsid w:val="00186AB9"/>
    <w:rsid w:val="00196C4B"/>
    <w:rsid w:val="001B44FC"/>
    <w:rsid w:val="001B50A7"/>
    <w:rsid w:val="001C02B8"/>
    <w:rsid w:val="001C10CF"/>
    <w:rsid w:val="001C6999"/>
    <w:rsid w:val="001D175D"/>
    <w:rsid w:val="001E2CF0"/>
    <w:rsid w:val="001E4571"/>
    <w:rsid w:val="001E617F"/>
    <w:rsid w:val="001E6DE5"/>
    <w:rsid w:val="001F071C"/>
    <w:rsid w:val="001F4FDF"/>
    <w:rsid w:val="002018A1"/>
    <w:rsid w:val="00201BD9"/>
    <w:rsid w:val="002101B3"/>
    <w:rsid w:val="0021088B"/>
    <w:rsid w:val="002109CE"/>
    <w:rsid w:val="0021109A"/>
    <w:rsid w:val="00212C88"/>
    <w:rsid w:val="0021753A"/>
    <w:rsid w:val="002333E4"/>
    <w:rsid w:val="00237614"/>
    <w:rsid w:val="002419A1"/>
    <w:rsid w:val="00242FB2"/>
    <w:rsid w:val="00243003"/>
    <w:rsid w:val="00246BD1"/>
    <w:rsid w:val="002567EB"/>
    <w:rsid w:val="00261273"/>
    <w:rsid w:val="0026296C"/>
    <w:rsid w:val="002638AD"/>
    <w:rsid w:val="00267547"/>
    <w:rsid w:val="002771E9"/>
    <w:rsid w:val="0028011D"/>
    <w:rsid w:val="002862C4"/>
    <w:rsid w:val="00290E47"/>
    <w:rsid w:val="002912E8"/>
    <w:rsid w:val="00293491"/>
    <w:rsid w:val="00297FA6"/>
    <w:rsid w:val="002A2619"/>
    <w:rsid w:val="002A3712"/>
    <w:rsid w:val="002A412B"/>
    <w:rsid w:val="002A6C48"/>
    <w:rsid w:val="002A75B1"/>
    <w:rsid w:val="002A7E81"/>
    <w:rsid w:val="002B7FC5"/>
    <w:rsid w:val="002D00F3"/>
    <w:rsid w:val="002D3AE8"/>
    <w:rsid w:val="002D77D0"/>
    <w:rsid w:val="002E4D2F"/>
    <w:rsid w:val="002F1769"/>
    <w:rsid w:val="002F5227"/>
    <w:rsid w:val="002F5E7E"/>
    <w:rsid w:val="003007F3"/>
    <w:rsid w:val="003016C8"/>
    <w:rsid w:val="003035D3"/>
    <w:rsid w:val="00303F35"/>
    <w:rsid w:val="0031036A"/>
    <w:rsid w:val="00317A0E"/>
    <w:rsid w:val="003228E4"/>
    <w:rsid w:val="00326178"/>
    <w:rsid w:val="00326966"/>
    <w:rsid w:val="00351B26"/>
    <w:rsid w:val="003549EE"/>
    <w:rsid w:val="003559DA"/>
    <w:rsid w:val="00362921"/>
    <w:rsid w:val="003663E2"/>
    <w:rsid w:val="003709E2"/>
    <w:rsid w:val="00373D15"/>
    <w:rsid w:val="00374885"/>
    <w:rsid w:val="003778E7"/>
    <w:rsid w:val="0038053D"/>
    <w:rsid w:val="003858F3"/>
    <w:rsid w:val="0039008D"/>
    <w:rsid w:val="00391631"/>
    <w:rsid w:val="003A1388"/>
    <w:rsid w:val="003A558F"/>
    <w:rsid w:val="003A57E7"/>
    <w:rsid w:val="003A7428"/>
    <w:rsid w:val="003B3DE6"/>
    <w:rsid w:val="003B41AF"/>
    <w:rsid w:val="003C0AFF"/>
    <w:rsid w:val="003C2F8A"/>
    <w:rsid w:val="003D2811"/>
    <w:rsid w:val="003D3A03"/>
    <w:rsid w:val="003D4639"/>
    <w:rsid w:val="003F6055"/>
    <w:rsid w:val="00401031"/>
    <w:rsid w:val="00416677"/>
    <w:rsid w:val="004170CB"/>
    <w:rsid w:val="00424156"/>
    <w:rsid w:val="0042612B"/>
    <w:rsid w:val="004264E9"/>
    <w:rsid w:val="00430169"/>
    <w:rsid w:val="00440728"/>
    <w:rsid w:val="0044119D"/>
    <w:rsid w:val="00441394"/>
    <w:rsid w:val="004514C8"/>
    <w:rsid w:val="00451ADF"/>
    <w:rsid w:val="00460F06"/>
    <w:rsid w:val="004637EB"/>
    <w:rsid w:val="00467D49"/>
    <w:rsid w:val="0047058C"/>
    <w:rsid w:val="00474024"/>
    <w:rsid w:val="004743B5"/>
    <w:rsid w:val="00480720"/>
    <w:rsid w:val="00495899"/>
    <w:rsid w:val="004A51FB"/>
    <w:rsid w:val="004A52A6"/>
    <w:rsid w:val="004A5D4C"/>
    <w:rsid w:val="004C0F84"/>
    <w:rsid w:val="004C1E14"/>
    <w:rsid w:val="004C5C8E"/>
    <w:rsid w:val="004D401A"/>
    <w:rsid w:val="004E1066"/>
    <w:rsid w:val="004E1326"/>
    <w:rsid w:val="004E167F"/>
    <w:rsid w:val="004E51CC"/>
    <w:rsid w:val="004F2809"/>
    <w:rsid w:val="004F5C02"/>
    <w:rsid w:val="004F7BB2"/>
    <w:rsid w:val="005245C0"/>
    <w:rsid w:val="0053227E"/>
    <w:rsid w:val="00532B4D"/>
    <w:rsid w:val="00533EC9"/>
    <w:rsid w:val="00534B81"/>
    <w:rsid w:val="00543605"/>
    <w:rsid w:val="005500B3"/>
    <w:rsid w:val="0056002F"/>
    <w:rsid w:val="00566FEE"/>
    <w:rsid w:val="0057598A"/>
    <w:rsid w:val="00576A28"/>
    <w:rsid w:val="0058142B"/>
    <w:rsid w:val="005833FD"/>
    <w:rsid w:val="005965EE"/>
    <w:rsid w:val="005A0408"/>
    <w:rsid w:val="005A1CF2"/>
    <w:rsid w:val="005A7E92"/>
    <w:rsid w:val="005B600D"/>
    <w:rsid w:val="005C5978"/>
    <w:rsid w:val="005C6F22"/>
    <w:rsid w:val="005D19F7"/>
    <w:rsid w:val="005D4733"/>
    <w:rsid w:val="005D6997"/>
    <w:rsid w:val="005D6CA6"/>
    <w:rsid w:val="005D7802"/>
    <w:rsid w:val="005E7054"/>
    <w:rsid w:val="005F05E9"/>
    <w:rsid w:val="006113F2"/>
    <w:rsid w:val="00611C4C"/>
    <w:rsid w:val="0061240A"/>
    <w:rsid w:val="0061495A"/>
    <w:rsid w:val="00616214"/>
    <w:rsid w:val="00623349"/>
    <w:rsid w:val="00625B46"/>
    <w:rsid w:val="0063005F"/>
    <w:rsid w:val="006360FD"/>
    <w:rsid w:val="0064061B"/>
    <w:rsid w:val="006435D8"/>
    <w:rsid w:val="00644777"/>
    <w:rsid w:val="006457BA"/>
    <w:rsid w:val="006466D3"/>
    <w:rsid w:val="00647EEC"/>
    <w:rsid w:val="00652F0C"/>
    <w:rsid w:val="0065436E"/>
    <w:rsid w:val="006556CE"/>
    <w:rsid w:val="00657D2F"/>
    <w:rsid w:val="006621EA"/>
    <w:rsid w:val="00664C45"/>
    <w:rsid w:val="00664C58"/>
    <w:rsid w:val="00671D7E"/>
    <w:rsid w:val="00682C96"/>
    <w:rsid w:val="00683354"/>
    <w:rsid w:val="0068340D"/>
    <w:rsid w:val="00683F40"/>
    <w:rsid w:val="00685F10"/>
    <w:rsid w:val="006874F0"/>
    <w:rsid w:val="0069697C"/>
    <w:rsid w:val="006A303E"/>
    <w:rsid w:val="006A671E"/>
    <w:rsid w:val="006A6887"/>
    <w:rsid w:val="006A6D43"/>
    <w:rsid w:val="006B083B"/>
    <w:rsid w:val="006C18DD"/>
    <w:rsid w:val="006C2BD1"/>
    <w:rsid w:val="006C2D46"/>
    <w:rsid w:val="006C4618"/>
    <w:rsid w:val="006D31B1"/>
    <w:rsid w:val="006F40C6"/>
    <w:rsid w:val="006F7910"/>
    <w:rsid w:val="00702F1E"/>
    <w:rsid w:val="007056F3"/>
    <w:rsid w:val="00712B0E"/>
    <w:rsid w:val="0071326E"/>
    <w:rsid w:val="00720FA2"/>
    <w:rsid w:val="00732378"/>
    <w:rsid w:val="00735B92"/>
    <w:rsid w:val="00740FB4"/>
    <w:rsid w:val="00742A80"/>
    <w:rsid w:val="00744E7E"/>
    <w:rsid w:val="00746621"/>
    <w:rsid w:val="00751FE1"/>
    <w:rsid w:val="00757517"/>
    <w:rsid w:val="007627D8"/>
    <w:rsid w:val="007630C6"/>
    <w:rsid w:val="00766012"/>
    <w:rsid w:val="00766297"/>
    <w:rsid w:val="0077437D"/>
    <w:rsid w:val="00775054"/>
    <w:rsid w:val="00780B10"/>
    <w:rsid w:val="00793B11"/>
    <w:rsid w:val="00793F38"/>
    <w:rsid w:val="00794F44"/>
    <w:rsid w:val="00797E54"/>
    <w:rsid w:val="007A0D88"/>
    <w:rsid w:val="007C0AE4"/>
    <w:rsid w:val="007C3BEB"/>
    <w:rsid w:val="007C7AA7"/>
    <w:rsid w:val="007D36BD"/>
    <w:rsid w:val="007D4A3B"/>
    <w:rsid w:val="007E19F8"/>
    <w:rsid w:val="007E24AC"/>
    <w:rsid w:val="007E4E4D"/>
    <w:rsid w:val="00800E72"/>
    <w:rsid w:val="00800F7A"/>
    <w:rsid w:val="00810048"/>
    <w:rsid w:val="00814080"/>
    <w:rsid w:val="00827550"/>
    <w:rsid w:val="0082775A"/>
    <w:rsid w:val="00830278"/>
    <w:rsid w:val="00844013"/>
    <w:rsid w:val="00865330"/>
    <w:rsid w:val="008673E1"/>
    <w:rsid w:val="00870AB2"/>
    <w:rsid w:val="00876C4A"/>
    <w:rsid w:val="00881294"/>
    <w:rsid w:val="008829D9"/>
    <w:rsid w:val="0088758E"/>
    <w:rsid w:val="008912B6"/>
    <w:rsid w:val="008923F9"/>
    <w:rsid w:val="00892829"/>
    <w:rsid w:val="008977C9"/>
    <w:rsid w:val="00897FC3"/>
    <w:rsid w:val="008A0C6C"/>
    <w:rsid w:val="008A0FA5"/>
    <w:rsid w:val="008A754E"/>
    <w:rsid w:val="008B69D7"/>
    <w:rsid w:val="008C0419"/>
    <w:rsid w:val="008C7FB9"/>
    <w:rsid w:val="008D0319"/>
    <w:rsid w:val="008D05B9"/>
    <w:rsid w:val="008E0D63"/>
    <w:rsid w:val="008E29C4"/>
    <w:rsid w:val="008F050E"/>
    <w:rsid w:val="008F2D53"/>
    <w:rsid w:val="00921FFF"/>
    <w:rsid w:val="00922967"/>
    <w:rsid w:val="009252F0"/>
    <w:rsid w:val="009334C2"/>
    <w:rsid w:val="00941C58"/>
    <w:rsid w:val="0094251F"/>
    <w:rsid w:val="00942DBB"/>
    <w:rsid w:val="00946136"/>
    <w:rsid w:val="00947867"/>
    <w:rsid w:val="00954E4E"/>
    <w:rsid w:val="009556E9"/>
    <w:rsid w:val="00961CE7"/>
    <w:rsid w:val="00971516"/>
    <w:rsid w:val="00971CC9"/>
    <w:rsid w:val="00973546"/>
    <w:rsid w:val="00973AC4"/>
    <w:rsid w:val="009A37D3"/>
    <w:rsid w:val="009A3F11"/>
    <w:rsid w:val="009A5ABC"/>
    <w:rsid w:val="009B6D0F"/>
    <w:rsid w:val="009C2F5E"/>
    <w:rsid w:val="009C72C4"/>
    <w:rsid w:val="009D1387"/>
    <w:rsid w:val="009E09E1"/>
    <w:rsid w:val="009F2E40"/>
    <w:rsid w:val="009F5A78"/>
    <w:rsid w:val="009F6219"/>
    <w:rsid w:val="009F7D3D"/>
    <w:rsid w:val="00A07036"/>
    <w:rsid w:val="00A0708C"/>
    <w:rsid w:val="00A07608"/>
    <w:rsid w:val="00A12D67"/>
    <w:rsid w:val="00A13D20"/>
    <w:rsid w:val="00A13EA8"/>
    <w:rsid w:val="00A2093D"/>
    <w:rsid w:val="00A3627C"/>
    <w:rsid w:val="00A36725"/>
    <w:rsid w:val="00A41CA7"/>
    <w:rsid w:val="00A45BF4"/>
    <w:rsid w:val="00A468C6"/>
    <w:rsid w:val="00A5507A"/>
    <w:rsid w:val="00A55D3D"/>
    <w:rsid w:val="00A56D29"/>
    <w:rsid w:val="00A63468"/>
    <w:rsid w:val="00A637E1"/>
    <w:rsid w:val="00A64AAB"/>
    <w:rsid w:val="00A75471"/>
    <w:rsid w:val="00A86447"/>
    <w:rsid w:val="00A9547B"/>
    <w:rsid w:val="00A95785"/>
    <w:rsid w:val="00A96747"/>
    <w:rsid w:val="00AA42C3"/>
    <w:rsid w:val="00AB2D88"/>
    <w:rsid w:val="00AB57CF"/>
    <w:rsid w:val="00AC225C"/>
    <w:rsid w:val="00AD0E3B"/>
    <w:rsid w:val="00AD1B0F"/>
    <w:rsid w:val="00AD5D79"/>
    <w:rsid w:val="00AD7C55"/>
    <w:rsid w:val="00AD7CBB"/>
    <w:rsid w:val="00AE18AB"/>
    <w:rsid w:val="00AE1A58"/>
    <w:rsid w:val="00AE5007"/>
    <w:rsid w:val="00AF2476"/>
    <w:rsid w:val="00AF3E39"/>
    <w:rsid w:val="00AF6813"/>
    <w:rsid w:val="00AF7EB3"/>
    <w:rsid w:val="00B007AB"/>
    <w:rsid w:val="00B0363D"/>
    <w:rsid w:val="00B045C1"/>
    <w:rsid w:val="00B04DEE"/>
    <w:rsid w:val="00B0617A"/>
    <w:rsid w:val="00B069D1"/>
    <w:rsid w:val="00B110B8"/>
    <w:rsid w:val="00B155F8"/>
    <w:rsid w:val="00B2267A"/>
    <w:rsid w:val="00B2291C"/>
    <w:rsid w:val="00B22B64"/>
    <w:rsid w:val="00B30AC7"/>
    <w:rsid w:val="00B43E51"/>
    <w:rsid w:val="00B55AEE"/>
    <w:rsid w:val="00B6376D"/>
    <w:rsid w:val="00B65425"/>
    <w:rsid w:val="00B661A0"/>
    <w:rsid w:val="00B726BC"/>
    <w:rsid w:val="00B77A03"/>
    <w:rsid w:val="00B81872"/>
    <w:rsid w:val="00B8232C"/>
    <w:rsid w:val="00B82FE2"/>
    <w:rsid w:val="00B85EC5"/>
    <w:rsid w:val="00B9184C"/>
    <w:rsid w:val="00B9519C"/>
    <w:rsid w:val="00BA597C"/>
    <w:rsid w:val="00BB1F05"/>
    <w:rsid w:val="00BB3383"/>
    <w:rsid w:val="00BB4593"/>
    <w:rsid w:val="00BC4100"/>
    <w:rsid w:val="00BC4B86"/>
    <w:rsid w:val="00BC5694"/>
    <w:rsid w:val="00BD6041"/>
    <w:rsid w:val="00BD7D58"/>
    <w:rsid w:val="00BE48A7"/>
    <w:rsid w:val="00BE650E"/>
    <w:rsid w:val="00BE7919"/>
    <w:rsid w:val="00BF1093"/>
    <w:rsid w:val="00BF4B1B"/>
    <w:rsid w:val="00C00A46"/>
    <w:rsid w:val="00C0497D"/>
    <w:rsid w:val="00C103A6"/>
    <w:rsid w:val="00C15DB8"/>
    <w:rsid w:val="00C24009"/>
    <w:rsid w:val="00C272B1"/>
    <w:rsid w:val="00C422D1"/>
    <w:rsid w:val="00C4471A"/>
    <w:rsid w:val="00C52B8C"/>
    <w:rsid w:val="00C65AF8"/>
    <w:rsid w:val="00C6600D"/>
    <w:rsid w:val="00C76F98"/>
    <w:rsid w:val="00C83CE7"/>
    <w:rsid w:val="00C915B6"/>
    <w:rsid w:val="00C921A4"/>
    <w:rsid w:val="00C94D22"/>
    <w:rsid w:val="00C97070"/>
    <w:rsid w:val="00CA1D48"/>
    <w:rsid w:val="00CB6E99"/>
    <w:rsid w:val="00CC1E6D"/>
    <w:rsid w:val="00CC7723"/>
    <w:rsid w:val="00CC7FEB"/>
    <w:rsid w:val="00CD1129"/>
    <w:rsid w:val="00CD48EA"/>
    <w:rsid w:val="00CE06F2"/>
    <w:rsid w:val="00D01B69"/>
    <w:rsid w:val="00D01F7B"/>
    <w:rsid w:val="00D062A0"/>
    <w:rsid w:val="00D076B3"/>
    <w:rsid w:val="00D171CC"/>
    <w:rsid w:val="00D176BE"/>
    <w:rsid w:val="00D21041"/>
    <w:rsid w:val="00D23231"/>
    <w:rsid w:val="00D24958"/>
    <w:rsid w:val="00D279E4"/>
    <w:rsid w:val="00D33CA4"/>
    <w:rsid w:val="00D3531F"/>
    <w:rsid w:val="00D35A89"/>
    <w:rsid w:val="00D37B4D"/>
    <w:rsid w:val="00D4571F"/>
    <w:rsid w:val="00D63ABF"/>
    <w:rsid w:val="00D65FAC"/>
    <w:rsid w:val="00D7359B"/>
    <w:rsid w:val="00D80156"/>
    <w:rsid w:val="00D86061"/>
    <w:rsid w:val="00D954D4"/>
    <w:rsid w:val="00D973C0"/>
    <w:rsid w:val="00DA0548"/>
    <w:rsid w:val="00DA12D0"/>
    <w:rsid w:val="00DA20F8"/>
    <w:rsid w:val="00DA2678"/>
    <w:rsid w:val="00DA3029"/>
    <w:rsid w:val="00DA6EC3"/>
    <w:rsid w:val="00DB2DF8"/>
    <w:rsid w:val="00DB742D"/>
    <w:rsid w:val="00DB78D0"/>
    <w:rsid w:val="00DC19BC"/>
    <w:rsid w:val="00DC2940"/>
    <w:rsid w:val="00DC51E8"/>
    <w:rsid w:val="00DD1614"/>
    <w:rsid w:val="00DD5CE8"/>
    <w:rsid w:val="00DF4ADD"/>
    <w:rsid w:val="00E24F97"/>
    <w:rsid w:val="00E25823"/>
    <w:rsid w:val="00E27597"/>
    <w:rsid w:val="00E321BE"/>
    <w:rsid w:val="00E3233B"/>
    <w:rsid w:val="00E46EC6"/>
    <w:rsid w:val="00E554AB"/>
    <w:rsid w:val="00E60BCF"/>
    <w:rsid w:val="00E6311C"/>
    <w:rsid w:val="00E74158"/>
    <w:rsid w:val="00E75E4F"/>
    <w:rsid w:val="00E776BA"/>
    <w:rsid w:val="00E95D99"/>
    <w:rsid w:val="00EA1CEE"/>
    <w:rsid w:val="00EC668D"/>
    <w:rsid w:val="00ED0C2F"/>
    <w:rsid w:val="00ED289D"/>
    <w:rsid w:val="00ED7DE2"/>
    <w:rsid w:val="00EE684F"/>
    <w:rsid w:val="00EF30B7"/>
    <w:rsid w:val="00F021C9"/>
    <w:rsid w:val="00F021D5"/>
    <w:rsid w:val="00F133BE"/>
    <w:rsid w:val="00F170B3"/>
    <w:rsid w:val="00F2214B"/>
    <w:rsid w:val="00F22344"/>
    <w:rsid w:val="00F22925"/>
    <w:rsid w:val="00F2348C"/>
    <w:rsid w:val="00F37147"/>
    <w:rsid w:val="00F43781"/>
    <w:rsid w:val="00F47643"/>
    <w:rsid w:val="00F702DD"/>
    <w:rsid w:val="00F70342"/>
    <w:rsid w:val="00F7053B"/>
    <w:rsid w:val="00F76E14"/>
    <w:rsid w:val="00F76F6D"/>
    <w:rsid w:val="00F80154"/>
    <w:rsid w:val="00F8260F"/>
    <w:rsid w:val="00F87CCE"/>
    <w:rsid w:val="00F901C1"/>
    <w:rsid w:val="00F96585"/>
    <w:rsid w:val="00FA333B"/>
    <w:rsid w:val="00FA49C8"/>
    <w:rsid w:val="00FA5B88"/>
    <w:rsid w:val="00FA6C12"/>
    <w:rsid w:val="00FB170E"/>
    <w:rsid w:val="00FC0F01"/>
    <w:rsid w:val="00FC5C8E"/>
    <w:rsid w:val="00FC74A3"/>
    <w:rsid w:val="00FC7B80"/>
    <w:rsid w:val="00FD203A"/>
    <w:rsid w:val="00FD65EE"/>
    <w:rsid w:val="00FD7CEF"/>
    <w:rsid w:val="00FF0F01"/>
    <w:rsid w:val="00FF2CAF"/>
    <w:rsid w:val="00FF4E2D"/>
    <w:rsid w:val="00F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C9F4"/>
  <w15:chartTrackingRefBased/>
  <w15:docId w15:val="{D80D70AE-38E7-4754-BEC2-B0309E68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14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1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4C8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4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4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340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11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E9BB2-7F53-4C5B-8A98-76DB4A81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259</cp:revision>
  <dcterms:created xsi:type="dcterms:W3CDTF">2023-06-06T17:26:00Z</dcterms:created>
  <dcterms:modified xsi:type="dcterms:W3CDTF">2023-06-21T11:21:00Z</dcterms:modified>
</cp:coreProperties>
</file>