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9B80" w14:textId="77777777" w:rsidR="00907F5F" w:rsidRPr="00907F5F" w:rsidRDefault="00907F5F" w:rsidP="00907F5F">
      <w:pPr>
        <w:spacing w:line="360" w:lineRule="auto"/>
        <w:jc w:val="center"/>
        <w:rPr>
          <w:b/>
          <w:bCs/>
          <w:sz w:val="28"/>
          <w:szCs w:val="28"/>
        </w:rPr>
      </w:pPr>
      <w:r w:rsidRPr="00907F5F">
        <w:rPr>
          <w:b/>
          <w:bCs/>
          <w:sz w:val="28"/>
          <w:szCs w:val="28"/>
        </w:rPr>
        <w:t>Assessing the Correlation Between Marine Heatwave Events and Tropical Cyclone Climatology in the Atlantic Basin</w:t>
      </w:r>
    </w:p>
    <w:p w14:paraId="6F9DC76C" w14:textId="77777777" w:rsidR="00907F5F" w:rsidRPr="00AB5ABF" w:rsidRDefault="00907F5F" w:rsidP="00907F5F">
      <w:pPr>
        <w:spacing w:line="360" w:lineRule="auto"/>
        <w:jc w:val="center"/>
        <w:rPr>
          <w:b/>
          <w:bCs/>
          <w:lang w:val="en"/>
        </w:rPr>
      </w:pPr>
    </w:p>
    <w:p w14:paraId="12F86862" w14:textId="77777777" w:rsidR="00907F5F" w:rsidRPr="00AB5ABF" w:rsidRDefault="00907F5F" w:rsidP="00907F5F">
      <w:pPr>
        <w:spacing w:line="360" w:lineRule="auto"/>
        <w:jc w:val="center"/>
        <w:rPr>
          <w:b/>
          <w:bCs/>
          <w:lang w:val="en"/>
        </w:rPr>
      </w:pPr>
    </w:p>
    <w:p w14:paraId="5EC92BAD" w14:textId="77777777" w:rsidR="00907F5F" w:rsidRPr="00AB5ABF" w:rsidRDefault="00907F5F" w:rsidP="00907F5F">
      <w:pPr>
        <w:spacing w:line="360" w:lineRule="auto"/>
        <w:jc w:val="center"/>
        <w:rPr>
          <w:b/>
          <w:bCs/>
          <w:lang w:val="en"/>
        </w:rPr>
      </w:pPr>
    </w:p>
    <w:p w14:paraId="669D6EE7" w14:textId="77777777" w:rsidR="00907F5F" w:rsidRPr="00AB5ABF" w:rsidRDefault="00907F5F" w:rsidP="00907F5F">
      <w:pPr>
        <w:spacing w:line="360" w:lineRule="auto"/>
        <w:jc w:val="center"/>
        <w:rPr>
          <w:b/>
          <w:bCs/>
          <w:lang w:val="en"/>
        </w:rPr>
      </w:pPr>
    </w:p>
    <w:p w14:paraId="40B472B4" w14:textId="77777777" w:rsidR="00907F5F" w:rsidRPr="00AB5ABF" w:rsidRDefault="00907F5F" w:rsidP="00907F5F">
      <w:pPr>
        <w:spacing w:line="360" w:lineRule="auto"/>
        <w:jc w:val="center"/>
        <w:rPr>
          <w:b/>
          <w:bCs/>
          <w:lang w:val="en"/>
        </w:rPr>
      </w:pPr>
    </w:p>
    <w:p w14:paraId="65A1349C" w14:textId="6B397D2B" w:rsidR="00907F5F" w:rsidRPr="00AB5ABF" w:rsidRDefault="00907F5F" w:rsidP="00907F5F">
      <w:pPr>
        <w:spacing w:line="360" w:lineRule="auto"/>
        <w:jc w:val="center"/>
        <w:rPr>
          <w:b/>
          <w:bCs/>
          <w:lang w:val="en"/>
        </w:rPr>
      </w:pPr>
      <w:r>
        <w:rPr>
          <w:b/>
          <w:bCs/>
          <w:lang w:val="en"/>
        </w:rPr>
        <w:t>Nick Bauman, Kenzie Klisz</w:t>
      </w:r>
      <w:r>
        <w:rPr>
          <w:b/>
          <w:bCs/>
          <w:lang w:val="en"/>
        </w:rPr>
        <w:t>, Joshua Kumm, Zakkary Trader-Gough</w:t>
      </w:r>
    </w:p>
    <w:p w14:paraId="746C40FA" w14:textId="77777777" w:rsidR="00907F5F" w:rsidRPr="00AB5ABF" w:rsidRDefault="00907F5F" w:rsidP="00907F5F">
      <w:pPr>
        <w:spacing w:line="360" w:lineRule="auto"/>
        <w:jc w:val="center"/>
        <w:rPr>
          <w:b/>
          <w:bCs/>
          <w:lang w:val="en"/>
        </w:rPr>
      </w:pPr>
    </w:p>
    <w:p w14:paraId="78059DC5" w14:textId="77777777" w:rsidR="00907F5F" w:rsidRPr="00AB5ABF" w:rsidRDefault="00907F5F" w:rsidP="00907F5F">
      <w:pPr>
        <w:spacing w:line="360" w:lineRule="auto"/>
        <w:jc w:val="center"/>
        <w:rPr>
          <w:i/>
          <w:iCs/>
          <w:lang w:val="en"/>
        </w:rPr>
      </w:pPr>
      <w:r w:rsidRPr="00AB5ABF">
        <w:rPr>
          <w:i/>
          <w:iCs/>
          <w:lang w:val="en"/>
        </w:rPr>
        <w:t>Meteorology Program, Applied Aviation Sciences Department, Embry-Riddle Aeronautical University, Daytona Beach, FL, USA</w:t>
      </w:r>
    </w:p>
    <w:p w14:paraId="0A827E96" w14:textId="77777777" w:rsidR="00907F5F" w:rsidRPr="00AB5ABF" w:rsidRDefault="00907F5F" w:rsidP="00907F5F">
      <w:pPr>
        <w:spacing w:line="360" w:lineRule="auto"/>
        <w:jc w:val="center"/>
        <w:rPr>
          <w:b/>
          <w:bCs/>
          <w:lang w:val="en"/>
        </w:rPr>
      </w:pPr>
    </w:p>
    <w:p w14:paraId="4B3F093F" w14:textId="77777777" w:rsidR="00907F5F" w:rsidRPr="00AB5ABF" w:rsidRDefault="00907F5F" w:rsidP="00907F5F">
      <w:pPr>
        <w:spacing w:line="360" w:lineRule="auto"/>
        <w:jc w:val="center"/>
        <w:rPr>
          <w:b/>
          <w:bCs/>
          <w:lang w:val="en"/>
        </w:rPr>
      </w:pPr>
    </w:p>
    <w:p w14:paraId="4C529E09" w14:textId="77777777" w:rsidR="00907F5F" w:rsidRPr="00AB5ABF" w:rsidRDefault="00907F5F" w:rsidP="00907F5F">
      <w:pPr>
        <w:spacing w:line="360" w:lineRule="auto"/>
        <w:jc w:val="center"/>
        <w:rPr>
          <w:b/>
          <w:bCs/>
          <w:lang w:val="en"/>
        </w:rPr>
      </w:pPr>
    </w:p>
    <w:p w14:paraId="1885AB8B" w14:textId="77777777" w:rsidR="00907F5F" w:rsidRPr="00AB5ABF" w:rsidRDefault="00907F5F" w:rsidP="00907F5F">
      <w:pPr>
        <w:spacing w:line="360" w:lineRule="auto"/>
        <w:jc w:val="center"/>
        <w:rPr>
          <w:b/>
          <w:bCs/>
          <w:lang w:val="en"/>
        </w:rPr>
      </w:pPr>
    </w:p>
    <w:p w14:paraId="5B12B907" w14:textId="77777777" w:rsidR="00907F5F" w:rsidRPr="00AB5ABF" w:rsidRDefault="00907F5F" w:rsidP="00907F5F">
      <w:pPr>
        <w:spacing w:line="360" w:lineRule="auto"/>
        <w:jc w:val="center"/>
        <w:rPr>
          <w:b/>
          <w:bCs/>
          <w:lang w:val="en"/>
        </w:rPr>
      </w:pPr>
    </w:p>
    <w:p w14:paraId="785130F5" w14:textId="77777777" w:rsidR="00907F5F" w:rsidRPr="00AB5ABF" w:rsidRDefault="00907F5F" w:rsidP="00907F5F">
      <w:pPr>
        <w:spacing w:line="360" w:lineRule="auto"/>
        <w:jc w:val="center"/>
        <w:rPr>
          <w:b/>
          <w:bCs/>
          <w:lang w:val="en"/>
        </w:rPr>
      </w:pPr>
    </w:p>
    <w:p w14:paraId="5DD02B07" w14:textId="61C7203B" w:rsidR="00907F5F" w:rsidRPr="00AB5ABF" w:rsidRDefault="00907F5F" w:rsidP="00907F5F">
      <w:pPr>
        <w:spacing w:line="360" w:lineRule="auto"/>
        <w:jc w:val="center"/>
        <w:rPr>
          <w:b/>
          <w:bCs/>
          <w:lang w:val="en"/>
        </w:rPr>
      </w:pPr>
      <w:r w:rsidRPr="00AB5ABF">
        <w:rPr>
          <w:b/>
          <w:bCs/>
          <w:lang w:val="en"/>
        </w:rPr>
        <w:t xml:space="preserve">Submitted to </w:t>
      </w:r>
      <w:r>
        <w:rPr>
          <w:b/>
          <w:bCs/>
          <w:lang w:val="en"/>
        </w:rPr>
        <w:t xml:space="preserve">Dr. </w:t>
      </w:r>
      <w:r>
        <w:rPr>
          <w:b/>
          <w:bCs/>
          <w:lang w:val="en"/>
        </w:rPr>
        <w:t>Yao Zhou</w:t>
      </w:r>
      <w:r>
        <w:rPr>
          <w:b/>
          <w:bCs/>
          <w:lang w:val="en"/>
        </w:rPr>
        <w:t xml:space="preserve"> for </w:t>
      </w:r>
      <w:r>
        <w:rPr>
          <w:b/>
          <w:bCs/>
          <w:lang w:val="en"/>
        </w:rPr>
        <w:t>GEO402</w:t>
      </w:r>
    </w:p>
    <w:p w14:paraId="160F877C" w14:textId="77777777" w:rsidR="00907F5F" w:rsidRDefault="00907F5F" w:rsidP="00907F5F">
      <w:pPr>
        <w:spacing w:line="360" w:lineRule="auto"/>
        <w:rPr>
          <w:b/>
          <w:bCs/>
          <w:lang w:val="en"/>
        </w:rPr>
      </w:pPr>
    </w:p>
    <w:p w14:paraId="6CCD4EA6" w14:textId="77777777" w:rsidR="00907F5F" w:rsidRDefault="00907F5F" w:rsidP="00907F5F">
      <w:pPr>
        <w:spacing w:line="360" w:lineRule="auto"/>
        <w:rPr>
          <w:b/>
          <w:bCs/>
          <w:lang w:val="en"/>
        </w:rPr>
      </w:pPr>
    </w:p>
    <w:p w14:paraId="1B4F35C3" w14:textId="77777777" w:rsidR="00907F5F" w:rsidRDefault="00907F5F" w:rsidP="00907F5F">
      <w:pPr>
        <w:spacing w:line="360" w:lineRule="auto"/>
        <w:rPr>
          <w:b/>
          <w:bCs/>
          <w:lang w:val="en"/>
        </w:rPr>
      </w:pPr>
    </w:p>
    <w:p w14:paraId="48CE2C44" w14:textId="77777777" w:rsidR="00907F5F" w:rsidRDefault="00907F5F" w:rsidP="00907F5F">
      <w:pPr>
        <w:spacing w:line="360" w:lineRule="auto"/>
        <w:rPr>
          <w:b/>
          <w:bCs/>
          <w:lang w:val="en"/>
        </w:rPr>
      </w:pPr>
    </w:p>
    <w:p w14:paraId="28850FE9" w14:textId="77777777" w:rsidR="00907F5F" w:rsidRDefault="00907F5F" w:rsidP="00907F5F">
      <w:pPr>
        <w:spacing w:line="360" w:lineRule="auto"/>
        <w:rPr>
          <w:b/>
          <w:bCs/>
          <w:lang w:val="en"/>
        </w:rPr>
      </w:pPr>
    </w:p>
    <w:p w14:paraId="13C02401" w14:textId="77777777" w:rsidR="00907F5F" w:rsidRDefault="00907F5F" w:rsidP="00907F5F">
      <w:pPr>
        <w:spacing w:line="360" w:lineRule="auto"/>
        <w:rPr>
          <w:b/>
          <w:bCs/>
          <w:lang w:val="en"/>
        </w:rPr>
      </w:pPr>
    </w:p>
    <w:p w14:paraId="4D320358" w14:textId="77777777" w:rsidR="00907F5F" w:rsidRDefault="00907F5F" w:rsidP="00907F5F">
      <w:pPr>
        <w:spacing w:line="360" w:lineRule="auto"/>
        <w:rPr>
          <w:b/>
          <w:bCs/>
          <w:lang w:val="en"/>
        </w:rPr>
      </w:pPr>
    </w:p>
    <w:p w14:paraId="12B71DAA" w14:textId="77777777" w:rsidR="00907F5F" w:rsidRDefault="00907F5F" w:rsidP="00907F5F">
      <w:pPr>
        <w:spacing w:line="360" w:lineRule="auto"/>
        <w:rPr>
          <w:b/>
          <w:bCs/>
          <w:lang w:val="en"/>
        </w:rPr>
      </w:pPr>
    </w:p>
    <w:p w14:paraId="15F9BC4E" w14:textId="77777777" w:rsidR="00907F5F" w:rsidRDefault="00907F5F" w:rsidP="00907F5F">
      <w:pPr>
        <w:spacing w:line="360" w:lineRule="auto"/>
        <w:rPr>
          <w:b/>
          <w:bCs/>
          <w:lang w:val="en"/>
        </w:rPr>
      </w:pPr>
    </w:p>
    <w:p w14:paraId="28B9C2FF" w14:textId="77777777" w:rsidR="00907F5F" w:rsidRDefault="00907F5F" w:rsidP="00907F5F">
      <w:pPr>
        <w:spacing w:line="360" w:lineRule="auto"/>
        <w:rPr>
          <w:b/>
          <w:bCs/>
          <w:lang w:val="en"/>
        </w:rPr>
      </w:pPr>
    </w:p>
    <w:p w14:paraId="797A6F20" w14:textId="77777777" w:rsidR="00907F5F" w:rsidRDefault="00907F5F" w:rsidP="00907F5F">
      <w:pPr>
        <w:spacing w:line="360" w:lineRule="auto"/>
        <w:rPr>
          <w:b/>
          <w:bCs/>
          <w:lang w:val="en"/>
        </w:rPr>
      </w:pPr>
    </w:p>
    <w:p w14:paraId="69060B32" w14:textId="77777777" w:rsidR="00907F5F" w:rsidRDefault="00907F5F" w:rsidP="00907F5F">
      <w:pPr>
        <w:spacing w:line="360" w:lineRule="auto"/>
        <w:rPr>
          <w:b/>
          <w:bCs/>
          <w:lang w:val="en"/>
        </w:rPr>
      </w:pPr>
    </w:p>
    <w:p w14:paraId="27E85EA6" w14:textId="77777777" w:rsidR="00907F5F" w:rsidRDefault="00907F5F" w:rsidP="00907F5F">
      <w:pPr>
        <w:spacing w:line="360" w:lineRule="auto"/>
        <w:rPr>
          <w:b/>
          <w:bCs/>
          <w:lang w:val="en"/>
        </w:rPr>
      </w:pPr>
    </w:p>
    <w:p w14:paraId="1883C5D9" w14:textId="77777777" w:rsidR="00907F5F" w:rsidRPr="007D2D1C" w:rsidRDefault="00907F5F" w:rsidP="00907F5F">
      <w:pPr>
        <w:spacing w:line="360" w:lineRule="auto"/>
        <w:rPr>
          <w:b/>
          <w:bCs/>
          <w:lang w:val="en"/>
        </w:rPr>
      </w:pPr>
      <w:r>
        <w:rPr>
          <w:b/>
          <w:bCs/>
          <w:lang w:val="en"/>
        </w:rPr>
        <w:lastRenderedPageBreak/>
        <w:t xml:space="preserve">1. </w:t>
      </w:r>
      <w:r w:rsidRPr="007D2D1C">
        <w:rPr>
          <w:b/>
          <w:bCs/>
          <w:lang w:val="en"/>
        </w:rPr>
        <w:t>Introduction</w:t>
      </w:r>
    </w:p>
    <w:p w14:paraId="61FDE719" w14:textId="77777777" w:rsidR="00907F5F" w:rsidRPr="007D2D1C" w:rsidRDefault="00907F5F" w:rsidP="00907F5F">
      <w:pPr>
        <w:spacing w:line="360" w:lineRule="auto"/>
        <w:rPr>
          <w:b/>
          <w:bCs/>
          <w:lang w:val="en"/>
        </w:rPr>
      </w:pPr>
      <w:r w:rsidRPr="007D2D1C">
        <w:rPr>
          <w:b/>
          <w:bCs/>
          <w:noProof/>
          <w:lang w:val="en"/>
        </w:rPr>
        <w:drawing>
          <wp:inline distT="114300" distB="114300" distL="114300" distR="114300" wp14:anchorId="71D0A7BD" wp14:editId="6CBFF8C4">
            <wp:extent cx="5591175" cy="2438400"/>
            <wp:effectExtent l="0" t="0" r="0" b="0"/>
            <wp:docPr id="1" name="image1.png" descr="A picture containing text, 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map&#10;&#10;Description automatically generated"/>
                    <pic:cNvPicPr preferRelativeResize="0"/>
                  </pic:nvPicPr>
                  <pic:blipFill>
                    <a:blip r:embed="rId7"/>
                    <a:srcRect/>
                    <a:stretch>
                      <a:fillRect/>
                    </a:stretch>
                  </pic:blipFill>
                  <pic:spPr>
                    <a:xfrm>
                      <a:off x="0" y="0"/>
                      <a:ext cx="5591175" cy="2438400"/>
                    </a:xfrm>
                    <a:prstGeom prst="rect">
                      <a:avLst/>
                    </a:prstGeom>
                    <a:ln/>
                  </pic:spPr>
                </pic:pic>
              </a:graphicData>
            </a:graphic>
          </wp:inline>
        </w:drawing>
      </w:r>
    </w:p>
    <w:p w14:paraId="649785A4" w14:textId="77777777" w:rsidR="00907F5F" w:rsidRDefault="00907F5F" w:rsidP="00907F5F">
      <w:pPr>
        <w:rPr>
          <w:bCs/>
          <w:sz w:val="21"/>
          <w:szCs w:val="21"/>
          <w:lang w:val="en"/>
        </w:rPr>
      </w:pPr>
      <w:r w:rsidRPr="007D2D1C">
        <w:rPr>
          <w:b/>
          <w:bCs/>
          <w:i/>
          <w:iCs/>
          <w:sz w:val="21"/>
          <w:szCs w:val="21"/>
          <w:lang w:val="en"/>
        </w:rPr>
        <w:t>Figure 1:</w:t>
      </w:r>
      <w:r w:rsidRPr="007D2D1C">
        <w:rPr>
          <w:b/>
          <w:bCs/>
          <w:sz w:val="21"/>
          <w:szCs w:val="21"/>
          <w:lang w:val="en"/>
        </w:rPr>
        <w:t xml:space="preserve"> </w:t>
      </w:r>
      <w:r w:rsidRPr="007D2D1C">
        <w:rPr>
          <w:bCs/>
          <w:sz w:val="21"/>
          <w:szCs w:val="21"/>
          <w:lang w:val="en"/>
        </w:rPr>
        <w:t xml:space="preserve">From Hu (2021), their Fig. 2a. The markers show the central locations and maximum MHW intensity (°C) for 1982–2019. The arrows indicate ocean currents. </w:t>
      </w:r>
    </w:p>
    <w:p w14:paraId="23EEE36F" w14:textId="77777777" w:rsidR="00907F5F" w:rsidRPr="007D2D1C" w:rsidRDefault="00907F5F" w:rsidP="00907F5F">
      <w:pPr>
        <w:rPr>
          <w:bCs/>
          <w:sz w:val="21"/>
          <w:szCs w:val="21"/>
          <w:lang w:val="en"/>
        </w:rPr>
      </w:pPr>
    </w:p>
    <w:p w14:paraId="2A088133" w14:textId="4173FE33" w:rsidR="00907F5F" w:rsidRPr="007D2D1C" w:rsidRDefault="00907F5F" w:rsidP="00907F5F">
      <w:pPr>
        <w:spacing w:line="360" w:lineRule="auto"/>
        <w:rPr>
          <w:bCs/>
          <w:lang w:val="en"/>
        </w:rPr>
      </w:pPr>
      <w:r w:rsidRPr="007D2D1C">
        <w:rPr>
          <w:bCs/>
          <w:lang w:val="en"/>
        </w:rPr>
        <w:t xml:space="preserve">        </w:t>
      </w:r>
      <w:r w:rsidRPr="007D2D1C">
        <w:rPr>
          <w:bCs/>
          <w:lang w:val="en"/>
        </w:rPr>
        <w:tab/>
      </w:r>
    </w:p>
    <w:p w14:paraId="23513DD9" w14:textId="77777777" w:rsidR="00907F5F" w:rsidRPr="007D2D1C" w:rsidRDefault="00907F5F" w:rsidP="00907F5F">
      <w:pPr>
        <w:spacing w:line="360" w:lineRule="auto"/>
        <w:rPr>
          <w:bCs/>
        </w:rPr>
      </w:pPr>
    </w:p>
    <w:p w14:paraId="7EBE69C5" w14:textId="77777777" w:rsidR="00907F5F" w:rsidRDefault="00907F5F" w:rsidP="00907F5F">
      <w:pPr>
        <w:spacing w:line="360" w:lineRule="auto"/>
        <w:rPr>
          <w:b/>
        </w:rPr>
      </w:pPr>
      <w:r>
        <w:rPr>
          <w:b/>
        </w:rPr>
        <w:t>2. Data and methods</w:t>
      </w:r>
    </w:p>
    <w:p w14:paraId="69ECB6C1" w14:textId="77777777" w:rsidR="00907F5F" w:rsidRDefault="00907F5F" w:rsidP="00907F5F">
      <w:pPr>
        <w:numPr>
          <w:ilvl w:val="0"/>
          <w:numId w:val="2"/>
        </w:numPr>
        <w:spacing w:line="360" w:lineRule="auto"/>
        <w:ind w:left="360"/>
        <w:rPr>
          <w:i/>
        </w:rPr>
      </w:pPr>
      <w:r>
        <w:rPr>
          <w:i/>
        </w:rPr>
        <w:t>Data</w:t>
      </w:r>
    </w:p>
    <w:p w14:paraId="392C049F" w14:textId="77777777" w:rsidR="00907F5F" w:rsidRDefault="00907F5F" w:rsidP="00907F5F">
      <w:pPr>
        <w:spacing w:line="360" w:lineRule="auto"/>
        <w:ind w:firstLine="720"/>
      </w:pPr>
      <w:r>
        <w:t>We will identify our Europe MHW events using SST anomalies from the NOAA Optimum Interpolation SST (OISST) dataset (</w:t>
      </w:r>
      <w:proofErr w:type="spellStart"/>
      <w:r>
        <w:t>Banzon</w:t>
      </w:r>
      <w:proofErr w:type="spellEnd"/>
      <w:r>
        <w:t xml:space="preserve"> et al. 2016), which has global data back to 1982 and a 0.25° horizontal resolution. To identify and analyze associated extreme heat and precipitation events over Europe, we will use the ECMWF ERA5 reanalysis (</w:t>
      </w:r>
      <w:proofErr w:type="spellStart"/>
      <w:r>
        <w:t>Hersbach</w:t>
      </w:r>
      <w:proofErr w:type="spellEnd"/>
      <w:r>
        <w:t xml:space="preserve"> et al. 2020), which has a spatial resolution of approximately 0.25° x 0.25°, and data from 1950– present. Specifically, we will examine ERA5 fields such as thermal comfort indices, 500-hPa geopotential height, sea-level pressure, 850-hPa temperature, precipitable water, total precipitation, and convective available potential energy (CAPE). The backward trajectory analysis described in section 2b will be performed using a combination of the LAGRANTO </w:t>
      </w:r>
      <w:proofErr w:type="spellStart"/>
      <w:r>
        <w:t>Lagrangian</w:t>
      </w:r>
      <w:proofErr w:type="spellEnd"/>
      <w:r>
        <w:t xml:space="preserve"> Analysis Tool (Sprenger and </w:t>
      </w:r>
      <w:proofErr w:type="spellStart"/>
      <w:r>
        <w:t>Wernli</w:t>
      </w:r>
      <w:proofErr w:type="spellEnd"/>
      <w:r>
        <w:t xml:space="preserve"> 2015) and NOAA’s </w:t>
      </w:r>
      <w:r w:rsidRPr="00C458F3">
        <w:t xml:space="preserve">Hybrid Single-Particle </w:t>
      </w:r>
      <w:proofErr w:type="spellStart"/>
      <w:r w:rsidRPr="00C458F3">
        <w:t>Lagrangian</w:t>
      </w:r>
      <w:proofErr w:type="spellEnd"/>
      <w:r w:rsidRPr="00C458F3">
        <w:t xml:space="preserve"> Integrated Trajectory</w:t>
      </w:r>
      <w:r>
        <w:t xml:space="preserve"> (HYSPLIT) model (Stein et al. 2015).</w:t>
      </w:r>
    </w:p>
    <w:p w14:paraId="68BA20ED" w14:textId="77777777" w:rsidR="00907F5F" w:rsidRDefault="00907F5F" w:rsidP="00907F5F">
      <w:pPr>
        <w:numPr>
          <w:ilvl w:val="0"/>
          <w:numId w:val="2"/>
        </w:numPr>
        <w:spacing w:line="360" w:lineRule="auto"/>
        <w:ind w:left="360"/>
        <w:rPr>
          <w:i/>
        </w:rPr>
      </w:pPr>
      <w:r>
        <w:rPr>
          <w:i/>
        </w:rPr>
        <w:t>Methods</w:t>
      </w:r>
    </w:p>
    <w:p w14:paraId="50B9C22B" w14:textId="0EB2D11C" w:rsidR="00907F5F" w:rsidRPr="007D2D1C" w:rsidRDefault="00907F5F" w:rsidP="00907F5F">
      <w:pPr>
        <w:spacing w:line="360" w:lineRule="auto"/>
        <w:ind w:firstLine="720"/>
      </w:pPr>
      <w:r>
        <w:t xml:space="preserve">The time period for identifying events for our climatology will be climatological summers (June-July-August) during 1982–2022, to correspond with the OISST data. </w:t>
      </w:r>
      <w:r>
        <w:rPr>
          <w:color w:val="000000" w:themeColor="text1"/>
        </w:rPr>
        <w:t xml:space="preserve">Although there is no universal definition of MHWs, Hobday et al. (2016) stated that regional </w:t>
      </w:r>
      <w:proofErr w:type="gramStart"/>
      <w:r>
        <w:rPr>
          <w:color w:val="000000" w:themeColor="text1"/>
        </w:rPr>
        <w:t>SST</w:t>
      </w:r>
      <w:proofErr w:type="gramEnd"/>
    </w:p>
    <w:p w14:paraId="015ADC78" w14:textId="77777777" w:rsidR="00907F5F" w:rsidRPr="008E5A72" w:rsidRDefault="00907F5F" w:rsidP="00907F5F">
      <w:pPr>
        <w:spacing w:line="360" w:lineRule="auto"/>
        <w:rPr>
          <w:b/>
          <w:bCs/>
          <w:color w:val="000000" w:themeColor="text1"/>
        </w:rPr>
      </w:pPr>
      <w:r>
        <w:rPr>
          <w:b/>
          <w:bCs/>
          <w:color w:val="000000" w:themeColor="text1"/>
        </w:rPr>
        <w:lastRenderedPageBreak/>
        <w:t xml:space="preserve">3. </w:t>
      </w:r>
      <w:r w:rsidRPr="008E5A72">
        <w:rPr>
          <w:b/>
          <w:bCs/>
          <w:color w:val="000000" w:themeColor="text1"/>
        </w:rPr>
        <w:t>Results</w:t>
      </w:r>
    </w:p>
    <w:p w14:paraId="15C889D7" w14:textId="77777777" w:rsidR="00907F5F" w:rsidRPr="0050555B" w:rsidRDefault="00907F5F" w:rsidP="00907F5F">
      <w:pPr>
        <w:pStyle w:val="ListParagraph"/>
        <w:numPr>
          <w:ilvl w:val="0"/>
          <w:numId w:val="1"/>
        </w:numPr>
        <w:spacing w:after="0" w:line="360" w:lineRule="auto"/>
        <w:ind w:left="36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SSTs</w:t>
      </w:r>
    </w:p>
    <w:p w14:paraId="495CB0F5" w14:textId="77777777" w:rsidR="00907F5F" w:rsidRDefault="00907F5F" w:rsidP="00907F5F">
      <w:pPr>
        <w:spacing w:line="360" w:lineRule="auto"/>
        <w:ind w:firstLine="720"/>
        <w:rPr>
          <w:color w:val="000000" w:themeColor="text1"/>
        </w:rPr>
      </w:pPr>
      <w:r>
        <w:rPr>
          <w:color w:val="000000" w:themeColor="text1"/>
        </w:rPr>
        <w:t xml:space="preserve">To show the MHW events, we plotted NOAA OISST anomalies in Fig. 2. Using our anomaly definitions in section 2b, MHWs occurred in the North and Mediterranean Seas in 2003 (Fig. 2a), Black Sea in June 2019 (Fig. 2c), North Atlantic in July 2019 (Fig. 2d), the Baltic Sea in July 2021 (Fig. 2e), and the Baltic, Mediterranean, and Barents Seas (Fig. 2f) in July 2022. No region met the aforementioned threshold in June 2017 (Fig. 2b), but the Mediterranean and parts of the Northeast Atlantic were anomalously warm. </w:t>
      </w:r>
    </w:p>
    <w:p w14:paraId="2F3D8081" w14:textId="77777777" w:rsidR="00907F5F" w:rsidRDefault="00907F5F" w:rsidP="00907F5F">
      <w:pPr>
        <w:spacing w:line="360" w:lineRule="auto"/>
        <w:rPr>
          <w:color w:val="000000" w:themeColor="text1"/>
          <w:sz w:val="21"/>
          <w:szCs w:val="21"/>
        </w:rPr>
      </w:pPr>
    </w:p>
    <w:p w14:paraId="1B62229E" w14:textId="77777777" w:rsidR="00907F5F" w:rsidRDefault="00907F5F" w:rsidP="00907F5F">
      <w:pPr>
        <w:spacing w:line="360" w:lineRule="auto"/>
        <w:rPr>
          <w:kern w:val="28"/>
          <w:szCs w:val="20"/>
        </w:rPr>
      </w:pPr>
    </w:p>
    <w:p w14:paraId="1ED6D5ED" w14:textId="77777777" w:rsidR="00907F5F" w:rsidRDefault="00907F5F" w:rsidP="00907F5F">
      <w:pPr>
        <w:spacing w:line="360" w:lineRule="auto"/>
        <w:rPr>
          <w:b/>
          <w:bCs/>
          <w:color w:val="000000" w:themeColor="text1"/>
        </w:rPr>
      </w:pPr>
      <w:r>
        <w:rPr>
          <w:b/>
          <w:bCs/>
          <w:color w:val="000000" w:themeColor="text1"/>
        </w:rPr>
        <w:t>4. Discussion and conclusions</w:t>
      </w:r>
    </w:p>
    <w:p w14:paraId="32D9A65D" w14:textId="77777777" w:rsidR="00907F5F" w:rsidRDefault="00907F5F" w:rsidP="00907F5F">
      <w:pPr>
        <w:spacing w:line="360" w:lineRule="auto"/>
        <w:rPr>
          <w:color w:val="000000" w:themeColor="text1"/>
        </w:rPr>
      </w:pPr>
      <w:r>
        <w:rPr>
          <w:b/>
          <w:bCs/>
          <w:color w:val="000000" w:themeColor="text1"/>
        </w:rPr>
        <w:tab/>
      </w:r>
      <w:r>
        <w:rPr>
          <w:color w:val="000000" w:themeColor="text1"/>
        </w:rPr>
        <w:t xml:space="preserve">Based on our results, we can conclude that all six events featured MHWs/anomalous warmth over waters adjacent to Europe (section 3a) and associated continental heat waves over Europe (section 3b). The continental heat waves were largely concurrent with the MHWs/anomalous warmth in the adjacent waters. Backward trajectory analysis (section 3d) showed widespread adiabatic warming associated with large-scale ridging/blocking patterns that likely helped cause the continental heat waves. </w:t>
      </w:r>
    </w:p>
    <w:p w14:paraId="62CFF947" w14:textId="77777777" w:rsidR="00907F5F" w:rsidRPr="00091405" w:rsidRDefault="00907F5F" w:rsidP="00907F5F">
      <w:pPr>
        <w:spacing w:line="360" w:lineRule="auto"/>
        <w:ind w:firstLine="720"/>
        <w:rPr>
          <w:color w:val="000000" w:themeColor="text1"/>
        </w:rPr>
      </w:pPr>
      <w:r>
        <w:rPr>
          <w:color w:val="000000" w:themeColor="text1"/>
        </w:rPr>
        <w:t xml:space="preserve">Although some precipitation occurred after every continental heat wave (section 3c), the rainfall events were not extreme except for July 2021. Furthermore, in the July 2021 event, we cannot definitively conclude that precipitation amounts were larger due to the MHW, although some trajectories did ascend from the MHW region. We will investigate these points further in the coming weeks using diabatic tracers on the backward trajectories. </w:t>
      </w:r>
    </w:p>
    <w:p w14:paraId="5F9AFB2C" w14:textId="77777777" w:rsidR="00907F5F" w:rsidRDefault="00907F5F" w:rsidP="00907F5F">
      <w:pPr>
        <w:spacing w:line="360" w:lineRule="auto"/>
        <w:rPr>
          <w:kern w:val="28"/>
          <w:szCs w:val="20"/>
        </w:rPr>
      </w:pPr>
      <w:r>
        <w:rPr>
          <w:kern w:val="28"/>
          <w:szCs w:val="20"/>
        </w:rPr>
        <w:tab/>
        <w:t xml:space="preserve">Overall, the precipitation occurred once the longwave ridge/blocking patterns broke down, and synoptic-scale troughs moved in from the west, into regions of larger moisture and instability. The heavier precipitation events (e.g., July 2021) were associated with slower-moving troughs and closed/cutoff lows. </w:t>
      </w:r>
    </w:p>
    <w:p w14:paraId="57A2B3C7" w14:textId="77777777" w:rsidR="00907F5F" w:rsidRDefault="00907F5F" w:rsidP="00907F5F">
      <w:pPr>
        <w:spacing w:line="360" w:lineRule="auto"/>
        <w:rPr>
          <w:kern w:val="28"/>
          <w:szCs w:val="20"/>
        </w:rPr>
      </w:pPr>
      <w:r>
        <w:rPr>
          <w:kern w:val="28"/>
          <w:szCs w:val="20"/>
        </w:rPr>
        <w:tab/>
        <w:t xml:space="preserve">We conclude that the links between MHWs and continental heat waves are generally stronger than the links between MHWs and heavy precipitation. This may be because continental heat waves in Europe tend to be dry (e.g., Black et al. 2004), which is evidenced by the adiabatic descent throughout our trajectory analysis. </w:t>
      </w:r>
    </w:p>
    <w:p w14:paraId="17D7CF9C" w14:textId="77777777" w:rsidR="00907F5F" w:rsidRPr="00313104" w:rsidRDefault="00907F5F" w:rsidP="00907F5F">
      <w:pPr>
        <w:spacing w:line="360" w:lineRule="auto"/>
        <w:rPr>
          <w:kern w:val="28"/>
          <w:szCs w:val="20"/>
        </w:rPr>
      </w:pPr>
    </w:p>
    <w:p w14:paraId="4D443FE1" w14:textId="77777777" w:rsidR="00907F5F" w:rsidRPr="00253AFB" w:rsidRDefault="00907F5F" w:rsidP="00907F5F">
      <w:pPr>
        <w:spacing w:line="360" w:lineRule="auto"/>
        <w:rPr>
          <w:i/>
          <w:iCs/>
          <w:kern w:val="28"/>
          <w:szCs w:val="20"/>
        </w:rPr>
      </w:pPr>
      <w:r w:rsidRPr="00253AFB">
        <w:rPr>
          <w:i/>
          <w:iCs/>
          <w:kern w:val="28"/>
          <w:szCs w:val="20"/>
        </w:rPr>
        <w:lastRenderedPageBreak/>
        <w:t>Acknowledgments. </w:t>
      </w:r>
    </w:p>
    <w:p w14:paraId="4E537B05" w14:textId="77777777" w:rsidR="00907F5F" w:rsidRPr="00253AFB" w:rsidRDefault="00907F5F" w:rsidP="00907F5F">
      <w:pPr>
        <w:spacing w:line="360" w:lineRule="auto"/>
        <w:rPr>
          <w:iCs/>
          <w:kern w:val="28"/>
          <w:szCs w:val="20"/>
        </w:rPr>
      </w:pPr>
      <w:r w:rsidRPr="00253AFB">
        <w:rPr>
          <w:iCs/>
          <w:kern w:val="28"/>
          <w:szCs w:val="20"/>
        </w:rPr>
        <w:t>Thanks to ECMWF for providing access to the ERA5 data</w:t>
      </w:r>
      <w:r>
        <w:rPr>
          <w:iCs/>
          <w:kern w:val="28"/>
          <w:szCs w:val="20"/>
        </w:rPr>
        <w:t xml:space="preserve"> and</w:t>
      </w:r>
      <w:r w:rsidRPr="00253AFB">
        <w:rPr>
          <w:iCs/>
          <w:kern w:val="28"/>
          <w:szCs w:val="20"/>
        </w:rPr>
        <w:t xml:space="preserve"> NOAA NCEI for access to the </w:t>
      </w:r>
      <w:r>
        <w:rPr>
          <w:iCs/>
          <w:kern w:val="28"/>
          <w:szCs w:val="20"/>
        </w:rPr>
        <w:t>OISSTv2</w:t>
      </w:r>
      <w:r w:rsidRPr="00253AFB">
        <w:rPr>
          <w:iCs/>
          <w:kern w:val="28"/>
          <w:szCs w:val="20"/>
        </w:rPr>
        <w:t xml:space="preserve"> data</w:t>
      </w:r>
      <w:r>
        <w:rPr>
          <w:iCs/>
          <w:kern w:val="28"/>
          <w:szCs w:val="20"/>
        </w:rPr>
        <w:t xml:space="preserve">. We also thank Dr. Shawn </w:t>
      </w:r>
      <w:proofErr w:type="spellStart"/>
      <w:r>
        <w:rPr>
          <w:iCs/>
          <w:kern w:val="28"/>
          <w:szCs w:val="20"/>
        </w:rPr>
        <w:t>Milrad</w:t>
      </w:r>
      <w:proofErr w:type="spellEnd"/>
      <w:r>
        <w:rPr>
          <w:iCs/>
          <w:kern w:val="28"/>
          <w:szCs w:val="20"/>
        </w:rPr>
        <w:t xml:space="preserve"> for assisting with ERA5 data access and providing some </w:t>
      </w:r>
      <w:proofErr w:type="spellStart"/>
      <w:r>
        <w:rPr>
          <w:iCs/>
          <w:kern w:val="28"/>
          <w:szCs w:val="20"/>
        </w:rPr>
        <w:t>Gempak</w:t>
      </w:r>
      <w:proofErr w:type="spellEnd"/>
      <w:r>
        <w:rPr>
          <w:iCs/>
          <w:kern w:val="28"/>
          <w:szCs w:val="20"/>
        </w:rPr>
        <w:t xml:space="preserve"> plotting scripts. </w:t>
      </w:r>
    </w:p>
    <w:p w14:paraId="73A35850" w14:textId="77777777" w:rsidR="00907F5F" w:rsidRPr="00253AFB" w:rsidRDefault="00907F5F" w:rsidP="00907F5F">
      <w:pPr>
        <w:spacing w:line="360" w:lineRule="auto"/>
        <w:rPr>
          <w:i/>
          <w:kern w:val="28"/>
          <w:szCs w:val="20"/>
        </w:rPr>
      </w:pPr>
      <w:r w:rsidRPr="00253AFB">
        <w:rPr>
          <w:i/>
          <w:kern w:val="28"/>
          <w:szCs w:val="20"/>
        </w:rPr>
        <w:t> </w:t>
      </w:r>
    </w:p>
    <w:p w14:paraId="5C7FEBAC" w14:textId="77777777" w:rsidR="00907F5F" w:rsidRDefault="00907F5F" w:rsidP="00907F5F">
      <w:pPr>
        <w:spacing w:line="360" w:lineRule="auto"/>
      </w:pPr>
    </w:p>
    <w:p w14:paraId="32811401" w14:textId="77777777" w:rsidR="00907F5F" w:rsidRDefault="00907F5F" w:rsidP="00907F5F">
      <w:pPr>
        <w:spacing w:line="360" w:lineRule="auto"/>
      </w:pPr>
    </w:p>
    <w:p w14:paraId="1CE94122" w14:textId="77777777" w:rsidR="00907F5F" w:rsidRDefault="00907F5F" w:rsidP="00907F5F">
      <w:pPr>
        <w:spacing w:line="360" w:lineRule="auto"/>
      </w:pPr>
    </w:p>
    <w:p w14:paraId="3B7475DE" w14:textId="77777777" w:rsidR="00907F5F" w:rsidRDefault="00907F5F" w:rsidP="00907F5F">
      <w:pPr>
        <w:spacing w:line="360" w:lineRule="auto"/>
      </w:pPr>
    </w:p>
    <w:p w14:paraId="7DDA882E" w14:textId="77777777" w:rsidR="00907F5F" w:rsidRDefault="00907F5F" w:rsidP="00907F5F">
      <w:pPr>
        <w:spacing w:line="360" w:lineRule="auto"/>
      </w:pPr>
    </w:p>
    <w:p w14:paraId="43A7584D" w14:textId="77777777" w:rsidR="00907F5F" w:rsidRDefault="00907F5F" w:rsidP="00907F5F">
      <w:pPr>
        <w:spacing w:line="360" w:lineRule="auto"/>
      </w:pPr>
    </w:p>
    <w:p w14:paraId="05F36B1A" w14:textId="77777777" w:rsidR="00907F5F" w:rsidRDefault="00907F5F" w:rsidP="00907F5F">
      <w:pPr>
        <w:spacing w:line="360" w:lineRule="auto"/>
      </w:pPr>
    </w:p>
    <w:p w14:paraId="666071DA" w14:textId="77777777" w:rsidR="00907F5F" w:rsidRDefault="00907F5F" w:rsidP="00907F5F">
      <w:pPr>
        <w:spacing w:line="360" w:lineRule="auto"/>
      </w:pPr>
    </w:p>
    <w:p w14:paraId="1CFC94E2" w14:textId="12AC00F4" w:rsidR="00907F5F" w:rsidRDefault="00907F5F" w:rsidP="00907F5F">
      <w:pPr>
        <w:spacing w:line="360" w:lineRule="auto"/>
      </w:pPr>
    </w:p>
    <w:p w14:paraId="6BAD5F2A" w14:textId="5AA4E84E" w:rsidR="00907F5F" w:rsidRDefault="00907F5F" w:rsidP="00907F5F">
      <w:pPr>
        <w:spacing w:line="360" w:lineRule="auto"/>
      </w:pPr>
    </w:p>
    <w:p w14:paraId="0370DC5F" w14:textId="6641F263" w:rsidR="00907F5F" w:rsidRDefault="00907F5F" w:rsidP="00907F5F">
      <w:pPr>
        <w:spacing w:line="360" w:lineRule="auto"/>
      </w:pPr>
    </w:p>
    <w:p w14:paraId="0AFCA38C" w14:textId="6EE46E0F" w:rsidR="00907F5F" w:rsidRDefault="00907F5F" w:rsidP="00907F5F">
      <w:pPr>
        <w:spacing w:line="360" w:lineRule="auto"/>
      </w:pPr>
    </w:p>
    <w:p w14:paraId="4C5F2039" w14:textId="0782B0E7" w:rsidR="00907F5F" w:rsidRDefault="00907F5F" w:rsidP="00907F5F">
      <w:pPr>
        <w:spacing w:line="360" w:lineRule="auto"/>
      </w:pPr>
    </w:p>
    <w:p w14:paraId="3BC949DC" w14:textId="5F88E915" w:rsidR="00907F5F" w:rsidRDefault="00907F5F" w:rsidP="00907F5F">
      <w:pPr>
        <w:spacing w:line="360" w:lineRule="auto"/>
      </w:pPr>
    </w:p>
    <w:p w14:paraId="2262AA04" w14:textId="3E2117B2" w:rsidR="00907F5F" w:rsidRDefault="00907F5F" w:rsidP="00907F5F">
      <w:pPr>
        <w:spacing w:line="360" w:lineRule="auto"/>
      </w:pPr>
    </w:p>
    <w:p w14:paraId="1696E301" w14:textId="5D1B68C8" w:rsidR="00907F5F" w:rsidRDefault="00907F5F" w:rsidP="00907F5F">
      <w:pPr>
        <w:spacing w:line="360" w:lineRule="auto"/>
      </w:pPr>
    </w:p>
    <w:p w14:paraId="7F8F9878" w14:textId="1B73D409" w:rsidR="00907F5F" w:rsidRDefault="00907F5F" w:rsidP="00907F5F">
      <w:pPr>
        <w:spacing w:line="360" w:lineRule="auto"/>
      </w:pPr>
    </w:p>
    <w:p w14:paraId="459A2E7E" w14:textId="74119CD7" w:rsidR="00907F5F" w:rsidRDefault="00907F5F" w:rsidP="00907F5F">
      <w:pPr>
        <w:spacing w:line="360" w:lineRule="auto"/>
      </w:pPr>
    </w:p>
    <w:p w14:paraId="62BAD219" w14:textId="60790B22" w:rsidR="00907F5F" w:rsidRDefault="00907F5F" w:rsidP="00907F5F">
      <w:pPr>
        <w:spacing w:line="360" w:lineRule="auto"/>
      </w:pPr>
    </w:p>
    <w:p w14:paraId="1EAD07BF" w14:textId="32DCC358" w:rsidR="00907F5F" w:rsidRDefault="00907F5F" w:rsidP="00907F5F">
      <w:pPr>
        <w:spacing w:line="360" w:lineRule="auto"/>
      </w:pPr>
    </w:p>
    <w:p w14:paraId="5A3EE082" w14:textId="1A76B7EC" w:rsidR="00907F5F" w:rsidRDefault="00907F5F" w:rsidP="00907F5F">
      <w:pPr>
        <w:spacing w:line="360" w:lineRule="auto"/>
      </w:pPr>
    </w:p>
    <w:p w14:paraId="577A87B7" w14:textId="63DF45F1" w:rsidR="00907F5F" w:rsidRDefault="00907F5F" w:rsidP="00907F5F">
      <w:pPr>
        <w:spacing w:line="360" w:lineRule="auto"/>
      </w:pPr>
    </w:p>
    <w:p w14:paraId="0183ACA5" w14:textId="77777777" w:rsidR="00907F5F" w:rsidRDefault="00907F5F" w:rsidP="00907F5F">
      <w:pPr>
        <w:spacing w:line="360" w:lineRule="auto"/>
      </w:pPr>
    </w:p>
    <w:p w14:paraId="20E87007" w14:textId="77777777" w:rsidR="00907F5F" w:rsidRDefault="00907F5F" w:rsidP="00907F5F">
      <w:pPr>
        <w:spacing w:line="360" w:lineRule="auto"/>
      </w:pPr>
    </w:p>
    <w:p w14:paraId="101E92CA" w14:textId="77777777" w:rsidR="00907F5F" w:rsidRDefault="00907F5F" w:rsidP="00907F5F">
      <w:pPr>
        <w:spacing w:line="360" w:lineRule="auto"/>
      </w:pPr>
    </w:p>
    <w:p w14:paraId="7FF2057A" w14:textId="77777777" w:rsidR="00907F5F" w:rsidRDefault="00907F5F" w:rsidP="00907F5F">
      <w:pPr>
        <w:spacing w:line="360" w:lineRule="auto"/>
      </w:pPr>
    </w:p>
    <w:p w14:paraId="02C91F12" w14:textId="77777777" w:rsidR="00907F5F" w:rsidRDefault="00907F5F" w:rsidP="00907F5F">
      <w:pPr>
        <w:spacing w:line="360" w:lineRule="auto"/>
        <w:jc w:val="center"/>
      </w:pPr>
      <w:r>
        <w:rPr>
          <w:color w:val="000000" w:themeColor="text1"/>
        </w:rPr>
        <w:lastRenderedPageBreak/>
        <w:t>REFERENCES</w:t>
      </w:r>
    </w:p>
    <w:p w14:paraId="78B9B1DA" w14:textId="77777777" w:rsidR="00907F5F" w:rsidRPr="00120C2F" w:rsidRDefault="00907F5F" w:rsidP="00907F5F">
      <w:pPr>
        <w:spacing w:line="360" w:lineRule="auto"/>
        <w:ind w:left="720" w:hanging="720"/>
      </w:pPr>
      <w:proofErr w:type="spellStart"/>
      <w:r w:rsidRPr="00120C2F">
        <w:t>Banzon</w:t>
      </w:r>
      <w:proofErr w:type="spellEnd"/>
      <w:r w:rsidRPr="00120C2F">
        <w:t xml:space="preserve">, V., T. Smith, T. Chin, C. Liu, and W. Hankins, 2016: A long-term record of blended satellite and in situ sea-surface temperature for climate monitoring, </w:t>
      </w:r>
      <w:proofErr w:type="gramStart"/>
      <w:r w:rsidRPr="00120C2F">
        <w:t>modeling</w:t>
      </w:r>
      <w:proofErr w:type="gramEnd"/>
      <w:r w:rsidRPr="00120C2F">
        <w:t xml:space="preserve"> and environmental studies. </w:t>
      </w:r>
      <w:r w:rsidRPr="00120C2F">
        <w:rPr>
          <w:i/>
        </w:rPr>
        <w:t xml:space="preserve">Earth Sys. Sci. Data, </w:t>
      </w:r>
      <w:r w:rsidRPr="00120C2F">
        <w:rPr>
          <w:b/>
        </w:rPr>
        <w:t>8</w:t>
      </w:r>
      <w:r w:rsidRPr="00120C2F">
        <w:t xml:space="preserve">, 165–176, </w:t>
      </w:r>
      <w:hyperlink r:id="rId8">
        <w:r w:rsidRPr="00120C2F">
          <w:rPr>
            <w:color w:val="1155CC"/>
            <w:u w:val="single"/>
          </w:rPr>
          <w:t>https://doi.org/10.5194/essd-8-165-2016</w:t>
        </w:r>
      </w:hyperlink>
      <w:r w:rsidRPr="00120C2F">
        <w:t>.</w:t>
      </w:r>
    </w:p>
    <w:p w14:paraId="06E900DF" w14:textId="77777777" w:rsidR="00907F5F" w:rsidRPr="00120C2F" w:rsidRDefault="00907F5F" w:rsidP="00907F5F">
      <w:pPr>
        <w:spacing w:line="360" w:lineRule="auto"/>
        <w:ind w:left="720" w:hanging="720"/>
      </w:pPr>
      <w:proofErr w:type="spellStart"/>
      <w:r w:rsidRPr="00120C2F">
        <w:t>Bellprat</w:t>
      </w:r>
      <w:proofErr w:type="spellEnd"/>
      <w:r w:rsidRPr="00120C2F">
        <w:t xml:space="preserve">, O., V. </w:t>
      </w:r>
      <w:proofErr w:type="spellStart"/>
      <w:r w:rsidRPr="00120C2F">
        <w:t>Guemas</w:t>
      </w:r>
      <w:proofErr w:type="spellEnd"/>
      <w:r w:rsidRPr="00120C2F">
        <w:t xml:space="preserve">, F. </w:t>
      </w:r>
      <w:proofErr w:type="spellStart"/>
      <w:r w:rsidRPr="00120C2F">
        <w:t>Doblas</w:t>
      </w:r>
      <w:proofErr w:type="spellEnd"/>
      <w:r w:rsidRPr="00120C2F">
        <w:t xml:space="preserve">-Reyes, and M. G. </w:t>
      </w:r>
      <w:proofErr w:type="spellStart"/>
      <w:r w:rsidRPr="00120C2F">
        <w:t>Donat</w:t>
      </w:r>
      <w:proofErr w:type="spellEnd"/>
      <w:r w:rsidRPr="00120C2F">
        <w:t xml:space="preserve">, 2019: Towards reliable extreme weather and climate event attribution. </w:t>
      </w:r>
      <w:r w:rsidRPr="00120C2F">
        <w:rPr>
          <w:i/>
        </w:rPr>
        <w:t xml:space="preserve">Nat. </w:t>
      </w:r>
      <w:proofErr w:type="spellStart"/>
      <w:r w:rsidRPr="00120C2F">
        <w:rPr>
          <w:i/>
        </w:rPr>
        <w:t>Commun</w:t>
      </w:r>
      <w:proofErr w:type="spellEnd"/>
      <w:r w:rsidRPr="00120C2F">
        <w:rPr>
          <w:i/>
        </w:rPr>
        <w:t xml:space="preserve">., </w:t>
      </w:r>
      <w:r w:rsidRPr="00120C2F">
        <w:rPr>
          <w:b/>
        </w:rPr>
        <w:t>10</w:t>
      </w:r>
      <w:r w:rsidRPr="00120C2F">
        <w:t xml:space="preserve">, 1732, </w:t>
      </w:r>
      <w:hyperlink r:id="rId9">
        <w:r w:rsidRPr="00120C2F">
          <w:rPr>
            <w:color w:val="1155CC"/>
            <w:u w:val="single"/>
          </w:rPr>
          <w:t>https://doi.org/10.1038/s41467-019-09729-2</w:t>
        </w:r>
      </w:hyperlink>
      <w:r w:rsidRPr="00120C2F">
        <w:t>.</w:t>
      </w:r>
    </w:p>
    <w:p w14:paraId="6FA772E5" w14:textId="70CF6B91" w:rsidR="00D85059" w:rsidRDefault="00907F5F" w:rsidP="00907F5F">
      <w:pPr>
        <w:spacing w:line="360" w:lineRule="auto"/>
        <w:ind w:left="720" w:hanging="720"/>
      </w:pPr>
      <w:r w:rsidRPr="00120C2F">
        <w:t xml:space="preserve">Black, E., M. Blackburn, G. Harrison, B. Hoskins, and J. Methven, 2004: Factors contributing to the summer 2003 European heatwave. </w:t>
      </w:r>
      <w:r w:rsidRPr="00120C2F">
        <w:rPr>
          <w:i/>
        </w:rPr>
        <w:t xml:space="preserve">Weather, </w:t>
      </w:r>
      <w:r w:rsidRPr="00120C2F">
        <w:rPr>
          <w:b/>
        </w:rPr>
        <w:t>59</w:t>
      </w:r>
      <w:r w:rsidRPr="00120C2F">
        <w:t>, 217–223</w:t>
      </w:r>
    </w:p>
    <w:sectPr w:rsidR="00D85059" w:rsidSect="00907F5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C3B5" w14:textId="77777777" w:rsidR="00907F5F" w:rsidRDefault="00907F5F" w:rsidP="00907F5F">
      <w:r>
        <w:separator/>
      </w:r>
    </w:p>
  </w:endnote>
  <w:endnote w:type="continuationSeparator" w:id="0">
    <w:p w14:paraId="2788137A" w14:textId="77777777" w:rsidR="00907F5F" w:rsidRDefault="00907F5F" w:rsidP="0090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0528"/>
      <w:docPartObj>
        <w:docPartGallery w:val="Page Numbers (Bottom of Page)"/>
        <w:docPartUnique/>
      </w:docPartObj>
    </w:sdtPr>
    <w:sdtEndPr>
      <w:rPr>
        <w:noProof/>
      </w:rPr>
    </w:sdtEndPr>
    <w:sdtContent>
      <w:p w14:paraId="16BF62E1" w14:textId="77777777" w:rsidR="00907F5F" w:rsidRDefault="00907F5F">
        <w:pPr>
          <w:pStyle w:val="Footer"/>
          <w:jc w:val="center"/>
        </w:pPr>
      </w:p>
      <w:p w14:paraId="1FB033B1" w14:textId="4465F6F1" w:rsidR="00907F5F" w:rsidRDefault="00907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8930A" w14:textId="77777777" w:rsidR="00907F5F" w:rsidRDefault="0090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20AF" w14:textId="77777777" w:rsidR="00907F5F" w:rsidRDefault="00907F5F" w:rsidP="00907F5F">
      <w:r>
        <w:separator/>
      </w:r>
    </w:p>
  </w:footnote>
  <w:footnote w:type="continuationSeparator" w:id="0">
    <w:p w14:paraId="5E91DBF8" w14:textId="77777777" w:rsidR="00907F5F" w:rsidRDefault="00907F5F" w:rsidP="00907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374D"/>
    <w:multiLevelType w:val="hybridMultilevel"/>
    <w:tmpl w:val="4DE601FA"/>
    <w:lvl w:ilvl="0" w:tplc="3218495C">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65C8D"/>
    <w:multiLevelType w:val="multilevel"/>
    <w:tmpl w:val="B1E89F9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7C6D38F3"/>
    <w:multiLevelType w:val="multilevel"/>
    <w:tmpl w:val="DF1E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7145188">
    <w:abstractNumId w:val="0"/>
  </w:num>
  <w:num w:numId="2" w16cid:durableId="11033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254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5F"/>
    <w:rsid w:val="00907F5F"/>
    <w:rsid w:val="00D8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98B8"/>
  <w15:chartTrackingRefBased/>
  <w15:docId w15:val="{B8BD0A30-BB3B-451A-B300-034BABFB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F5F"/>
    <w:rPr>
      <w:color w:val="0563C1" w:themeColor="hyperlink"/>
      <w:u w:val="single"/>
    </w:rPr>
  </w:style>
  <w:style w:type="paragraph" w:styleId="ListParagraph">
    <w:name w:val="List Paragraph"/>
    <w:basedOn w:val="Normal"/>
    <w:uiPriority w:val="34"/>
    <w:qFormat/>
    <w:rsid w:val="00907F5F"/>
    <w:pPr>
      <w:spacing w:after="160" w:line="259" w:lineRule="auto"/>
      <w:ind w:left="720"/>
      <w:contextualSpacing/>
    </w:pPr>
    <w:rPr>
      <w:rFonts w:asciiTheme="minorHAnsi" w:eastAsiaTheme="minorHAnsi" w:hAnsiTheme="minorHAnsi" w:cstheme="minorBidi"/>
      <w:sz w:val="22"/>
      <w:szCs w:val="22"/>
    </w:rPr>
  </w:style>
  <w:style w:type="character" w:customStyle="1" w:styleId="text-node">
    <w:name w:val="text-node"/>
    <w:basedOn w:val="DefaultParagraphFont"/>
    <w:rsid w:val="00907F5F"/>
  </w:style>
  <w:style w:type="character" w:styleId="Emphasis">
    <w:name w:val="Emphasis"/>
    <w:basedOn w:val="DefaultParagraphFont"/>
    <w:uiPriority w:val="20"/>
    <w:qFormat/>
    <w:rsid w:val="00907F5F"/>
    <w:rPr>
      <w:i/>
      <w:iCs/>
    </w:rPr>
  </w:style>
  <w:style w:type="character" w:styleId="Strong">
    <w:name w:val="Strong"/>
    <w:basedOn w:val="DefaultParagraphFont"/>
    <w:uiPriority w:val="22"/>
    <w:qFormat/>
    <w:rsid w:val="00907F5F"/>
    <w:rPr>
      <w:b/>
      <w:bCs/>
    </w:rPr>
  </w:style>
  <w:style w:type="character" w:styleId="LineNumber">
    <w:name w:val="line number"/>
    <w:basedOn w:val="DefaultParagraphFont"/>
    <w:uiPriority w:val="99"/>
    <w:semiHidden/>
    <w:unhideWhenUsed/>
    <w:rsid w:val="00907F5F"/>
  </w:style>
  <w:style w:type="paragraph" w:styleId="Header">
    <w:name w:val="header"/>
    <w:basedOn w:val="Normal"/>
    <w:link w:val="HeaderChar"/>
    <w:uiPriority w:val="99"/>
    <w:unhideWhenUsed/>
    <w:rsid w:val="00907F5F"/>
    <w:pPr>
      <w:tabs>
        <w:tab w:val="center" w:pos="4680"/>
        <w:tab w:val="right" w:pos="9360"/>
      </w:tabs>
    </w:pPr>
  </w:style>
  <w:style w:type="character" w:customStyle="1" w:styleId="HeaderChar">
    <w:name w:val="Header Char"/>
    <w:basedOn w:val="DefaultParagraphFont"/>
    <w:link w:val="Header"/>
    <w:uiPriority w:val="99"/>
    <w:rsid w:val="00907F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7F5F"/>
    <w:pPr>
      <w:tabs>
        <w:tab w:val="center" w:pos="4680"/>
        <w:tab w:val="right" w:pos="9360"/>
      </w:tabs>
    </w:pPr>
  </w:style>
  <w:style w:type="character" w:customStyle="1" w:styleId="FooterChar">
    <w:name w:val="Footer Char"/>
    <w:basedOn w:val="DefaultParagraphFont"/>
    <w:link w:val="Footer"/>
    <w:uiPriority w:val="99"/>
    <w:rsid w:val="00907F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essd-8-165-20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38/s41467-019-097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Klisz, Kenzie L.</dc:creator>
  <cp:keywords/>
  <dc:description/>
  <cp:lastModifiedBy>Klisz, Kenzie L.</cp:lastModifiedBy>
  <cp:revision>1</cp:revision>
  <dcterms:created xsi:type="dcterms:W3CDTF">2023-04-03T19:46:00Z</dcterms:created>
  <dcterms:modified xsi:type="dcterms:W3CDTF">2023-04-03T19:54:00Z</dcterms:modified>
</cp:coreProperties>
</file>