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0D65B" w14:textId="64481A14" w:rsidR="00FC0DC0" w:rsidRDefault="00FC0DC0" w:rsidP="00FC0DC0">
      <w:pPr>
        <w:spacing w:before="100" w:beforeAutospacing="1" w:line="240" w:lineRule="auto"/>
        <w:rPr>
          <w:sz w:val="28"/>
        </w:rPr>
      </w:pPr>
      <w:r>
        <w:rPr>
          <w:sz w:val="28"/>
        </w:rPr>
        <w:t>METHODS</w:t>
      </w:r>
    </w:p>
    <w:p w14:paraId="60EC550C" w14:textId="77777777" w:rsidR="00FC0DC0" w:rsidRPr="00FC0DC0" w:rsidRDefault="00FC0DC0" w:rsidP="00FC0DC0">
      <w:pPr>
        <w:spacing w:before="100" w:beforeAutospacing="1" w:line="240" w:lineRule="auto"/>
        <w:rPr>
          <w:rFonts w:cstheme="minorHAnsi"/>
          <w:b/>
          <w:bCs/>
          <w:color w:val="131413"/>
          <w:sz w:val="24"/>
          <w:szCs w:val="24"/>
        </w:rPr>
      </w:pPr>
      <w:r w:rsidRPr="00FC0DC0">
        <w:rPr>
          <w:rFonts w:cstheme="minorHAnsi"/>
          <w:b/>
          <w:bCs/>
          <w:color w:val="131413"/>
          <w:sz w:val="24"/>
          <w:szCs w:val="24"/>
        </w:rPr>
        <w:t>Study eligibility criteria</w:t>
      </w:r>
    </w:p>
    <w:p w14:paraId="694FE2C8" w14:textId="77777777" w:rsidR="00106F61" w:rsidRPr="00106F61" w:rsidRDefault="00106F61" w:rsidP="00106F61">
      <w:pPr>
        <w:pStyle w:val="Default"/>
        <w:numPr>
          <w:ilvl w:val="0"/>
          <w:numId w:val="2"/>
        </w:numPr>
        <w:rPr>
          <w:rFonts w:asciiTheme="minorHAnsi" w:hAnsiTheme="minorHAnsi" w:cstheme="minorHAnsi"/>
          <w:color w:val="131413"/>
        </w:rPr>
      </w:pPr>
      <w:r w:rsidRPr="00106F61">
        <w:rPr>
          <w:rFonts w:asciiTheme="minorHAnsi" w:hAnsiTheme="minorHAnsi" w:cstheme="minorHAnsi"/>
          <w:color w:val="131413"/>
        </w:rPr>
        <w:t xml:space="preserve">Patients with severe hemophilia A (Factor VIII levels &lt;1% or &lt;2%) who could be previously treated or untreated </w:t>
      </w:r>
    </w:p>
    <w:p w14:paraId="38BBF710" w14:textId="7452C17C" w:rsidR="00106F61" w:rsidRPr="00106F61" w:rsidRDefault="00106F61" w:rsidP="00106F61">
      <w:pPr>
        <w:pStyle w:val="Default"/>
        <w:numPr>
          <w:ilvl w:val="0"/>
          <w:numId w:val="2"/>
        </w:numPr>
        <w:rPr>
          <w:rFonts w:asciiTheme="minorHAnsi" w:hAnsiTheme="minorHAnsi" w:cstheme="minorHAnsi"/>
          <w:color w:val="131413"/>
        </w:rPr>
      </w:pPr>
      <w:r w:rsidRPr="00106F61">
        <w:rPr>
          <w:rFonts w:asciiTheme="minorHAnsi" w:hAnsiTheme="minorHAnsi" w:cstheme="minorHAnsi"/>
          <w:color w:val="131413"/>
        </w:rPr>
        <w:t xml:space="preserve">Minimum of 24 weeks of follow up </w:t>
      </w:r>
    </w:p>
    <w:p w14:paraId="1E01E393" w14:textId="0CFEA294" w:rsidR="00106F61" w:rsidRPr="00106F61" w:rsidRDefault="00106F61" w:rsidP="00106F61">
      <w:pPr>
        <w:pStyle w:val="Default"/>
        <w:numPr>
          <w:ilvl w:val="0"/>
          <w:numId w:val="2"/>
        </w:numPr>
        <w:rPr>
          <w:rFonts w:asciiTheme="minorHAnsi" w:hAnsiTheme="minorHAnsi" w:cstheme="minorHAnsi"/>
          <w:color w:val="131413"/>
        </w:rPr>
      </w:pPr>
      <w:r w:rsidRPr="00106F61">
        <w:rPr>
          <w:rFonts w:asciiTheme="minorHAnsi" w:hAnsiTheme="minorHAnsi" w:cstheme="minorHAnsi"/>
          <w:color w:val="131413"/>
        </w:rPr>
        <w:t xml:space="preserve">Included at least one of the </w:t>
      </w:r>
      <w:r>
        <w:rPr>
          <w:rFonts w:asciiTheme="minorHAnsi" w:hAnsiTheme="minorHAnsi" w:cstheme="minorHAnsi"/>
          <w:color w:val="131413"/>
        </w:rPr>
        <w:t>efficacy</w:t>
      </w:r>
      <w:r w:rsidRPr="00106F61">
        <w:rPr>
          <w:rFonts w:asciiTheme="minorHAnsi" w:hAnsiTheme="minorHAnsi" w:cstheme="minorHAnsi"/>
          <w:color w:val="131413"/>
        </w:rPr>
        <w:t xml:space="preserve"> outcomes </w:t>
      </w:r>
    </w:p>
    <w:p w14:paraId="4984522C" w14:textId="11ED7562" w:rsidR="00106F61" w:rsidRPr="00106F61" w:rsidRDefault="00106F61" w:rsidP="00106F61">
      <w:pPr>
        <w:pStyle w:val="Default"/>
        <w:numPr>
          <w:ilvl w:val="0"/>
          <w:numId w:val="2"/>
        </w:numPr>
        <w:rPr>
          <w:rFonts w:asciiTheme="minorHAnsi" w:hAnsiTheme="minorHAnsi" w:cstheme="minorHAnsi"/>
          <w:color w:val="131413"/>
        </w:rPr>
      </w:pPr>
      <w:r w:rsidRPr="00106F61">
        <w:rPr>
          <w:rFonts w:asciiTheme="minorHAnsi" w:hAnsiTheme="minorHAnsi" w:cstheme="minorHAnsi"/>
          <w:color w:val="131413"/>
        </w:rPr>
        <w:t xml:space="preserve">Excluded: </w:t>
      </w:r>
    </w:p>
    <w:p w14:paraId="74513EAB" w14:textId="5DBCE533" w:rsidR="00106F61" w:rsidRPr="00106F61" w:rsidRDefault="00106F61" w:rsidP="00106F61">
      <w:pPr>
        <w:pStyle w:val="Default"/>
        <w:numPr>
          <w:ilvl w:val="1"/>
          <w:numId w:val="2"/>
        </w:numPr>
        <w:rPr>
          <w:rFonts w:asciiTheme="minorHAnsi" w:hAnsiTheme="minorHAnsi" w:cstheme="minorHAnsi"/>
          <w:color w:val="131413"/>
        </w:rPr>
      </w:pPr>
      <w:r w:rsidRPr="00106F61">
        <w:rPr>
          <w:rFonts w:asciiTheme="minorHAnsi" w:hAnsiTheme="minorHAnsi" w:cstheme="minorHAnsi"/>
          <w:color w:val="131413"/>
        </w:rPr>
        <w:t xml:space="preserve">Observational Studies </w:t>
      </w:r>
    </w:p>
    <w:p w14:paraId="6BDE1A68" w14:textId="5B020308" w:rsidR="00106F61" w:rsidRPr="00106F61" w:rsidRDefault="00106F61" w:rsidP="00106F61">
      <w:pPr>
        <w:pStyle w:val="Default"/>
        <w:numPr>
          <w:ilvl w:val="1"/>
          <w:numId w:val="2"/>
        </w:numPr>
        <w:rPr>
          <w:rFonts w:asciiTheme="minorHAnsi" w:hAnsiTheme="minorHAnsi" w:cstheme="minorHAnsi"/>
          <w:color w:val="131413"/>
        </w:rPr>
      </w:pPr>
      <w:r w:rsidRPr="00106F61">
        <w:rPr>
          <w:rFonts w:asciiTheme="minorHAnsi" w:hAnsiTheme="minorHAnsi" w:cstheme="minorHAnsi"/>
          <w:color w:val="131413"/>
        </w:rPr>
        <w:t xml:space="preserve">Patients with acquired hemophilia </w:t>
      </w:r>
    </w:p>
    <w:p w14:paraId="42A80463" w14:textId="773B2D8F" w:rsidR="00106F61" w:rsidRPr="00106F61" w:rsidRDefault="00106F61" w:rsidP="00106F61">
      <w:pPr>
        <w:pStyle w:val="Default"/>
        <w:numPr>
          <w:ilvl w:val="1"/>
          <w:numId w:val="2"/>
        </w:numPr>
        <w:rPr>
          <w:rFonts w:asciiTheme="minorHAnsi" w:hAnsiTheme="minorHAnsi" w:cstheme="minorHAnsi"/>
          <w:color w:val="131413"/>
        </w:rPr>
      </w:pPr>
      <w:r w:rsidRPr="00106F61">
        <w:rPr>
          <w:rFonts w:asciiTheme="minorHAnsi" w:hAnsiTheme="minorHAnsi" w:cstheme="minorHAnsi"/>
          <w:color w:val="131413"/>
        </w:rPr>
        <w:t xml:space="preserve">Follow-up period shorter than 24 weeks </w:t>
      </w:r>
    </w:p>
    <w:p w14:paraId="42BD2680" w14:textId="344FB71E" w:rsidR="00106F61" w:rsidRPr="00106F61" w:rsidRDefault="00106F61" w:rsidP="00106F61">
      <w:pPr>
        <w:pStyle w:val="Default"/>
        <w:numPr>
          <w:ilvl w:val="1"/>
          <w:numId w:val="2"/>
        </w:numPr>
        <w:rPr>
          <w:rFonts w:asciiTheme="minorHAnsi" w:hAnsiTheme="minorHAnsi" w:cstheme="minorHAnsi"/>
          <w:color w:val="131413"/>
        </w:rPr>
      </w:pPr>
      <w:r w:rsidRPr="00106F61">
        <w:rPr>
          <w:rFonts w:asciiTheme="minorHAnsi" w:hAnsiTheme="minorHAnsi" w:cstheme="minorHAnsi"/>
          <w:color w:val="131413"/>
        </w:rPr>
        <w:t xml:space="preserve">Study population included mild and moderate patients (&gt;2% Factor VIII levels) </w:t>
      </w:r>
    </w:p>
    <w:p w14:paraId="6D7AE2D9" w14:textId="7130D096" w:rsidR="00106F61" w:rsidRPr="00106F61" w:rsidRDefault="00106F61" w:rsidP="00106F61">
      <w:pPr>
        <w:pStyle w:val="Default"/>
        <w:numPr>
          <w:ilvl w:val="1"/>
          <w:numId w:val="2"/>
        </w:numPr>
        <w:rPr>
          <w:rFonts w:asciiTheme="minorHAnsi" w:hAnsiTheme="minorHAnsi" w:cstheme="minorHAnsi"/>
          <w:color w:val="131413"/>
        </w:rPr>
      </w:pPr>
      <w:r w:rsidRPr="00106F61">
        <w:rPr>
          <w:rFonts w:asciiTheme="minorHAnsi" w:hAnsiTheme="minorHAnsi" w:cstheme="minorHAnsi"/>
          <w:color w:val="131413"/>
        </w:rPr>
        <w:t xml:space="preserve">Reported only surgical prophylaxis </w:t>
      </w:r>
    </w:p>
    <w:p w14:paraId="1E5DA3AF" w14:textId="78BF10C3" w:rsidR="00106F61" w:rsidRPr="00106F61" w:rsidRDefault="00106F61" w:rsidP="00106F61">
      <w:pPr>
        <w:pStyle w:val="Default"/>
        <w:numPr>
          <w:ilvl w:val="1"/>
          <w:numId w:val="2"/>
        </w:numPr>
        <w:rPr>
          <w:rFonts w:asciiTheme="minorHAnsi" w:hAnsiTheme="minorHAnsi" w:cstheme="minorHAnsi"/>
          <w:color w:val="131413"/>
        </w:rPr>
      </w:pPr>
      <w:r w:rsidRPr="00106F61">
        <w:rPr>
          <w:rFonts w:asciiTheme="minorHAnsi" w:hAnsiTheme="minorHAnsi" w:cstheme="minorHAnsi"/>
          <w:color w:val="131413"/>
        </w:rPr>
        <w:t xml:space="preserve">Study population includes only patients with inhibitors </w:t>
      </w:r>
    </w:p>
    <w:p w14:paraId="1364B83D" w14:textId="70290F57" w:rsidR="00106F61" w:rsidRPr="00106F61" w:rsidRDefault="00106F61" w:rsidP="00106F61">
      <w:pPr>
        <w:pStyle w:val="ListParagraph"/>
        <w:numPr>
          <w:ilvl w:val="0"/>
          <w:numId w:val="2"/>
        </w:numPr>
        <w:spacing w:before="100" w:beforeAutospacing="1" w:line="240" w:lineRule="auto"/>
        <w:rPr>
          <w:rFonts w:cstheme="minorHAnsi"/>
          <w:color w:val="131413"/>
          <w:sz w:val="24"/>
          <w:szCs w:val="24"/>
        </w:rPr>
      </w:pPr>
      <w:r>
        <w:rPr>
          <w:rFonts w:cstheme="minorHAnsi"/>
          <w:color w:val="131413"/>
          <w:sz w:val="24"/>
          <w:szCs w:val="24"/>
        </w:rPr>
        <w:t>P</w:t>
      </w:r>
      <w:r w:rsidRPr="00106F61">
        <w:rPr>
          <w:rFonts w:cstheme="minorHAnsi"/>
          <w:color w:val="131413"/>
          <w:sz w:val="24"/>
          <w:szCs w:val="24"/>
        </w:rPr>
        <w:t>ublished before January 1, 2020</w:t>
      </w:r>
    </w:p>
    <w:p w14:paraId="19FCC106" w14:textId="723E6128" w:rsidR="00106F61" w:rsidRPr="00106F61" w:rsidRDefault="00106F61" w:rsidP="00106F61">
      <w:pPr>
        <w:pStyle w:val="ListParagraph"/>
        <w:numPr>
          <w:ilvl w:val="0"/>
          <w:numId w:val="2"/>
        </w:numPr>
        <w:spacing w:before="100" w:beforeAutospacing="1" w:line="240" w:lineRule="auto"/>
        <w:rPr>
          <w:rFonts w:cstheme="minorHAnsi"/>
          <w:color w:val="131413"/>
          <w:sz w:val="24"/>
          <w:szCs w:val="24"/>
        </w:rPr>
      </w:pPr>
      <w:r w:rsidRPr="00106F61">
        <w:rPr>
          <w:rFonts w:cstheme="minorHAnsi"/>
          <w:color w:val="131413"/>
          <w:sz w:val="24"/>
          <w:szCs w:val="24"/>
        </w:rPr>
        <w:t>FDA approved dosage regimens of the eligible medications, as recommended to be included by the BCBS plans.</w:t>
      </w:r>
    </w:p>
    <w:p w14:paraId="75B286F6" w14:textId="77777777" w:rsidR="00FC0DC0" w:rsidRPr="00FC0DC0" w:rsidRDefault="00FC0DC0" w:rsidP="00FC0DC0">
      <w:pPr>
        <w:spacing w:before="100" w:beforeAutospacing="1" w:line="240" w:lineRule="auto"/>
        <w:rPr>
          <w:rFonts w:cstheme="minorHAnsi"/>
          <w:b/>
          <w:bCs/>
          <w:color w:val="131413"/>
          <w:sz w:val="24"/>
          <w:szCs w:val="24"/>
        </w:rPr>
      </w:pPr>
      <w:r w:rsidRPr="00FC0DC0">
        <w:rPr>
          <w:rFonts w:cstheme="minorHAnsi"/>
          <w:b/>
          <w:bCs/>
          <w:color w:val="131413"/>
          <w:sz w:val="24"/>
          <w:szCs w:val="24"/>
        </w:rPr>
        <w:t>Eligible Medications</w:t>
      </w:r>
    </w:p>
    <w:p w14:paraId="6B5F7F90" w14:textId="77777777" w:rsidR="00FC0DC0" w:rsidRDefault="00FC0DC0" w:rsidP="00FC0DC0">
      <w:pPr>
        <w:spacing w:before="100" w:beforeAutospacing="1" w:line="240" w:lineRule="auto"/>
        <w:rPr>
          <w:rFonts w:cstheme="minorHAnsi"/>
          <w:color w:val="131413"/>
          <w:sz w:val="24"/>
          <w:szCs w:val="24"/>
        </w:rPr>
      </w:pPr>
      <w:proofErr w:type="spellStart"/>
      <w:r>
        <w:rPr>
          <w:rFonts w:cstheme="minorHAnsi"/>
          <w:color w:val="131413"/>
          <w:sz w:val="24"/>
          <w:szCs w:val="24"/>
        </w:rPr>
        <w:t>Advate</w:t>
      </w:r>
      <w:proofErr w:type="spellEnd"/>
      <w:r>
        <w:rPr>
          <w:rFonts w:cstheme="minorHAnsi"/>
          <w:color w:val="131413"/>
          <w:sz w:val="24"/>
          <w:szCs w:val="24"/>
        </w:rPr>
        <w:t xml:space="preserve"> (Recombinant factor VIII)</w:t>
      </w:r>
    </w:p>
    <w:p w14:paraId="4A7398C4" w14:textId="77777777" w:rsidR="00FC0DC0" w:rsidRDefault="00FC0DC0" w:rsidP="00FC0DC0">
      <w:pPr>
        <w:spacing w:before="100" w:beforeAutospacing="1" w:line="240" w:lineRule="auto"/>
        <w:rPr>
          <w:rFonts w:cstheme="minorHAnsi"/>
          <w:color w:val="131413"/>
          <w:sz w:val="24"/>
          <w:szCs w:val="24"/>
        </w:rPr>
      </w:pPr>
      <w:proofErr w:type="spellStart"/>
      <w:r>
        <w:rPr>
          <w:rFonts w:cstheme="minorHAnsi"/>
          <w:color w:val="131413"/>
          <w:sz w:val="24"/>
          <w:szCs w:val="24"/>
        </w:rPr>
        <w:t>Adynovate</w:t>
      </w:r>
      <w:proofErr w:type="spellEnd"/>
      <w:r>
        <w:rPr>
          <w:rFonts w:cstheme="minorHAnsi"/>
          <w:color w:val="131413"/>
          <w:sz w:val="24"/>
          <w:szCs w:val="24"/>
        </w:rPr>
        <w:t xml:space="preserve"> (Recombinant, PEGylated factor VIII)</w:t>
      </w:r>
    </w:p>
    <w:p w14:paraId="5E43F6CB" w14:textId="77777777" w:rsidR="00FC0DC0" w:rsidRDefault="00FC0DC0" w:rsidP="00FC0DC0">
      <w:pPr>
        <w:spacing w:before="100" w:beforeAutospacing="1" w:line="240" w:lineRule="auto"/>
        <w:rPr>
          <w:rFonts w:cstheme="minorHAnsi"/>
          <w:color w:val="131413"/>
          <w:sz w:val="24"/>
          <w:szCs w:val="24"/>
        </w:rPr>
      </w:pPr>
      <w:proofErr w:type="spellStart"/>
      <w:r>
        <w:rPr>
          <w:rFonts w:cstheme="minorHAnsi"/>
          <w:color w:val="131413"/>
          <w:sz w:val="24"/>
          <w:szCs w:val="24"/>
        </w:rPr>
        <w:t>Afstyla</w:t>
      </w:r>
      <w:proofErr w:type="spellEnd"/>
      <w:r>
        <w:rPr>
          <w:rFonts w:cstheme="minorHAnsi"/>
          <w:color w:val="131413"/>
          <w:sz w:val="24"/>
          <w:szCs w:val="24"/>
        </w:rPr>
        <w:t xml:space="preserve"> (Recombinant, single chain, factor VIII)</w:t>
      </w:r>
    </w:p>
    <w:p w14:paraId="6406B70F" w14:textId="77777777" w:rsidR="00FC0DC0" w:rsidRDefault="00FC0DC0" w:rsidP="00FC0DC0">
      <w:pPr>
        <w:spacing w:before="100" w:beforeAutospacing="1" w:line="240" w:lineRule="auto"/>
        <w:rPr>
          <w:rFonts w:cstheme="minorHAnsi"/>
          <w:color w:val="131413"/>
          <w:sz w:val="24"/>
          <w:szCs w:val="24"/>
        </w:rPr>
      </w:pPr>
      <w:r>
        <w:rPr>
          <w:rFonts w:cstheme="minorHAnsi"/>
          <w:color w:val="131413"/>
          <w:sz w:val="24"/>
          <w:szCs w:val="24"/>
        </w:rPr>
        <w:t>Eloctate (Recombinant, Fc Fusion Protein, factor VIII)</w:t>
      </w:r>
    </w:p>
    <w:p w14:paraId="74CCFFEA" w14:textId="77777777" w:rsidR="00FC0DC0" w:rsidRDefault="00FC0DC0" w:rsidP="00FC0DC0">
      <w:pPr>
        <w:spacing w:before="100" w:beforeAutospacing="1" w:line="240" w:lineRule="auto"/>
        <w:rPr>
          <w:rFonts w:cstheme="minorHAnsi"/>
          <w:color w:val="131413"/>
          <w:sz w:val="24"/>
          <w:szCs w:val="24"/>
        </w:rPr>
      </w:pPr>
      <w:proofErr w:type="spellStart"/>
      <w:r>
        <w:rPr>
          <w:rFonts w:cstheme="minorHAnsi"/>
          <w:color w:val="131413"/>
          <w:sz w:val="24"/>
          <w:szCs w:val="24"/>
        </w:rPr>
        <w:t>Kogenate</w:t>
      </w:r>
      <w:proofErr w:type="spellEnd"/>
      <w:r>
        <w:rPr>
          <w:rFonts w:cstheme="minorHAnsi"/>
          <w:color w:val="131413"/>
          <w:sz w:val="24"/>
          <w:szCs w:val="24"/>
        </w:rPr>
        <w:t xml:space="preserve"> FS (Recombinant, factor VIII)</w:t>
      </w:r>
    </w:p>
    <w:p w14:paraId="48C0A26B" w14:textId="77777777" w:rsidR="00FC0DC0" w:rsidRDefault="00FC0DC0" w:rsidP="00FC0DC0">
      <w:pPr>
        <w:spacing w:before="100" w:beforeAutospacing="1" w:line="240" w:lineRule="auto"/>
        <w:rPr>
          <w:rFonts w:cstheme="minorHAnsi"/>
          <w:color w:val="131413"/>
          <w:sz w:val="24"/>
          <w:szCs w:val="24"/>
        </w:rPr>
      </w:pPr>
      <w:proofErr w:type="spellStart"/>
      <w:r>
        <w:rPr>
          <w:rFonts w:cstheme="minorHAnsi"/>
          <w:color w:val="131413"/>
          <w:sz w:val="24"/>
          <w:szCs w:val="24"/>
        </w:rPr>
        <w:t>Kovaltry</w:t>
      </w:r>
      <w:proofErr w:type="spellEnd"/>
      <w:r>
        <w:rPr>
          <w:rFonts w:cstheme="minorHAnsi"/>
          <w:color w:val="131413"/>
          <w:sz w:val="24"/>
          <w:szCs w:val="24"/>
        </w:rPr>
        <w:t xml:space="preserve"> (Recombinant, factor VIII)</w:t>
      </w:r>
    </w:p>
    <w:p w14:paraId="076B9DF2" w14:textId="77777777" w:rsidR="00FC0DC0" w:rsidRDefault="00FC0DC0" w:rsidP="00FC0DC0">
      <w:pPr>
        <w:spacing w:before="100" w:beforeAutospacing="1" w:line="240" w:lineRule="auto"/>
        <w:rPr>
          <w:rFonts w:cstheme="minorHAnsi"/>
          <w:color w:val="131413"/>
          <w:sz w:val="24"/>
          <w:szCs w:val="24"/>
        </w:rPr>
      </w:pPr>
      <w:proofErr w:type="spellStart"/>
      <w:r>
        <w:rPr>
          <w:rFonts w:cstheme="minorHAnsi"/>
          <w:color w:val="131413"/>
          <w:sz w:val="24"/>
          <w:szCs w:val="24"/>
        </w:rPr>
        <w:t>NovoEight</w:t>
      </w:r>
      <w:proofErr w:type="spellEnd"/>
      <w:r>
        <w:rPr>
          <w:rFonts w:cstheme="minorHAnsi"/>
          <w:color w:val="131413"/>
          <w:sz w:val="24"/>
          <w:szCs w:val="24"/>
        </w:rPr>
        <w:t xml:space="preserve"> (Recombinant, B-domain truncated, factor VIII)</w:t>
      </w:r>
    </w:p>
    <w:p w14:paraId="76950332" w14:textId="77777777" w:rsidR="00FC0DC0" w:rsidRDefault="00FC0DC0" w:rsidP="00FC0DC0">
      <w:pPr>
        <w:spacing w:before="100" w:beforeAutospacing="1" w:line="240" w:lineRule="auto"/>
        <w:rPr>
          <w:rFonts w:cstheme="minorHAnsi"/>
          <w:color w:val="131413"/>
          <w:sz w:val="24"/>
          <w:szCs w:val="24"/>
        </w:rPr>
      </w:pPr>
      <w:proofErr w:type="spellStart"/>
      <w:r>
        <w:rPr>
          <w:rFonts w:cstheme="minorHAnsi"/>
          <w:color w:val="131413"/>
          <w:sz w:val="24"/>
          <w:szCs w:val="24"/>
        </w:rPr>
        <w:t>Nuwiq</w:t>
      </w:r>
      <w:proofErr w:type="spellEnd"/>
      <w:r>
        <w:rPr>
          <w:rFonts w:cstheme="minorHAnsi"/>
          <w:color w:val="131413"/>
          <w:sz w:val="24"/>
          <w:szCs w:val="24"/>
        </w:rPr>
        <w:t xml:space="preserve"> (Recombinant, B-domain deleted, factor VIII)</w:t>
      </w:r>
    </w:p>
    <w:p w14:paraId="384487B0" w14:textId="77777777" w:rsidR="00FC0DC0" w:rsidRDefault="00FC0DC0" w:rsidP="00FC0DC0">
      <w:pPr>
        <w:spacing w:before="100" w:beforeAutospacing="1" w:line="240" w:lineRule="auto"/>
        <w:rPr>
          <w:rFonts w:cstheme="minorHAnsi"/>
          <w:color w:val="131413"/>
          <w:sz w:val="24"/>
          <w:szCs w:val="24"/>
        </w:rPr>
      </w:pPr>
      <w:proofErr w:type="spellStart"/>
      <w:r>
        <w:rPr>
          <w:rFonts w:cstheme="minorHAnsi"/>
          <w:color w:val="131413"/>
          <w:sz w:val="24"/>
          <w:szCs w:val="24"/>
        </w:rPr>
        <w:t>Recombinate</w:t>
      </w:r>
      <w:proofErr w:type="spellEnd"/>
      <w:r>
        <w:rPr>
          <w:rFonts w:cstheme="minorHAnsi"/>
          <w:color w:val="131413"/>
          <w:sz w:val="24"/>
          <w:szCs w:val="24"/>
        </w:rPr>
        <w:t xml:space="preserve"> (Recombinant, factor VIII)</w:t>
      </w:r>
    </w:p>
    <w:p w14:paraId="32E97127" w14:textId="77777777" w:rsidR="00FC0DC0" w:rsidRDefault="00FC0DC0" w:rsidP="00FC0DC0">
      <w:pPr>
        <w:spacing w:before="100" w:beforeAutospacing="1" w:line="240" w:lineRule="auto"/>
        <w:rPr>
          <w:rFonts w:cstheme="minorHAnsi"/>
          <w:color w:val="131413"/>
          <w:sz w:val="24"/>
          <w:szCs w:val="24"/>
        </w:rPr>
      </w:pPr>
      <w:proofErr w:type="spellStart"/>
      <w:r>
        <w:rPr>
          <w:rFonts w:cstheme="minorHAnsi"/>
          <w:color w:val="131413"/>
          <w:sz w:val="24"/>
          <w:szCs w:val="24"/>
        </w:rPr>
        <w:t>Xyntha</w:t>
      </w:r>
      <w:proofErr w:type="spellEnd"/>
      <w:r>
        <w:rPr>
          <w:rFonts w:cstheme="minorHAnsi"/>
          <w:color w:val="131413"/>
          <w:sz w:val="24"/>
          <w:szCs w:val="24"/>
        </w:rPr>
        <w:t xml:space="preserve"> (Recombinant, B-domain deleted, factor VIII)</w:t>
      </w:r>
    </w:p>
    <w:p w14:paraId="685DBF89" w14:textId="77777777" w:rsidR="00FC0DC0" w:rsidRDefault="00FC0DC0" w:rsidP="00FC0DC0">
      <w:pPr>
        <w:spacing w:before="100" w:beforeAutospacing="1" w:line="240" w:lineRule="auto"/>
        <w:rPr>
          <w:rFonts w:cstheme="minorHAnsi"/>
          <w:color w:val="131413"/>
          <w:sz w:val="24"/>
          <w:szCs w:val="24"/>
        </w:rPr>
      </w:pPr>
      <w:proofErr w:type="spellStart"/>
      <w:r>
        <w:rPr>
          <w:rFonts w:cstheme="minorHAnsi"/>
          <w:color w:val="131413"/>
          <w:sz w:val="24"/>
          <w:szCs w:val="24"/>
        </w:rPr>
        <w:t>Hemofil</w:t>
      </w:r>
      <w:proofErr w:type="spellEnd"/>
      <w:r>
        <w:rPr>
          <w:rFonts w:cstheme="minorHAnsi"/>
          <w:color w:val="131413"/>
          <w:sz w:val="24"/>
          <w:szCs w:val="24"/>
        </w:rPr>
        <w:t xml:space="preserve"> M (Human Plasma-derived immunoaffinity purified, factor VIII)</w:t>
      </w:r>
    </w:p>
    <w:p w14:paraId="1F91A307" w14:textId="77777777" w:rsidR="00FC0DC0" w:rsidRDefault="00FC0DC0" w:rsidP="00FC0DC0">
      <w:pPr>
        <w:spacing w:before="100" w:beforeAutospacing="1" w:line="240" w:lineRule="auto"/>
        <w:rPr>
          <w:rFonts w:cstheme="minorHAnsi"/>
          <w:color w:val="131413"/>
          <w:sz w:val="24"/>
          <w:szCs w:val="24"/>
        </w:rPr>
      </w:pPr>
      <w:proofErr w:type="spellStart"/>
      <w:r>
        <w:rPr>
          <w:rFonts w:cstheme="minorHAnsi"/>
          <w:color w:val="131413"/>
          <w:sz w:val="24"/>
          <w:szCs w:val="24"/>
        </w:rPr>
        <w:t>Koate</w:t>
      </w:r>
      <w:proofErr w:type="spellEnd"/>
      <w:r>
        <w:rPr>
          <w:rFonts w:cstheme="minorHAnsi"/>
          <w:color w:val="131413"/>
          <w:sz w:val="24"/>
          <w:szCs w:val="24"/>
        </w:rPr>
        <w:t>-DVI (antihemophilic factor, human, factor VIII)</w:t>
      </w:r>
    </w:p>
    <w:p w14:paraId="50A79CEC" w14:textId="77777777" w:rsidR="00FC0DC0" w:rsidRDefault="00FC0DC0" w:rsidP="00FC0DC0">
      <w:pPr>
        <w:spacing w:before="100" w:beforeAutospacing="1" w:line="240" w:lineRule="auto"/>
        <w:rPr>
          <w:rFonts w:cstheme="minorHAnsi"/>
          <w:color w:val="131413"/>
          <w:sz w:val="24"/>
          <w:szCs w:val="24"/>
        </w:rPr>
      </w:pPr>
      <w:proofErr w:type="spellStart"/>
      <w:r>
        <w:rPr>
          <w:rFonts w:cstheme="minorHAnsi"/>
          <w:color w:val="131413"/>
          <w:sz w:val="24"/>
          <w:szCs w:val="24"/>
        </w:rPr>
        <w:lastRenderedPageBreak/>
        <w:t>Jivi</w:t>
      </w:r>
      <w:proofErr w:type="spellEnd"/>
      <w:r>
        <w:rPr>
          <w:rFonts w:cstheme="minorHAnsi"/>
          <w:color w:val="131413"/>
          <w:sz w:val="24"/>
          <w:szCs w:val="24"/>
        </w:rPr>
        <w:t xml:space="preserve"> (recombinant, PEGylated-</w:t>
      </w:r>
      <w:proofErr w:type="spellStart"/>
      <w:r>
        <w:rPr>
          <w:rFonts w:cstheme="minorHAnsi"/>
          <w:color w:val="131413"/>
          <w:sz w:val="24"/>
          <w:szCs w:val="24"/>
        </w:rPr>
        <w:t>aucl</w:t>
      </w:r>
      <w:proofErr w:type="spellEnd"/>
      <w:r>
        <w:rPr>
          <w:rFonts w:cstheme="minorHAnsi"/>
          <w:color w:val="131413"/>
          <w:sz w:val="24"/>
          <w:szCs w:val="24"/>
        </w:rPr>
        <w:t>, factor VIII)</w:t>
      </w:r>
    </w:p>
    <w:p w14:paraId="342769CD" w14:textId="77777777" w:rsidR="00FC0DC0" w:rsidRDefault="00FC0DC0" w:rsidP="00FC0DC0">
      <w:pPr>
        <w:spacing w:before="100" w:beforeAutospacing="1" w:line="240" w:lineRule="auto"/>
        <w:rPr>
          <w:rFonts w:cstheme="minorHAnsi"/>
          <w:color w:val="131413"/>
          <w:sz w:val="24"/>
          <w:szCs w:val="24"/>
        </w:rPr>
      </w:pPr>
      <w:proofErr w:type="spellStart"/>
      <w:r>
        <w:rPr>
          <w:rFonts w:cstheme="minorHAnsi"/>
          <w:color w:val="131413"/>
          <w:sz w:val="24"/>
          <w:szCs w:val="24"/>
        </w:rPr>
        <w:t>Esperoct</w:t>
      </w:r>
      <w:proofErr w:type="spellEnd"/>
      <w:r>
        <w:rPr>
          <w:rFonts w:cstheme="minorHAnsi"/>
          <w:color w:val="131413"/>
          <w:sz w:val="24"/>
          <w:szCs w:val="24"/>
        </w:rPr>
        <w:t xml:space="preserve"> (recombinant, </w:t>
      </w:r>
      <w:proofErr w:type="spellStart"/>
      <w:r>
        <w:rPr>
          <w:rFonts w:cstheme="minorHAnsi"/>
          <w:color w:val="131413"/>
          <w:sz w:val="24"/>
          <w:szCs w:val="24"/>
        </w:rPr>
        <w:t>glycopegylated-exei</w:t>
      </w:r>
      <w:proofErr w:type="spellEnd"/>
      <w:r>
        <w:rPr>
          <w:rFonts w:cstheme="minorHAnsi"/>
          <w:color w:val="131413"/>
          <w:sz w:val="24"/>
          <w:szCs w:val="24"/>
        </w:rPr>
        <w:t>, factor VIII)</w:t>
      </w:r>
    </w:p>
    <w:p w14:paraId="5365B15D" w14:textId="77777777" w:rsidR="00FC0DC0" w:rsidRDefault="00FC0DC0" w:rsidP="00FC0DC0">
      <w:pPr>
        <w:spacing w:before="100" w:beforeAutospacing="1" w:line="240" w:lineRule="auto"/>
        <w:rPr>
          <w:rFonts w:cstheme="minorHAnsi"/>
          <w:color w:val="131413"/>
          <w:sz w:val="24"/>
          <w:szCs w:val="24"/>
        </w:rPr>
      </w:pPr>
      <w:proofErr w:type="spellStart"/>
      <w:r>
        <w:rPr>
          <w:rFonts w:cstheme="minorHAnsi"/>
          <w:color w:val="131413"/>
          <w:sz w:val="24"/>
          <w:szCs w:val="24"/>
        </w:rPr>
        <w:t>Hemlibra</w:t>
      </w:r>
      <w:proofErr w:type="spellEnd"/>
      <w:r>
        <w:rPr>
          <w:rFonts w:cstheme="minorHAnsi"/>
          <w:color w:val="131413"/>
          <w:sz w:val="24"/>
          <w:szCs w:val="24"/>
        </w:rPr>
        <w:t xml:space="preserve"> (</w:t>
      </w:r>
      <w:proofErr w:type="spellStart"/>
      <w:r>
        <w:rPr>
          <w:rFonts w:cstheme="minorHAnsi"/>
          <w:color w:val="131413"/>
          <w:sz w:val="24"/>
          <w:szCs w:val="24"/>
        </w:rPr>
        <w:t>emicizumab-kxwh</w:t>
      </w:r>
      <w:proofErr w:type="spellEnd"/>
      <w:r>
        <w:rPr>
          <w:rFonts w:cstheme="minorHAnsi"/>
          <w:color w:val="131413"/>
          <w:sz w:val="24"/>
          <w:szCs w:val="24"/>
        </w:rPr>
        <w:t xml:space="preserve">). </w:t>
      </w:r>
    </w:p>
    <w:p w14:paraId="4B219889" w14:textId="50E1703F" w:rsidR="00FC0DC0" w:rsidRPr="00FC0DC0" w:rsidRDefault="00FC0DC0" w:rsidP="00FC0DC0">
      <w:pPr>
        <w:spacing w:before="100" w:beforeAutospacing="1" w:line="240" w:lineRule="auto"/>
        <w:rPr>
          <w:rFonts w:cstheme="minorHAnsi"/>
          <w:b/>
          <w:bCs/>
          <w:color w:val="131413"/>
          <w:sz w:val="24"/>
          <w:szCs w:val="24"/>
        </w:rPr>
      </w:pPr>
      <w:r>
        <w:rPr>
          <w:rFonts w:cstheme="minorHAnsi"/>
          <w:b/>
          <w:bCs/>
          <w:color w:val="131413"/>
          <w:sz w:val="24"/>
          <w:szCs w:val="24"/>
        </w:rPr>
        <w:t xml:space="preserve">Efficacy </w:t>
      </w:r>
      <w:r w:rsidRPr="00FC0DC0">
        <w:rPr>
          <w:rFonts w:cstheme="minorHAnsi"/>
          <w:b/>
          <w:bCs/>
          <w:color w:val="131413"/>
          <w:sz w:val="24"/>
          <w:szCs w:val="24"/>
        </w:rPr>
        <w:t>Outcomes</w:t>
      </w:r>
    </w:p>
    <w:p w14:paraId="2667D493" w14:textId="25B4FAC3" w:rsidR="00FC0DC0" w:rsidRPr="00FC0DC0" w:rsidRDefault="00FC0DC0" w:rsidP="00FC0DC0">
      <w:pPr>
        <w:pStyle w:val="Default"/>
        <w:rPr>
          <w:rFonts w:asciiTheme="minorHAnsi" w:hAnsiTheme="minorHAnsi" w:cstheme="minorHAnsi"/>
          <w:color w:val="131413"/>
        </w:rPr>
      </w:pPr>
      <w:r w:rsidRPr="00FC0DC0">
        <w:rPr>
          <w:rFonts w:asciiTheme="minorHAnsi" w:hAnsiTheme="minorHAnsi" w:cstheme="minorHAnsi"/>
          <w:color w:val="131413"/>
        </w:rPr>
        <w:t xml:space="preserve">Proportion of bleeding episodes that is controlled using no more than 2 infusions </w:t>
      </w:r>
    </w:p>
    <w:p w14:paraId="74671429" w14:textId="4EBACE8E" w:rsidR="00FC0DC0" w:rsidRPr="00FC0DC0" w:rsidRDefault="00FC0DC0" w:rsidP="00FC0DC0">
      <w:pPr>
        <w:spacing w:before="100" w:beforeAutospacing="1" w:line="240" w:lineRule="auto"/>
        <w:rPr>
          <w:rFonts w:cstheme="minorHAnsi"/>
          <w:b/>
          <w:bCs/>
          <w:color w:val="131413"/>
          <w:sz w:val="24"/>
          <w:szCs w:val="24"/>
        </w:rPr>
      </w:pPr>
      <w:r>
        <w:rPr>
          <w:rFonts w:cstheme="minorHAnsi"/>
          <w:b/>
          <w:bCs/>
          <w:color w:val="131413"/>
          <w:sz w:val="24"/>
          <w:szCs w:val="24"/>
        </w:rPr>
        <w:t>Safety Outcomes</w:t>
      </w:r>
    </w:p>
    <w:p w14:paraId="78B72DE4" w14:textId="77777777" w:rsidR="00FC0DC0" w:rsidRDefault="00FC0DC0" w:rsidP="00FC0DC0">
      <w:pPr>
        <w:spacing w:before="100" w:beforeAutospacing="1" w:line="240" w:lineRule="auto"/>
        <w:rPr>
          <w:rFonts w:cstheme="minorHAnsi"/>
          <w:color w:val="131413"/>
          <w:sz w:val="24"/>
          <w:szCs w:val="24"/>
        </w:rPr>
      </w:pPr>
      <w:r>
        <w:rPr>
          <w:rFonts w:cstheme="minorHAnsi"/>
          <w:color w:val="131413"/>
          <w:sz w:val="24"/>
          <w:szCs w:val="24"/>
        </w:rPr>
        <w:t>The incidence of development of inhibitors was too small to detect a difference, with most studies reporting zero, therefore, was not included.</w:t>
      </w:r>
    </w:p>
    <w:p w14:paraId="100BB659" w14:textId="1D9D0053" w:rsidR="00FC0DC0" w:rsidRPr="00FC0DC0" w:rsidRDefault="00FC0DC0" w:rsidP="00FC0DC0">
      <w:pPr>
        <w:spacing w:before="100" w:beforeAutospacing="1" w:line="240" w:lineRule="auto"/>
        <w:rPr>
          <w:rFonts w:cstheme="minorHAnsi"/>
          <w:b/>
          <w:bCs/>
          <w:color w:val="131413"/>
          <w:sz w:val="24"/>
          <w:szCs w:val="24"/>
        </w:rPr>
      </w:pPr>
      <w:r w:rsidRPr="00FC0DC0">
        <w:rPr>
          <w:rFonts w:cstheme="minorHAnsi"/>
          <w:b/>
          <w:bCs/>
          <w:color w:val="131413"/>
          <w:sz w:val="24"/>
          <w:szCs w:val="24"/>
        </w:rPr>
        <w:t>Study Comparator and Meta-analysis</w:t>
      </w:r>
    </w:p>
    <w:p w14:paraId="5A5C30F0" w14:textId="77777777" w:rsidR="00FC0DC0" w:rsidRPr="00FC0DC0" w:rsidRDefault="00FC0DC0" w:rsidP="00FC0D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31413"/>
          <w:sz w:val="24"/>
          <w:szCs w:val="24"/>
        </w:rPr>
      </w:pPr>
      <w:r w:rsidRPr="00FC0DC0">
        <w:rPr>
          <w:rFonts w:cstheme="minorHAnsi"/>
          <w:color w:val="131413"/>
          <w:sz w:val="24"/>
          <w:szCs w:val="24"/>
        </w:rPr>
        <w:t>Hemophilia A studies generally compare prophylaxis with on-demand treatment using the same medication or are single-arm studies.</w:t>
      </w:r>
    </w:p>
    <w:p w14:paraId="3657A07B" w14:textId="59F817D4" w:rsidR="00FC0DC0" w:rsidRPr="00FC0DC0" w:rsidRDefault="00FC0DC0" w:rsidP="00FC0D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31413"/>
          <w:sz w:val="24"/>
          <w:szCs w:val="24"/>
        </w:rPr>
      </w:pPr>
      <w:r w:rsidRPr="00FC0DC0">
        <w:rPr>
          <w:rFonts w:cstheme="minorHAnsi"/>
          <w:color w:val="131413"/>
          <w:sz w:val="24"/>
          <w:szCs w:val="24"/>
        </w:rPr>
        <w:t>We matched prophylaxis arms from different studies to simulate head-to-head tr</w:t>
      </w:r>
      <w:r w:rsidR="00106F61">
        <w:rPr>
          <w:rFonts w:cstheme="minorHAnsi"/>
          <w:color w:val="131413"/>
          <w:sz w:val="24"/>
          <w:szCs w:val="24"/>
        </w:rPr>
        <w:t>ia</w:t>
      </w:r>
      <w:r w:rsidRPr="00FC0DC0">
        <w:rPr>
          <w:rFonts w:cstheme="minorHAnsi"/>
          <w:color w:val="131413"/>
          <w:sz w:val="24"/>
          <w:szCs w:val="24"/>
        </w:rPr>
        <w:t xml:space="preserve">ls based on covariates (age, follow-up period and other study population characteristics (% severe hemophilia, % previously treated, % with inhibitors) </w:t>
      </w:r>
      <w:proofErr w:type="gramStart"/>
      <w:r w:rsidRPr="00FC0DC0">
        <w:rPr>
          <w:rFonts w:cstheme="minorHAnsi"/>
          <w:color w:val="131413"/>
          <w:sz w:val="24"/>
          <w:szCs w:val="24"/>
        </w:rPr>
        <w:t>in order to</w:t>
      </w:r>
      <w:proofErr w:type="gramEnd"/>
      <w:r w:rsidRPr="00FC0DC0">
        <w:rPr>
          <w:rFonts w:cstheme="minorHAnsi"/>
          <w:color w:val="131413"/>
          <w:sz w:val="24"/>
          <w:szCs w:val="24"/>
        </w:rPr>
        <w:t xml:space="preserve"> conduct a network meta-analysis. We did the same between on-demand arms.</w:t>
      </w:r>
    </w:p>
    <w:p w14:paraId="5342DCC8" w14:textId="579626B4" w:rsidR="00FC0DC0" w:rsidRPr="00FC0DC0" w:rsidRDefault="00FC0DC0" w:rsidP="00C638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131413"/>
          <w:sz w:val="24"/>
          <w:szCs w:val="24"/>
        </w:rPr>
      </w:pPr>
      <w:proofErr w:type="spellStart"/>
      <w:r w:rsidRPr="00106F61">
        <w:rPr>
          <w:rFonts w:cstheme="minorHAnsi"/>
          <w:color w:val="131413"/>
          <w:sz w:val="24"/>
          <w:szCs w:val="24"/>
        </w:rPr>
        <w:t>Kogenate</w:t>
      </w:r>
      <w:proofErr w:type="spellEnd"/>
      <w:r w:rsidRPr="00106F61">
        <w:rPr>
          <w:rFonts w:cstheme="minorHAnsi"/>
          <w:color w:val="131413"/>
          <w:sz w:val="24"/>
          <w:szCs w:val="24"/>
        </w:rPr>
        <w:t xml:space="preserve"> FS was chosen as the reference comparator based on </w:t>
      </w:r>
      <w:proofErr w:type="spellStart"/>
      <w:proofErr w:type="gramStart"/>
      <w:r w:rsidRPr="00106F61">
        <w:rPr>
          <w:rFonts w:cstheme="minorHAnsi"/>
          <w:color w:val="131413"/>
          <w:sz w:val="24"/>
          <w:szCs w:val="24"/>
        </w:rPr>
        <w:t>it’s</w:t>
      </w:r>
      <w:proofErr w:type="spellEnd"/>
      <w:proofErr w:type="gramEnd"/>
      <w:r w:rsidRPr="00106F61">
        <w:rPr>
          <w:rFonts w:cstheme="minorHAnsi"/>
          <w:color w:val="131413"/>
          <w:sz w:val="24"/>
          <w:szCs w:val="24"/>
        </w:rPr>
        <w:t xml:space="preserve"> market share as well as it being the oldest drug with the relevant data available (Reference: IPD Analytics) </w:t>
      </w:r>
    </w:p>
    <w:sectPr w:rsidR="00FC0DC0" w:rsidRPr="00FC0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432DA" w14:textId="77777777" w:rsidR="00106F61" w:rsidRDefault="00106F61" w:rsidP="00106F61">
      <w:pPr>
        <w:spacing w:after="0" w:line="240" w:lineRule="auto"/>
      </w:pPr>
      <w:r>
        <w:separator/>
      </w:r>
    </w:p>
  </w:endnote>
  <w:endnote w:type="continuationSeparator" w:id="0">
    <w:p w14:paraId="482AAA96" w14:textId="77777777" w:rsidR="00106F61" w:rsidRDefault="00106F61" w:rsidP="00106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68EA9" w14:textId="77777777" w:rsidR="00106F61" w:rsidRDefault="00106F61" w:rsidP="00106F61">
      <w:pPr>
        <w:spacing w:after="0" w:line="240" w:lineRule="auto"/>
      </w:pPr>
      <w:r>
        <w:separator/>
      </w:r>
    </w:p>
  </w:footnote>
  <w:footnote w:type="continuationSeparator" w:id="0">
    <w:p w14:paraId="307A535E" w14:textId="77777777" w:rsidR="00106F61" w:rsidRDefault="00106F61" w:rsidP="00106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E2638"/>
    <w:multiLevelType w:val="hybridMultilevel"/>
    <w:tmpl w:val="F7869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60DD7"/>
    <w:multiLevelType w:val="hybridMultilevel"/>
    <w:tmpl w:val="32880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443732">
    <w:abstractNumId w:val="0"/>
  </w:num>
  <w:num w:numId="2" w16cid:durableId="639727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C0"/>
    <w:rsid w:val="00106F61"/>
    <w:rsid w:val="00331721"/>
    <w:rsid w:val="004F1919"/>
    <w:rsid w:val="005E34F5"/>
    <w:rsid w:val="00FC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A4A37"/>
  <w15:chartTrackingRefBased/>
  <w15:docId w15:val="{417636EE-288F-48F7-B397-F25ACB2FE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D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0D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0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8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BlueCross BlueShield Association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Apurba</dc:creator>
  <cp:keywords/>
  <dc:description/>
  <cp:lastModifiedBy>Chakraborty, Apurba</cp:lastModifiedBy>
  <cp:revision>1</cp:revision>
  <dcterms:created xsi:type="dcterms:W3CDTF">2022-10-13T15:14:00Z</dcterms:created>
  <dcterms:modified xsi:type="dcterms:W3CDTF">2022-10-13T15:33:00Z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772476-9fad-428e-bd1c-a3a17c3bbc75_Enabled">
    <vt:lpwstr>true</vt:lpwstr>
  </property>
  <property fmtid="{D5CDD505-2E9C-101B-9397-08002B2CF9AE}" pid="3" name="MSIP_Label_6a772476-9fad-428e-bd1c-a3a17c3bbc75_SetDate">
    <vt:lpwstr>2022-10-13T15:14:35Z</vt:lpwstr>
  </property>
  <property fmtid="{D5CDD505-2E9C-101B-9397-08002B2CF9AE}" pid="4" name="MSIP_Label_6a772476-9fad-428e-bd1c-a3a17c3bbc75_Method">
    <vt:lpwstr>Standard</vt:lpwstr>
  </property>
  <property fmtid="{D5CDD505-2E9C-101B-9397-08002B2CF9AE}" pid="5" name="MSIP_Label_6a772476-9fad-428e-bd1c-a3a17c3bbc75_Name">
    <vt:lpwstr>Confidential Information</vt:lpwstr>
  </property>
  <property fmtid="{D5CDD505-2E9C-101B-9397-08002B2CF9AE}" pid="6" name="MSIP_Label_6a772476-9fad-428e-bd1c-a3a17c3bbc75_SiteId">
    <vt:lpwstr>bb087376-1284-4173-9385-a6766cdfef8c</vt:lpwstr>
  </property>
  <property fmtid="{D5CDD505-2E9C-101B-9397-08002B2CF9AE}" pid="7" name="MSIP_Label_6a772476-9fad-428e-bd1c-a3a17c3bbc75_ActionId">
    <vt:lpwstr>e95ff320-c47c-4031-809a-97307ea4df89</vt:lpwstr>
  </property>
  <property fmtid="{D5CDD505-2E9C-101B-9397-08002B2CF9AE}" pid="8" name="MSIP_Label_6a772476-9fad-428e-bd1c-a3a17c3bbc75_ContentBits">
    <vt:lpwstr>0</vt:lpwstr>
  </property>
</Properties>
</file>