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07AC" w14:textId="77777777" w:rsidR="001755F0" w:rsidRPr="00E2314F" w:rsidRDefault="001755F0" w:rsidP="001755F0">
      <w:pPr>
        <w:spacing w:after="120"/>
        <w:rPr>
          <w:rFonts w:ascii="Arial" w:hAnsi="Arial" w:cs="Arial"/>
          <w:b/>
          <w:color w:val="0070C0"/>
          <w:sz w:val="28"/>
          <w:u w:val="single"/>
        </w:rPr>
      </w:pPr>
      <w:r w:rsidRPr="00E2314F">
        <w:rPr>
          <w:rFonts w:ascii="Arial" w:hAnsi="Arial" w:cs="Arial"/>
          <w:b/>
          <w:color w:val="0070C0"/>
          <w:sz w:val="28"/>
          <w:u w:val="single"/>
        </w:rPr>
        <w:t>Inclusion/Exclusion Criteria</w:t>
      </w:r>
    </w:p>
    <w:p w14:paraId="4E243D4E" w14:textId="77777777" w:rsidR="001755F0" w:rsidRPr="00F660E4" w:rsidRDefault="001755F0" w:rsidP="001755F0">
      <w:pPr>
        <w:spacing w:after="120"/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t>The following criteria for evidence inclusion for the MEDS Model Analysis was determined through the guidance of the BCBS Plans’ executive and clinical pharmacists</w:t>
      </w:r>
      <w:r>
        <w:rPr>
          <w:rFonts w:ascii="Arial" w:hAnsi="Arial" w:cs="Arial"/>
          <w:b/>
          <w:sz w:val="24"/>
        </w:rPr>
        <w:t>.</w:t>
      </w:r>
    </w:p>
    <w:p w14:paraId="6EF98C90" w14:textId="77777777" w:rsidR="001755F0" w:rsidRPr="00E2314F" w:rsidRDefault="001755F0" w:rsidP="001755F0">
      <w:pPr>
        <w:rPr>
          <w:rFonts w:ascii="Arial" w:hAnsi="Arial" w:cs="Arial"/>
          <w:b/>
          <w:sz w:val="28"/>
        </w:rPr>
      </w:pPr>
      <w:r w:rsidRPr="00E2314F">
        <w:rPr>
          <w:rFonts w:ascii="Arial" w:hAnsi="Arial" w:cs="Arial"/>
          <w:b/>
          <w:sz w:val="24"/>
        </w:rPr>
        <w:t xml:space="preserve">Inclusion Criteria </w:t>
      </w: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1590"/>
        <w:gridCol w:w="7945"/>
      </w:tblGrid>
      <w:tr w:rsidR="001755F0" w14:paraId="12D1A53C" w14:textId="77777777" w:rsidTr="003C04DD">
        <w:trPr>
          <w:jc w:val="center"/>
        </w:trPr>
        <w:tc>
          <w:tcPr>
            <w:tcW w:w="1590" w:type="dxa"/>
            <w:vAlign w:val="center"/>
          </w:tcPr>
          <w:p w14:paraId="7CB8ABFE" w14:textId="77777777" w:rsidR="001755F0" w:rsidRPr="00617FFB" w:rsidRDefault="001755F0" w:rsidP="003C04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Patient Population</w:t>
            </w:r>
          </w:p>
        </w:tc>
        <w:tc>
          <w:tcPr>
            <w:tcW w:w="7945" w:type="dxa"/>
          </w:tcPr>
          <w:p w14:paraId="53AB18B2" w14:textId="79D422EA" w:rsidR="001755F0" w:rsidRDefault="003B406F" w:rsidP="001755F0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Individuals ages 18 years and older with</w:t>
            </w:r>
            <w:r w:rsidRPr="003B406F">
              <w:rPr>
                <w:rFonts w:ascii="Arial" w:hAnsi="Arial" w:cs="Arial"/>
                <w:szCs w:val="24"/>
              </w:rPr>
              <w:t xml:space="preserve"> moderate-to-severe chronic plaque psoriasis</w:t>
            </w:r>
            <w:r w:rsidR="001755F0" w:rsidRPr="00176E7C">
              <w:rPr>
                <w:rFonts w:ascii="Arial" w:hAnsi="Arial" w:cs="Arial"/>
                <w:szCs w:val="24"/>
              </w:rPr>
              <w:t xml:space="preserve"> </w:t>
            </w:r>
          </w:p>
          <w:p w14:paraId="43B506C6" w14:textId="3AD3E326" w:rsidR="001755F0" w:rsidRPr="00A6268D" w:rsidRDefault="001755F0" w:rsidP="00265F11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Randomized Controlled Trials: At least </w:t>
            </w:r>
            <w:r w:rsidR="00265F11">
              <w:rPr>
                <w:rFonts w:ascii="Arial" w:hAnsi="Arial" w:cs="Arial"/>
                <w:szCs w:val="24"/>
              </w:rPr>
              <w:t>5</w:t>
            </w:r>
            <w:r>
              <w:rPr>
                <w:rFonts w:ascii="Arial" w:hAnsi="Arial" w:cs="Arial"/>
                <w:szCs w:val="24"/>
              </w:rPr>
              <w:t xml:space="preserve">0 patients </w:t>
            </w:r>
          </w:p>
        </w:tc>
      </w:tr>
      <w:tr w:rsidR="001755F0" w14:paraId="5B2DBFCA" w14:textId="77777777" w:rsidTr="007B1893">
        <w:trPr>
          <w:trHeight w:val="1511"/>
          <w:jc w:val="center"/>
        </w:trPr>
        <w:tc>
          <w:tcPr>
            <w:tcW w:w="1590" w:type="dxa"/>
            <w:vAlign w:val="center"/>
          </w:tcPr>
          <w:p w14:paraId="0FBCB755" w14:textId="77777777" w:rsidR="001755F0" w:rsidRDefault="001755F0" w:rsidP="003C04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Intervention</w:t>
            </w:r>
          </w:p>
        </w:tc>
        <w:tc>
          <w:tcPr>
            <w:tcW w:w="7945" w:type="dxa"/>
          </w:tcPr>
          <w:p w14:paraId="54C8657D" w14:textId="77777777" w:rsidR="003B406F" w:rsidRPr="003B406F" w:rsidRDefault="003B406F" w:rsidP="003B406F">
            <w:pPr>
              <w:numPr>
                <w:ilvl w:val="0"/>
                <w:numId w:val="3"/>
              </w:numPr>
              <w:spacing w:before="100" w:beforeAutospacing="1" w:after="120" w:line="390" w:lineRule="atLeast"/>
              <w:rPr>
                <w:rFonts w:ascii="Arial" w:hAnsi="Arial" w:cs="Arial"/>
                <w:szCs w:val="24"/>
              </w:rPr>
            </w:pPr>
            <w:r w:rsidRPr="003B406F">
              <w:rPr>
                <w:rFonts w:ascii="Arial" w:hAnsi="Arial" w:cs="Arial"/>
                <w:szCs w:val="24"/>
              </w:rPr>
              <w:t>Secukinumab (Cosentyx)</w:t>
            </w:r>
          </w:p>
          <w:p w14:paraId="26EA42BB" w14:textId="77777777" w:rsidR="003B406F" w:rsidRPr="003B406F" w:rsidRDefault="003B406F" w:rsidP="003B406F">
            <w:pPr>
              <w:numPr>
                <w:ilvl w:val="0"/>
                <w:numId w:val="3"/>
              </w:numPr>
              <w:spacing w:before="100" w:beforeAutospacing="1" w:after="120" w:line="390" w:lineRule="atLeast"/>
              <w:rPr>
                <w:rFonts w:ascii="Arial" w:hAnsi="Arial" w:cs="Arial"/>
                <w:szCs w:val="24"/>
              </w:rPr>
            </w:pPr>
            <w:r w:rsidRPr="003B406F">
              <w:rPr>
                <w:rFonts w:ascii="Arial" w:hAnsi="Arial" w:cs="Arial"/>
                <w:szCs w:val="24"/>
              </w:rPr>
              <w:t>Etanercept (Enbrel)</w:t>
            </w:r>
          </w:p>
          <w:p w14:paraId="040EBD01" w14:textId="77777777" w:rsidR="003B406F" w:rsidRPr="003B406F" w:rsidRDefault="003B406F" w:rsidP="003B406F">
            <w:pPr>
              <w:numPr>
                <w:ilvl w:val="0"/>
                <w:numId w:val="3"/>
              </w:numPr>
              <w:spacing w:before="100" w:beforeAutospacing="1" w:after="120" w:line="390" w:lineRule="atLeast"/>
              <w:rPr>
                <w:rFonts w:ascii="Arial" w:hAnsi="Arial" w:cs="Arial"/>
                <w:szCs w:val="24"/>
              </w:rPr>
            </w:pPr>
            <w:r w:rsidRPr="003B406F">
              <w:rPr>
                <w:rFonts w:ascii="Arial" w:hAnsi="Arial" w:cs="Arial"/>
                <w:szCs w:val="24"/>
              </w:rPr>
              <w:t>Adalimumab (Humira)</w:t>
            </w:r>
          </w:p>
          <w:p w14:paraId="44758443" w14:textId="77777777" w:rsidR="003B406F" w:rsidRPr="003B406F" w:rsidRDefault="003B406F" w:rsidP="003B406F">
            <w:pPr>
              <w:numPr>
                <w:ilvl w:val="0"/>
                <w:numId w:val="3"/>
              </w:numPr>
              <w:spacing w:before="100" w:beforeAutospacing="1" w:after="120" w:line="390" w:lineRule="atLeast"/>
              <w:rPr>
                <w:rFonts w:ascii="Arial" w:hAnsi="Arial" w:cs="Arial"/>
                <w:szCs w:val="24"/>
              </w:rPr>
            </w:pPr>
            <w:r w:rsidRPr="003B406F">
              <w:rPr>
                <w:rFonts w:ascii="Arial" w:hAnsi="Arial" w:cs="Arial"/>
                <w:szCs w:val="24"/>
              </w:rPr>
              <w:t>Infliximab (Remicade)</w:t>
            </w:r>
          </w:p>
          <w:p w14:paraId="6B5FE151" w14:textId="77777777" w:rsidR="003B406F" w:rsidRPr="003B406F" w:rsidRDefault="003B406F" w:rsidP="003B406F">
            <w:pPr>
              <w:numPr>
                <w:ilvl w:val="0"/>
                <w:numId w:val="3"/>
              </w:numPr>
              <w:spacing w:before="100" w:beforeAutospacing="1" w:after="120" w:line="390" w:lineRule="atLeast"/>
              <w:rPr>
                <w:rFonts w:ascii="Arial" w:hAnsi="Arial" w:cs="Arial"/>
                <w:szCs w:val="24"/>
              </w:rPr>
            </w:pPr>
            <w:r w:rsidRPr="003B406F">
              <w:rPr>
                <w:rFonts w:ascii="Arial" w:hAnsi="Arial" w:cs="Arial"/>
                <w:szCs w:val="24"/>
              </w:rPr>
              <w:t>Brodalumab (Siliq)</w:t>
            </w:r>
          </w:p>
          <w:p w14:paraId="5853DE9B" w14:textId="77777777" w:rsidR="003B406F" w:rsidRPr="003B406F" w:rsidRDefault="003B406F" w:rsidP="003B406F">
            <w:pPr>
              <w:numPr>
                <w:ilvl w:val="0"/>
                <w:numId w:val="3"/>
              </w:numPr>
              <w:spacing w:before="100" w:beforeAutospacing="1" w:after="120" w:line="390" w:lineRule="atLeast"/>
              <w:rPr>
                <w:rFonts w:ascii="Arial" w:hAnsi="Arial" w:cs="Arial"/>
                <w:szCs w:val="24"/>
              </w:rPr>
            </w:pPr>
            <w:r w:rsidRPr="003B406F">
              <w:rPr>
                <w:rFonts w:ascii="Arial" w:hAnsi="Arial" w:cs="Arial"/>
                <w:szCs w:val="24"/>
              </w:rPr>
              <w:t>Ustekinumab (Stelara)</w:t>
            </w:r>
          </w:p>
          <w:p w14:paraId="248FB5A7" w14:textId="77777777" w:rsidR="003B406F" w:rsidRPr="003B406F" w:rsidRDefault="003B406F" w:rsidP="003B406F">
            <w:pPr>
              <w:numPr>
                <w:ilvl w:val="0"/>
                <w:numId w:val="3"/>
              </w:numPr>
              <w:spacing w:before="100" w:beforeAutospacing="1" w:after="120" w:line="390" w:lineRule="atLeast"/>
              <w:rPr>
                <w:rFonts w:ascii="Arial" w:hAnsi="Arial" w:cs="Arial"/>
                <w:szCs w:val="24"/>
              </w:rPr>
            </w:pPr>
            <w:r w:rsidRPr="003B406F">
              <w:rPr>
                <w:rFonts w:ascii="Arial" w:hAnsi="Arial" w:cs="Arial"/>
                <w:szCs w:val="24"/>
              </w:rPr>
              <w:t>Ixekizumab (Taltz)</w:t>
            </w:r>
          </w:p>
          <w:p w14:paraId="38389D3D" w14:textId="77777777" w:rsidR="003B406F" w:rsidRPr="003B406F" w:rsidRDefault="003B406F" w:rsidP="003B406F">
            <w:pPr>
              <w:numPr>
                <w:ilvl w:val="0"/>
                <w:numId w:val="3"/>
              </w:numPr>
              <w:spacing w:before="100" w:beforeAutospacing="1" w:after="120" w:line="390" w:lineRule="atLeast"/>
              <w:rPr>
                <w:rFonts w:ascii="Arial" w:hAnsi="Arial" w:cs="Arial"/>
                <w:szCs w:val="24"/>
              </w:rPr>
            </w:pPr>
            <w:r w:rsidRPr="003B406F">
              <w:rPr>
                <w:rFonts w:ascii="Arial" w:hAnsi="Arial" w:cs="Arial"/>
                <w:szCs w:val="24"/>
              </w:rPr>
              <w:t>Guselkumab (Tremfya)</w:t>
            </w:r>
          </w:p>
          <w:p w14:paraId="6EF4F144" w14:textId="77777777" w:rsidR="003B406F" w:rsidRPr="003B406F" w:rsidRDefault="003B406F" w:rsidP="003B406F">
            <w:pPr>
              <w:numPr>
                <w:ilvl w:val="0"/>
                <w:numId w:val="3"/>
              </w:numPr>
              <w:spacing w:before="100" w:beforeAutospacing="1" w:after="120" w:line="390" w:lineRule="atLeast"/>
              <w:rPr>
                <w:rFonts w:ascii="Arial" w:hAnsi="Arial" w:cs="Arial"/>
                <w:szCs w:val="24"/>
              </w:rPr>
            </w:pPr>
            <w:r w:rsidRPr="003B406F">
              <w:rPr>
                <w:rFonts w:ascii="Arial" w:hAnsi="Arial" w:cs="Arial"/>
                <w:szCs w:val="24"/>
              </w:rPr>
              <w:t>Certolizumab (Cimzia)</w:t>
            </w:r>
          </w:p>
          <w:p w14:paraId="45D8C22D" w14:textId="77777777" w:rsidR="003B406F" w:rsidRPr="003B406F" w:rsidRDefault="003B406F" w:rsidP="003B406F">
            <w:pPr>
              <w:numPr>
                <w:ilvl w:val="0"/>
                <w:numId w:val="3"/>
              </w:numPr>
              <w:spacing w:before="100" w:beforeAutospacing="1" w:after="120" w:line="390" w:lineRule="atLeast"/>
              <w:rPr>
                <w:rFonts w:ascii="Arial" w:hAnsi="Arial" w:cs="Arial"/>
                <w:szCs w:val="24"/>
              </w:rPr>
            </w:pPr>
            <w:r w:rsidRPr="003B406F">
              <w:rPr>
                <w:rFonts w:ascii="Arial" w:hAnsi="Arial" w:cs="Arial"/>
                <w:szCs w:val="24"/>
              </w:rPr>
              <w:t>Tildrakizumab (Ilumya)</w:t>
            </w:r>
          </w:p>
          <w:p w14:paraId="279E1795" w14:textId="77777777" w:rsidR="003B406F" w:rsidRPr="003B406F" w:rsidRDefault="003B406F" w:rsidP="003B406F">
            <w:pPr>
              <w:numPr>
                <w:ilvl w:val="0"/>
                <w:numId w:val="3"/>
              </w:numPr>
              <w:spacing w:before="100" w:beforeAutospacing="1" w:after="120" w:line="390" w:lineRule="atLeast"/>
              <w:rPr>
                <w:rFonts w:ascii="Arial" w:hAnsi="Arial" w:cs="Arial"/>
                <w:szCs w:val="24"/>
              </w:rPr>
            </w:pPr>
            <w:r w:rsidRPr="003B406F">
              <w:rPr>
                <w:rFonts w:ascii="Arial" w:hAnsi="Arial" w:cs="Arial"/>
                <w:szCs w:val="24"/>
              </w:rPr>
              <w:t>Risankizumab (Skyrizi)</w:t>
            </w:r>
          </w:p>
          <w:p w14:paraId="65C53FCE" w14:textId="76FB83CB" w:rsidR="001755F0" w:rsidRPr="00840CC1" w:rsidRDefault="003B406F" w:rsidP="003B406F">
            <w:pPr>
              <w:pStyle w:val="ListParagraph"/>
              <w:numPr>
                <w:ilvl w:val="0"/>
                <w:numId w:val="3"/>
              </w:numPr>
              <w:contextualSpacing/>
            </w:pPr>
            <w:r w:rsidRPr="003B406F">
              <w:rPr>
                <w:rFonts w:ascii="Arial" w:hAnsi="Arial" w:cs="Arial"/>
                <w:szCs w:val="24"/>
              </w:rPr>
              <w:t>Apremilast (Otezla)</w:t>
            </w:r>
          </w:p>
        </w:tc>
      </w:tr>
      <w:tr w:rsidR="001755F0" w14:paraId="692881CA" w14:textId="77777777" w:rsidTr="003C04DD">
        <w:trPr>
          <w:jc w:val="center"/>
        </w:trPr>
        <w:tc>
          <w:tcPr>
            <w:tcW w:w="1590" w:type="dxa"/>
            <w:vAlign w:val="center"/>
          </w:tcPr>
          <w:p w14:paraId="05238F30" w14:textId="77777777" w:rsidR="001755F0" w:rsidRDefault="001755F0" w:rsidP="003C04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Comparator</w:t>
            </w:r>
          </w:p>
        </w:tc>
        <w:tc>
          <w:tcPr>
            <w:tcW w:w="7945" w:type="dxa"/>
          </w:tcPr>
          <w:p w14:paraId="4038E001" w14:textId="77777777" w:rsidR="001755F0" w:rsidRPr="006E2149" w:rsidRDefault="001755F0" w:rsidP="001755F0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Arial" w:hAnsi="Arial" w:cs="Arial"/>
              </w:rPr>
              <w:t>Head to Head</w:t>
            </w:r>
          </w:p>
          <w:p w14:paraId="60F66FB6" w14:textId="7B6BF763" w:rsidR="001755F0" w:rsidRPr="00840CC1" w:rsidRDefault="00AE2789" w:rsidP="001755F0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Arial" w:hAnsi="Arial" w:cs="Arial"/>
              </w:rPr>
              <w:t>Placebo</w:t>
            </w:r>
          </w:p>
        </w:tc>
      </w:tr>
      <w:tr w:rsidR="001755F0" w14:paraId="42AA5B42" w14:textId="77777777" w:rsidTr="003C04DD">
        <w:trPr>
          <w:jc w:val="center"/>
        </w:trPr>
        <w:tc>
          <w:tcPr>
            <w:tcW w:w="1590" w:type="dxa"/>
            <w:vAlign w:val="center"/>
          </w:tcPr>
          <w:p w14:paraId="52081912" w14:textId="77777777" w:rsidR="001755F0" w:rsidRDefault="001755F0" w:rsidP="003C04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Outcomes</w:t>
            </w:r>
          </w:p>
        </w:tc>
        <w:tc>
          <w:tcPr>
            <w:tcW w:w="7945" w:type="dxa"/>
          </w:tcPr>
          <w:p w14:paraId="1BB69697" w14:textId="77777777" w:rsidR="001755F0" w:rsidRDefault="001755F0" w:rsidP="003C04D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Efficacy Outcomes:</w:t>
            </w:r>
          </w:p>
          <w:p w14:paraId="624599DB" w14:textId="6322D506" w:rsidR="007B1893" w:rsidRPr="007B1893" w:rsidRDefault="00AE2789" w:rsidP="007B1893">
            <w:pPr>
              <w:pStyle w:val="ListParagraph"/>
              <w:numPr>
                <w:ilvl w:val="0"/>
                <w:numId w:val="6"/>
              </w:numPr>
              <w:spacing w:line="269" w:lineRule="auto"/>
            </w:pPr>
            <w:r w:rsidRPr="00AE2789">
              <w:rPr>
                <w:rFonts w:ascii="Arial" w:hAnsi="Arial" w:cs="Arial"/>
                <w:szCs w:val="24"/>
              </w:rPr>
              <w:t>Psoriasis Area and Severity Index (PASI)</w:t>
            </w:r>
            <w:r w:rsidR="007B1893" w:rsidRPr="00AE2789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90 </w:t>
            </w:r>
            <w:r w:rsidR="007B1893" w:rsidRPr="00AE2789">
              <w:rPr>
                <w:rFonts w:ascii="Arial" w:hAnsi="Arial" w:cs="Arial"/>
                <w:szCs w:val="24"/>
              </w:rPr>
              <w:t>(</w:t>
            </w:r>
            <w:r w:rsidR="007B1893">
              <w:rPr>
                <w:rFonts w:ascii="Arial" w:hAnsi="Arial" w:cs="Arial"/>
              </w:rPr>
              <w:t>30% weight)</w:t>
            </w:r>
          </w:p>
          <w:p w14:paraId="42D80D4C" w14:textId="24F5DE70" w:rsidR="001755F0" w:rsidRPr="00AE2789" w:rsidRDefault="00AE2789" w:rsidP="007B1893">
            <w:pPr>
              <w:pStyle w:val="ListParagraph"/>
              <w:numPr>
                <w:ilvl w:val="0"/>
                <w:numId w:val="6"/>
              </w:numPr>
              <w:spacing w:line="269" w:lineRule="auto"/>
              <w:rPr>
                <w:rFonts w:ascii="Arial" w:hAnsi="Arial" w:cs="Arial"/>
                <w:szCs w:val="24"/>
              </w:rPr>
            </w:pPr>
            <w:r w:rsidRPr="00AE2789">
              <w:rPr>
                <w:rFonts w:ascii="Arial" w:hAnsi="Arial" w:cs="Arial"/>
                <w:szCs w:val="24"/>
              </w:rPr>
              <w:t xml:space="preserve">Physician Global Assessment (PGA) or Investigator’s Global Assessment (IGA) </w:t>
            </w:r>
            <w:r>
              <w:rPr>
                <w:rFonts w:ascii="Arial" w:hAnsi="Arial" w:cs="Arial"/>
                <w:szCs w:val="24"/>
              </w:rPr>
              <w:t xml:space="preserve">(‘clear’/’almost clear’) </w:t>
            </w:r>
            <w:r w:rsidR="007B1893" w:rsidRPr="00AE2789">
              <w:rPr>
                <w:rFonts w:ascii="Arial" w:hAnsi="Arial" w:cs="Arial"/>
                <w:szCs w:val="24"/>
              </w:rPr>
              <w:t>(70% weight)</w:t>
            </w:r>
          </w:p>
          <w:p w14:paraId="7582F0C0" w14:textId="77777777" w:rsidR="001755F0" w:rsidRDefault="001755F0" w:rsidP="003C04DD">
            <w:pPr>
              <w:rPr>
                <w:rFonts w:ascii="Arial" w:hAnsi="Arial" w:cs="Arial"/>
              </w:rPr>
            </w:pPr>
          </w:p>
          <w:p w14:paraId="3B5AF547" w14:textId="77777777" w:rsidR="001755F0" w:rsidRDefault="001755F0" w:rsidP="003C04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Safety Outcomes</w:t>
            </w:r>
          </w:p>
          <w:p w14:paraId="2B8084A1" w14:textId="3CAA15B4" w:rsidR="001755F0" w:rsidRDefault="001755F0" w:rsidP="001755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Discontinuation </w:t>
            </w:r>
            <w:r w:rsidR="007B1893">
              <w:rPr>
                <w:rFonts w:ascii="Arial" w:hAnsi="Arial" w:cs="Arial"/>
              </w:rPr>
              <w:t>(70% weight)</w:t>
            </w:r>
          </w:p>
          <w:p w14:paraId="3EB50C6C" w14:textId="4AB35347" w:rsidR="001755F0" w:rsidRPr="005F6941" w:rsidRDefault="007B1893" w:rsidP="001755F0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</w:rPr>
              <w:t>Severe Adverse Events</w:t>
            </w:r>
            <w:r w:rsidR="001755F0" w:rsidRPr="003C04D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(30% weight)</w:t>
            </w:r>
          </w:p>
        </w:tc>
      </w:tr>
      <w:tr w:rsidR="001755F0" w14:paraId="45140269" w14:textId="77777777" w:rsidTr="003C04DD">
        <w:trPr>
          <w:jc w:val="center"/>
        </w:trPr>
        <w:tc>
          <w:tcPr>
            <w:tcW w:w="1590" w:type="dxa"/>
          </w:tcPr>
          <w:p w14:paraId="1C7BCC85" w14:textId="77777777" w:rsidR="001755F0" w:rsidRDefault="001755F0" w:rsidP="003C04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Timing</w:t>
            </w:r>
          </w:p>
        </w:tc>
        <w:tc>
          <w:tcPr>
            <w:tcW w:w="7945" w:type="dxa"/>
          </w:tcPr>
          <w:p w14:paraId="5461C01D" w14:textId="6D8F9BE6" w:rsidR="001755F0" w:rsidRPr="007458D3" w:rsidRDefault="007B1893" w:rsidP="003C04D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  <w:r w:rsidR="00AE2789">
              <w:rPr>
                <w:rFonts w:ascii="Arial" w:hAnsi="Arial" w:cs="Arial"/>
                <w:szCs w:val="24"/>
              </w:rPr>
              <w:t xml:space="preserve">0 </w:t>
            </w:r>
            <w:r w:rsidR="001755F0">
              <w:rPr>
                <w:rFonts w:ascii="Arial" w:hAnsi="Arial" w:cs="Arial"/>
                <w:szCs w:val="24"/>
              </w:rPr>
              <w:t xml:space="preserve">– </w:t>
            </w:r>
            <w:r w:rsidR="00AE2789">
              <w:rPr>
                <w:rFonts w:ascii="Arial" w:hAnsi="Arial" w:cs="Arial"/>
                <w:szCs w:val="24"/>
              </w:rPr>
              <w:t>24</w:t>
            </w:r>
            <w:r w:rsidR="001755F0">
              <w:rPr>
                <w:rFonts w:ascii="Arial" w:hAnsi="Arial" w:cs="Arial"/>
                <w:szCs w:val="24"/>
              </w:rPr>
              <w:t xml:space="preserve"> </w:t>
            </w:r>
            <w:r w:rsidR="00AE2789">
              <w:rPr>
                <w:rFonts w:ascii="Arial" w:hAnsi="Arial" w:cs="Arial"/>
                <w:szCs w:val="24"/>
              </w:rPr>
              <w:t>weeks</w:t>
            </w:r>
            <w:r w:rsidR="001755F0"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1755F0" w14:paraId="4BD702DE" w14:textId="77777777" w:rsidTr="003C04DD">
        <w:trPr>
          <w:jc w:val="center"/>
        </w:trPr>
        <w:tc>
          <w:tcPr>
            <w:tcW w:w="1590" w:type="dxa"/>
          </w:tcPr>
          <w:p w14:paraId="2BAD42DF" w14:textId="77777777" w:rsidR="001755F0" w:rsidRDefault="001755F0" w:rsidP="003C04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Setting</w:t>
            </w:r>
          </w:p>
        </w:tc>
        <w:tc>
          <w:tcPr>
            <w:tcW w:w="7945" w:type="dxa"/>
          </w:tcPr>
          <w:p w14:paraId="30EB3EDA" w14:textId="73DE7EBA" w:rsidR="001755F0" w:rsidRPr="00F76586" w:rsidRDefault="007B1893" w:rsidP="003C04D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Outpatient</w:t>
            </w:r>
          </w:p>
        </w:tc>
      </w:tr>
    </w:tbl>
    <w:p w14:paraId="222FE574" w14:textId="2FE6D43F" w:rsidR="0040312F" w:rsidRDefault="0040312F"/>
    <w:p w14:paraId="7365AE18" w14:textId="77777777" w:rsidR="001755F0" w:rsidRDefault="001755F0" w:rsidP="001755F0">
      <w:pPr>
        <w:rPr>
          <w:rFonts w:ascii="Arial" w:hAnsi="Arial" w:cs="Arial"/>
        </w:rPr>
      </w:pPr>
      <w:r w:rsidRPr="00E2314F">
        <w:rPr>
          <w:rFonts w:ascii="Arial" w:hAnsi="Arial" w:cs="Arial"/>
          <w:b/>
          <w:sz w:val="24"/>
        </w:rPr>
        <w:t xml:space="preserve">Exclusion Criteria </w:t>
      </w:r>
    </w:p>
    <w:p w14:paraId="1ED4C2B6" w14:textId="345C3397" w:rsidR="001755F0" w:rsidRPr="006E2149" w:rsidRDefault="001755F0" w:rsidP="001755F0">
      <w:pPr>
        <w:pStyle w:val="ListParagraph"/>
        <w:numPr>
          <w:ilvl w:val="0"/>
          <w:numId w:val="7"/>
        </w:numPr>
        <w:spacing w:line="269" w:lineRule="auto"/>
        <w:rPr>
          <w:rFonts w:ascii="Arial" w:hAnsi="Arial" w:cs="Arial"/>
        </w:rPr>
      </w:pPr>
      <w:r>
        <w:rPr>
          <w:rFonts w:ascii="Arial" w:hAnsi="Arial" w:cs="Arial"/>
        </w:rPr>
        <w:t>Studies involving patients under 1</w:t>
      </w:r>
      <w:r w:rsidR="00AE2789">
        <w:rPr>
          <w:rFonts w:ascii="Arial" w:hAnsi="Arial" w:cs="Arial"/>
        </w:rPr>
        <w:t>8</w:t>
      </w:r>
    </w:p>
    <w:p w14:paraId="633E7A7C" w14:textId="77777777" w:rsidR="001755F0" w:rsidRDefault="001755F0" w:rsidP="001755F0">
      <w:pPr>
        <w:pStyle w:val="ListParagraph"/>
        <w:numPr>
          <w:ilvl w:val="0"/>
          <w:numId w:val="7"/>
        </w:numPr>
        <w:spacing w:line="269" w:lineRule="auto"/>
        <w:rPr>
          <w:rFonts w:ascii="Arial" w:hAnsi="Arial" w:cs="Arial"/>
        </w:rPr>
      </w:pPr>
      <w:r>
        <w:rPr>
          <w:rFonts w:ascii="Arial" w:hAnsi="Arial" w:cs="Arial"/>
        </w:rPr>
        <w:t>Single-arm studies</w:t>
      </w:r>
    </w:p>
    <w:p w14:paraId="6EEDD3FD" w14:textId="77777777" w:rsidR="001755F0" w:rsidRDefault="001755F0" w:rsidP="001755F0">
      <w:pPr>
        <w:pStyle w:val="ListParagraph"/>
        <w:numPr>
          <w:ilvl w:val="0"/>
          <w:numId w:val="7"/>
        </w:numPr>
        <w:spacing w:line="269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Open label long term extension studies (unless the study reported the blinded phase before crossover)</w:t>
      </w:r>
    </w:p>
    <w:p w14:paraId="34EA9529" w14:textId="7D8BF019" w:rsidR="001755F0" w:rsidRPr="00E2314F" w:rsidRDefault="001755F0" w:rsidP="001755F0">
      <w:pPr>
        <w:pStyle w:val="ListParagraph"/>
        <w:numPr>
          <w:ilvl w:val="0"/>
          <w:numId w:val="7"/>
        </w:numPr>
        <w:spacing w:line="26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Randomized controlled trials with sample size of less than </w:t>
      </w:r>
      <w:r w:rsidR="007B1893">
        <w:rPr>
          <w:rFonts w:ascii="Arial" w:hAnsi="Arial" w:cs="Arial"/>
        </w:rPr>
        <w:t>5</w:t>
      </w:r>
      <w:r>
        <w:rPr>
          <w:rFonts w:ascii="Arial" w:hAnsi="Arial" w:cs="Arial"/>
        </w:rPr>
        <w:t>0 patients</w:t>
      </w:r>
    </w:p>
    <w:p w14:paraId="45694AC1" w14:textId="77777777" w:rsidR="001755F0" w:rsidRDefault="001755F0"/>
    <w:sectPr w:rsidR="00175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58390" w14:textId="77777777" w:rsidR="00226E42" w:rsidRDefault="00226E42" w:rsidP="00863121">
      <w:r>
        <w:separator/>
      </w:r>
    </w:p>
  </w:endnote>
  <w:endnote w:type="continuationSeparator" w:id="0">
    <w:p w14:paraId="58974911" w14:textId="77777777" w:rsidR="00226E42" w:rsidRDefault="00226E42" w:rsidP="00863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207B2" w14:textId="77777777" w:rsidR="00226E42" w:rsidRDefault="00226E42" w:rsidP="00863121">
      <w:r>
        <w:separator/>
      </w:r>
    </w:p>
  </w:footnote>
  <w:footnote w:type="continuationSeparator" w:id="0">
    <w:p w14:paraId="49CEB6F8" w14:textId="77777777" w:rsidR="00226E42" w:rsidRDefault="00226E42" w:rsidP="00863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9D57D7"/>
    <w:multiLevelType w:val="hybridMultilevel"/>
    <w:tmpl w:val="DDC97876"/>
    <w:lvl w:ilvl="0" w:tplc="FFFFFFFF">
      <w:start w:val="1"/>
      <w:numFmt w:val="bullet"/>
      <w:lvlText w:val="•"/>
      <w:lvlJc w:val="left"/>
    </w:lvl>
    <w:lvl w:ilvl="1" w:tplc="10E3164C">
      <w:start w:val="1"/>
      <w:numFmt w:val="bullet"/>
      <w:lvlText w:val="•"/>
      <w:lvlJc w:val="left"/>
    </w:lvl>
    <w:lvl w:ilvl="2" w:tplc="250CE8BA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63612D"/>
    <w:multiLevelType w:val="multilevel"/>
    <w:tmpl w:val="6A10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C3F2C"/>
    <w:multiLevelType w:val="hybridMultilevel"/>
    <w:tmpl w:val="223E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2011C"/>
    <w:multiLevelType w:val="hybridMultilevel"/>
    <w:tmpl w:val="58368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75ABF"/>
    <w:multiLevelType w:val="hybridMultilevel"/>
    <w:tmpl w:val="AB70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A6145"/>
    <w:multiLevelType w:val="hybridMultilevel"/>
    <w:tmpl w:val="CAAA92E0"/>
    <w:lvl w:ilvl="0" w:tplc="D86E881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4256A"/>
    <w:multiLevelType w:val="hybridMultilevel"/>
    <w:tmpl w:val="B0E4D124"/>
    <w:lvl w:ilvl="0" w:tplc="D86E8812">
      <w:numFmt w:val="bullet"/>
      <w:lvlText w:val=""/>
      <w:lvlJc w:val="left"/>
      <w:pPr>
        <w:ind w:left="144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73D652D"/>
    <w:multiLevelType w:val="hybridMultilevel"/>
    <w:tmpl w:val="8160E110"/>
    <w:lvl w:ilvl="0" w:tplc="D86E881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904DD"/>
    <w:multiLevelType w:val="hybridMultilevel"/>
    <w:tmpl w:val="7E38AC8C"/>
    <w:lvl w:ilvl="0" w:tplc="D86E8812">
      <w:numFmt w:val="bullet"/>
      <w:lvlText w:val=""/>
      <w:lvlJc w:val="left"/>
      <w:pPr>
        <w:ind w:left="144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1761293">
    <w:abstractNumId w:val="8"/>
  </w:num>
  <w:num w:numId="2" w16cid:durableId="1860926328">
    <w:abstractNumId w:val="6"/>
  </w:num>
  <w:num w:numId="3" w16cid:durableId="1964919974">
    <w:abstractNumId w:val="4"/>
  </w:num>
  <w:num w:numId="4" w16cid:durableId="1264456717">
    <w:abstractNumId w:val="3"/>
  </w:num>
  <w:num w:numId="5" w16cid:durableId="1611431300">
    <w:abstractNumId w:val="7"/>
  </w:num>
  <w:num w:numId="6" w16cid:durableId="2009821694">
    <w:abstractNumId w:val="2"/>
  </w:num>
  <w:num w:numId="7" w16cid:durableId="1755545319">
    <w:abstractNumId w:val="5"/>
  </w:num>
  <w:num w:numId="8" w16cid:durableId="795830853">
    <w:abstractNumId w:val="1"/>
  </w:num>
  <w:num w:numId="9" w16cid:durableId="922253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21"/>
    <w:rsid w:val="001755F0"/>
    <w:rsid w:val="00185078"/>
    <w:rsid w:val="00226E42"/>
    <w:rsid w:val="00265F11"/>
    <w:rsid w:val="00331721"/>
    <w:rsid w:val="0039706F"/>
    <w:rsid w:val="003B406F"/>
    <w:rsid w:val="0040312F"/>
    <w:rsid w:val="005E34F5"/>
    <w:rsid w:val="0064036B"/>
    <w:rsid w:val="007B1893"/>
    <w:rsid w:val="00863121"/>
    <w:rsid w:val="009443DB"/>
    <w:rsid w:val="00A32965"/>
    <w:rsid w:val="00AE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DF98A"/>
  <w15:chartTrackingRefBased/>
  <w15:docId w15:val="{E9A1865E-891F-41F8-96AB-3A9F9972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5F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5F0"/>
    <w:pPr>
      <w:ind w:left="720"/>
    </w:pPr>
  </w:style>
  <w:style w:type="table" w:styleId="TableGrid">
    <w:name w:val="Table Grid"/>
    <w:basedOn w:val="TableNormal"/>
    <w:uiPriority w:val="59"/>
    <w:rsid w:val="00175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B406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BlueCross BlueShield Association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Apurba</dc:creator>
  <cp:keywords/>
  <dc:description/>
  <cp:lastModifiedBy>Chakraborty, Apurba</cp:lastModifiedBy>
  <cp:revision>3</cp:revision>
  <dcterms:created xsi:type="dcterms:W3CDTF">2022-11-03T13:50:00Z</dcterms:created>
  <dcterms:modified xsi:type="dcterms:W3CDTF">2022-11-03T14:20:00Z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772476-9fad-428e-bd1c-a3a17c3bbc75_Enabled">
    <vt:lpwstr>true</vt:lpwstr>
  </property>
  <property fmtid="{D5CDD505-2E9C-101B-9397-08002B2CF9AE}" pid="3" name="MSIP_Label_6a772476-9fad-428e-bd1c-a3a17c3bbc75_SetDate">
    <vt:lpwstr>2022-10-11T14:58:08Z</vt:lpwstr>
  </property>
  <property fmtid="{D5CDD505-2E9C-101B-9397-08002B2CF9AE}" pid="4" name="MSIP_Label_6a772476-9fad-428e-bd1c-a3a17c3bbc75_Method">
    <vt:lpwstr>Standard</vt:lpwstr>
  </property>
  <property fmtid="{D5CDD505-2E9C-101B-9397-08002B2CF9AE}" pid="5" name="MSIP_Label_6a772476-9fad-428e-bd1c-a3a17c3bbc75_Name">
    <vt:lpwstr>Confidential Information</vt:lpwstr>
  </property>
  <property fmtid="{D5CDD505-2E9C-101B-9397-08002B2CF9AE}" pid="6" name="MSIP_Label_6a772476-9fad-428e-bd1c-a3a17c3bbc75_SiteId">
    <vt:lpwstr>bb087376-1284-4173-9385-a6766cdfef8c</vt:lpwstr>
  </property>
  <property fmtid="{D5CDD505-2E9C-101B-9397-08002B2CF9AE}" pid="7" name="MSIP_Label_6a772476-9fad-428e-bd1c-a3a17c3bbc75_ActionId">
    <vt:lpwstr>67cdfe94-9399-4787-8ec7-3480b903ecdd</vt:lpwstr>
  </property>
  <property fmtid="{D5CDD505-2E9C-101B-9397-08002B2CF9AE}" pid="8" name="MSIP_Label_6a772476-9fad-428e-bd1c-a3a17c3bbc75_ContentBits">
    <vt:lpwstr>0</vt:lpwstr>
  </property>
</Properties>
</file>