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Observer Zero — AIS revision: proposed change list</w:t>
      </w:r>
    </w:p>
    <w:p>
      <w:pPr>
        <w:spacing w:after="120"/>
      </w:pPr>
      <w:r>
        <w:rPr>
          <w:rFonts w:ascii="Calibri" w:cs="Calibri" w:eastAsia="Calibri" w:hAnsi="Calibri"/>
          <w:i/>
          <w:iCs/>
          <w:color w:val="555555"/>
          <w:sz w:val="21"/>
          <w:szCs w:val="21"/>
        </w:rPr>
        <w:t xml:space="preserve">Manuscript ATIS-D-26-00459 · Autonomous Intelligent Systems · prepared 24 September 2026</w:t>
      </w:r>
    </w:p>
    <w:p>
      <w:pPr>
        <w:spacing w:after="120"/>
      </w:pPr>
      <w:r>
        <w:rPr>
          <w:rFonts w:ascii="Calibri" w:cs="Calibri" w:eastAsia="Calibri" w:hAnsi="Calibri"/>
          <w:sz w:val="21"/>
          <w:szCs w:val="21"/>
        </w:rPr>
        <w:t xml:space="preserve">For review before any change is made. Nothing below has been actioned. Items are grouped by the editor's two requests plus the length reduction; each carries an ID for approve/reject/amend. Estimated word savings are against the current main text of ~11,300 words (~12,500 including references), 28 typeset pages.</w:t>
      </w:r>
    </w:p>
    <w:p>
      <w:pPr>
        <w:spacing w:after="120"/>
      </w:pPr>
      <w:r>
        <w:rPr>
          <w:rFonts w:ascii="Calibri" w:cs="Calibri" w:eastAsia="Calibri" w:hAnsi="Calibri"/>
          <w:b/>
          <w:bCs/>
          <w:sz w:val="21"/>
          <w:szCs w:val="21"/>
        </w:rPr>
        <w:t xml:space="preserve">Hard rule applied throughout: </w:t>
      </w:r>
      <w:r>
        <w:rPr>
          <w:rFonts w:ascii="Calibri" w:cs="Calibri" w:eastAsia="Calibri" w:hAnsi="Calibri"/>
          <w:sz w:val="21"/>
          <w:szCs w:val="21"/>
        </w:rPr>
        <w:t xml:space="preserve">no caveat, negative result, limitation, or scoping qualifier is cut or weakened. Every number, verdict, and claim boundary stays exactly as verified. The audit trail, defects table, and errata all survive intact.</w:t>
      </w:r>
    </w:p>
    <w:p>
      <w:pPr>
        <w:pStyle w:val="Heading1"/>
        <w:spacing w:after="140" w:before="280"/>
      </w:pPr>
      <w:r>
        <w:rPr>
          <w:rFonts w:ascii="Calibri" w:cs="Calibri" w:eastAsia="Calibri" w:hAnsi="Calibri"/>
        </w:rPr>
        <w:t xml:space="preserve">A. Reframing toward real-world evaluation (editor's request 1)</w:t>
      </w:r>
    </w:p>
    <w:p>
      <w:pPr>
        <w:spacing w:after="120"/>
      </w:pPr>
      <w:r>
        <w:rPr>
          <w:rFonts w:ascii="Calibri" w:cs="Calibri" w:eastAsia="Calibri" w:hAnsi="Calibri"/>
          <w:sz w:val="21"/>
          <w:szCs w:val="21"/>
        </w:rPr>
        <w:t xml:space="preserve">Principle: the honest version of what the editor asked for. The paper does not claim Observer Zero solves healthcare or drug-discovery problems; it is repositioned as the way to find out whether an agent system is ready for such problems. Framing changes only — no result, number, or claim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F3864" w:val="clear"/>
          </w:tcPr>
          <w:p>
            <w:r>
              <w:rPr>
                <w:rFonts w:ascii="Calibri" w:cs="Calibri" w:eastAsia="Calibri" w:hAnsi="Calibri"/>
                <w:b/>
                <w:bCs/>
                <w:color w:val="FFFFFF"/>
                <w:sz w:val="19"/>
                <w:szCs w:val="19"/>
              </w:rPr>
              <w:t xml:space="preserve">ID</w:t>
            </w:r>
          </w:p>
        </w:tc>
        <w:tc>
          <w:tcPr>
            <w:tcW w:type="dxa" w:w="4700"/>
            <w:shd w:fill="1F3864" w:val="clear"/>
          </w:tcPr>
          <w:p>
            <w:r>
              <w:rPr>
                <w:rFonts w:ascii="Calibri" w:cs="Calibri" w:eastAsia="Calibri" w:hAnsi="Calibri"/>
                <w:b/>
                <w:bCs/>
                <w:color w:val="FFFFFF"/>
                <w:sz w:val="19"/>
                <w:szCs w:val="19"/>
              </w:rPr>
              <w:t xml:space="preserve">Proposed change</w:t>
            </w:r>
          </w:p>
        </w:tc>
        <w:tc>
          <w:tcPr>
            <w:tcW w:type="dxa" w:w="3760"/>
            <w:shd w:fill="1F3864" w:val="clear"/>
          </w:tcPr>
          <w:p>
            <w:r>
              <w:rPr>
                <w:rFonts w:ascii="Calibri" w:cs="Calibri" w:eastAsia="Calibri" w:hAnsi="Calibri"/>
                <w:b/>
                <w:bCs/>
                <w:color w:val="FFFFFF"/>
                <w:sz w:val="19"/>
                <w:szCs w:val="19"/>
              </w:rPr>
              <w:t xml:space="preserve">Rationale / notes</w:t>
            </w:r>
          </w:p>
        </w:tc>
      </w:tr>
      <w:tr>
        <w:tc>
          <w:tcPr>
            <w:tcW w:type="dxa" w:w="900"/>
          </w:tcPr>
          <w:p>
            <w:pPr>
              <w:spacing w:after="40"/>
            </w:pPr>
            <w:r>
              <w:rPr>
                <w:rFonts w:ascii="Calibri" w:cs="Calibri" w:eastAsia="Calibri" w:hAnsi="Calibri"/>
                <w:b/>
                <w:bCs/>
                <w:sz w:val="19"/>
                <w:szCs w:val="19"/>
              </w:rPr>
              <w:t xml:space="preserve">A1</w:t>
            </w:r>
          </w:p>
        </w:tc>
        <w:tc>
          <w:tcPr>
            <w:tcW w:type="dxa" w:w="4700"/>
          </w:tcPr>
          <w:p>
            <w:pPr>
              <w:spacing w:after="40"/>
            </w:pPr>
            <w:r>
              <w:rPr>
                <w:rFonts w:ascii="Calibri" w:cs="Calibri" w:eastAsia="Calibri" w:hAnsi="Calibri"/>
                <w:sz w:val="19"/>
                <w:szCs w:val="19"/>
              </w:rPr>
              <w:t xml:space="preserve">Abstract — close on the deployment settings.</w:t>
            </w:r>
          </w:p>
          <w:p>
            <w:pPr>
              <w:spacing w:after="40"/>
            </w:pPr>
            <w:r>
              <w:rPr>
                <w:rFonts w:ascii="Calibri" w:cs="Calibri" w:eastAsia="Calibri" w:hAnsi="Calibri"/>
                <w:b/>
                <w:bCs/>
                <w:sz w:val="19"/>
                <w:szCs w:val="19"/>
              </w:rPr>
              <w:t xml:space="preserve">Now: </w:t>
            </w:r>
            <w:r>
              <w:rPr>
                <w:rFonts w:ascii="Calibri" w:cs="Calibri" w:eastAsia="Calibri" w:hAnsi="Calibri"/>
                <w:i/>
                <w:iCs/>
                <w:sz w:val="19"/>
                <w:szCs w:val="19"/>
              </w:rPr>
              <w:t xml:space="preserve">Evaluations that score conclusions without measuring available evidence, or that read communication volume as collective competence, will miss all three failures.</w:t>
            </w:r>
          </w:p>
          <w:p>
            <w:pPr>
              <w:spacing w:after="40"/>
            </w:pPr>
            <w:r>
              <w:rPr>
                <w:rFonts w:ascii="Calibri" w:cs="Calibri" w:eastAsia="Calibri" w:hAnsi="Calibri"/>
                <w:b/>
                <w:bCs/>
                <w:sz w:val="19"/>
                <w:szCs w:val="19"/>
              </w:rPr>
              <w:t xml:space="preserve">Proposed: </w:t>
            </w:r>
            <w:r>
              <w:rPr>
                <w:rFonts w:ascii="Calibri" w:cs="Calibri" w:eastAsia="Calibri" w:hAnsi="Calibri"/>
                <w:sz w:val="19"/>
                <w:szCs w:val="19"/>
              </w:rPr>
              <w:t xml:space="preserve">Evaluations that score conclusions without measuring available evidence, or that read communication volume as collective competence, will miss all three failures — in precisely the settings, from healthcare monitoring to autonomous drug discovery, where such agents are now proposed.</w:t>
            </w:r>
          </w:p>
        </w:tc>
        <w:tc>
          <w:tcPr>
            <w:tcW w:type="dxa" w:w="3760"/>
          </w:tcPr>
          <w:p>
            <w:pPr>
              <w:spacing w:after="40"/>
            </w:pPr>
            <w:r>
              <w:rPr>
                <w:rFonts w:ascii="Calibri" w:cs="Calibri" w:eastAsia="Calibri" w:hAnsi="Calibri"/>
                <w:sz w:val="19"/>
                <w:szCs w:val="19"/>
              </w:rPr>
              <w:t xml:space="preserve">Adds 17 words to a 249/250-word abstract, so two compensating trims elsewhere in the abstract (e.g. ‘deterministically seeded’ → ‘seeded’; ‘A catalyst agent from another model family’ → ‘A catalyst from another model family’). Final abstract re-counted ≤ 250 at build.</w:t>
            </w:r>
          </w:p>
        </w:tc>
      </w:tr>
      <w:tr>
        <w:tc>
          <w:tcPr>
            <w:tcW w:type="dxa" w:w="900"/>
          </w:tcPr>
          <w:p>
            <w:pPr>
              <w:spacing w:after="40"/>
            </w:pPr>
            <w:r>
              <w:rPr>
                <w:rFonts w:ascii="Calibri" w:cs="Calibri" w:eastAsia="Calibri" w:hAnsi="Calibri"/>
                <w:b/>
                <w:bCs/>
                <w:sz w:val="19"/>
                <w:szCs w:val="19"/>
              </w:rPr>
              <w:t xml:space="preserve">A2</w:t>
            </w:r>
          </w:p>
        </w:tc>
        <w:tc>
          <w:tcPr>
            <w:tcW w:type="dxa" w:w="4700"/>
          </w:tcPr>
          <w:p>
            <w:pPr>
              <w:spacing w:after="40"/>
            </w:pPr>
            <w:r>
              <w:rPr>
                <w:rFonts w:ascii="Calibri" w:cs="Calibri" w:eastAsia="Calibri" w:hAnsi="Calibri"/>
                <w:sz w:val="19"/>
                <w:szCs w:val="19"/>
              </w:rPr>
              <w:t xml:space="preserve">Introduction, first paragraph — make the motivating examples concrete and domain-real.</w:t>
            </w:r>
          </w:p>
          <w:p>
            <w:pPr>
              <w:spacing w:after="40"/>
            </w:pPr>
            <w:r>
              <w:rPr>
                <w:rFonts w:ascii="Calibri" w:cs="Calibri" w:eastAsia="Calibri" w:hAnsi="Calibri"/>
                <w:b/>
                <w:bCs/>
                <w:sz w:val="19"/>
                <w:szCs w:val="19"/>
              </w:rPr>
              <w:t xml:space="preserve">Now: </w:t>
            </w:r>
            <w:r>
              <w:rPr>
                <w:rFonts w:ascii="Calibri" w:cs="Calibri" w:eastAsia="Calibri" w:hAnsi="Calibri"/>
                <w:i/>
                <w:iCs/>
                <w:sz w:val="19"/>
                <w:szCs w:val="19"/>
              </w:rPr>
              <w:t xml:space="preserve">…increasingly proposed as investigators — debugging systems, analysing experiments, monitoring infrastructure, running scientific workflows.</w:t>
            </w:r>
          </w:p>
          <w:p>
            <w:pPr>
              <w:spacing w:after="40"/>
            </w:pPr>
            <w:r>
              <w:rPr>
                <w:rFonts w:ascii="Calibri" w:cs="Calibri" w:eastAsia="Calibri" w:hAnsi="Calibri"/>
                <w:b/>
                <w:bCs/>
                <w:sz w:val="19"/>
                <w:szCs w:val="19"/>
              </w:rPr>
              <w:t xml:space="preserve">Proposed: </w:t>
            </w:r>
            <w:r>
              <w:rPr>
                <w:rFonts w:ascii="Calibri" w:cs="Calibri" w:eastAsia="Calibri" w:hAnsi="Calibri"/>
                <w:sz w:val="19"/>
                <w:szCs w:val="19"/>
              </w:rPr>
              <w:t xml:space="preserve">…increasingly proposed as investigators in high-stakes settings: monitoring pharmacovigilance and clinical-trial data for safety signals, running autonomous experiment loops in drug discovery, maintaining infrastructure, debugging deployed systems. In each, the costly failure is the same — the world changes and the agent, holding the evidence, does not conclude that it has.</w:t>
            </w:r>
          </w:p>
        </w:tc>
        <w:tc>
          <w:tcPr>
            <w:tcW w:type="dxa" w:w="3760"/>
          </w:tcPr>
          <w:p>
            <w:pPr>
              <w:spacing w:after="40"/>
            </w:pPr>
            <w:r>
              <w:rPr>
                <w:rFonts w:ascii="Calibri" w:cs="Calibri" w:eastAsia="Calibri" w:hAnsi="Calibri"/>
                <w:sz w:val="19"/>
                <w:szCs w:val="19"/>
              </w:rPr>
              <w:t xml:space="preserve">Grounds the paper in the editor's suggested domains from sentence one, in territory Nick can write with authority. The second sentence sets up the acquisition/inference split.</w:t>
            </w:r>
          </w:p>
        </w:tc>
      </w:tr>
      <w:tr>
        <w:tc>
          <w:tcPr>
            <w:tcW w:type="dxa" w:w="900"/>
          </w:tcPr>
          <w:p>
            <w:pPr>
              <w:spacing w:after="40"/>
            </w:pPr>
            <w:r>
              <w:rPr>
                <w:rFonts w:ascii="Calibri" w:cs="Calibri" w:eastAsia="Calibri" w:hAnsi="Calibri"/>
                <w:b/>
                <w:bCs/>
                <w:sz w:val="19"/>
                <w:szCs w:val="19"/>
              </w:rPr>
              <w:t xml:space="preserve">A3</w:t>
            </w:r>
          </w:p>
        </w:tc>
        <w:tc>
          <w:tcPr>
            <w:tcW w:type="dxa" w:w="4700"/>
          </w:tcPr>
          <w:p>
            <w:pPr>
              <w:spacing w:after="40"/>
            </w:pPr>
            <w:r>
              <w:rPr>
                <w:rFonts w:ascii="Calibri" w:cs="Calibri" w:eastAsia="Calibri" w:hAnsi="Calibri"/>
                <w:sz w:val="19"/>
                <w:szCs w:val="19"/>
              </w:rPr>
              <w:t xml:space="preserve">Introduction, end of the framing paragraphs — add one sentence positioning the paper as pre-deployment evaluation: “The question this paper operationalises is the one a deployer must answer before trusting such a system with a live problem: when it fails, does it fail at sensing or at reasoning — and would more data help, or not?”</w:t>
            </w:r>
          </w:p>
        </w:tc>
        <w:tc>
          <w:tcPr>
            <w:tcW w:type="dxa" w:w="3760"/>
          </w:tcPr>
          <w:p>
            <w:pPr>
              <w:spacing w:after="40"/>
            </w:pPr>
            <w:r>
              <w:rPr>
                <w:rFonts w:ascii="Calibri" w:cs="Calibri" w:eastAsia="Calibri" w:hAnsi="Calibri"/>
                <w:sz w:val="19"/>
                <w:szCs w:val="19"/>
              </w:rPr>
              <w:t xml:space="preserve">One sentence; makes ‘what this is for’ explicit without changing any claim.</w:t>
            </w:r>
          </w:p>
        </w:tc>
      </w:tr>
      <w:tr>
        <w:tc>
          <w:tcPr>
            <w:tcW w:type="dxa" w:w="900"/>
          </w:tcPr>
          <w:p>
            <w:pPr>
              <w:spacing w:after="40"/>
            </w:pPr>
            <w:r>
              <w:rPr>
                <w:rFonts w:ascii="Calibri" w:cs="Calibri" w:eastAsia="Calibri" w:hAnsi="Calibri"/>
                <w:b/>
                <w:bCs/>
                <w:sz w:val="19"/>
                <w:szCs w:val="19"/>
              </w:rPr>
              <w:t xml:space="preserve">A4</w:t>
            </w:r>
          </w:p>
        </w:tc>
        <w:tc>
          <w:tcPr>
            <w:tcW w:type="dxa" w:w="4700"/>
          </w:tcPr>
          <w:p>
            <w:pPr>
              <w:spacing w:after="40"/>
            </w:pPr>
            <w:r>
              <w:rPr>
                <w:rFonts w:ascii="Calibri" w:cs="Calibri" w:eastAsia="Calibri" w:hAnsi="Calibri"/>
                <w:sz w:val="19"/>
                <w:szCs w:val="19"/>
              </w:rPr>
              <w:t xml:space="preserve">Contributions, first bullet — append: “…intended as a rehearsal environment in which an agent system can be evaluated against covert change before it is trusted with a real one.”</w:t>
            </w:r>
          </w:p>
        </w:tc>
        <w:tc>
          <w:tcPr>
            <w:tcW w:type="dxa" w:w="3760"/>
          </w:tcPr>
          <w:p>
            <w:pPr>
              <w:spacing w:after="40"/>
            </w:pPr>
            <w:r>
              <w:rPr>
                <w:rFonts w:ascii="Calibri" w:cs="Calibri" w:eastAsia="Calibri" w:hAnsi="Calibri"/>
                <w:sz w:val="19"/>
                <w:szCs w:val="19"/>
              </w:rPr>
              <w:t xml:space="preserve">Recasts the platform contribution as an applied instrument.</w:t>
            </w:r>
          </w:p>
        </w:tc>
      </w:tr>
      <w:tr>
        <w:tc>
          <w:tcPr>
            <w:tcW w:type="dxa" w:w="900"/>
          </w:tcPr>
          <w:p>
            <w:pPr>
              <w:spacing w:after="40"/>
            </w:pPr>
            <w:r>
              <w:rPr>
                <w:rFonts w:ascii="Calibri" w:cs="Calibri" w:eastAsia="Calibri" w:hAnsi="Calibri"/>
                <w:b/>
                <w:bCs/>
                <w:sz w:val="19"/>
                <w:szCs w:val="19"/>
              </w:rPr>
              <w:t xml:space="preserve">A5</w:t>
            </w:r>
          </w:p>
        </w:tc>
        <w:tc>
          <w:tcPr>
            <w:tcW w:type="dxa" w:w="4700"/>
          </w:tcPr>
          <w:p>
            <w:pPr>
              <w:spacing w:after="40"/>
            </w:pPr>
            <w:r>
              <w:rPr>
                <w:rFonts w:ascii="Calibri" w:cs="Calibri" w:eastAsia="Calibri" w:hAnsi="Calibri"/>
                <w:sz w:val="19"/>
                <w:szCs w:val="19"/>
              </w:rPr>
              <w:t xml:space="preserve">Discussion §‘Implications for deployed multi-agent systems’ — expand (~150 words) with a concrete pre-deployment protocol paragraph: before fielding an agent system for, e.g., safety-signal monitoring or an autonomous discovery loop, run it in an instrumented rehearsal world with a covert regime change; the L1/L2/L3 decomposition then localises any failure to sensing policy, data quantity, or inference, each with a different remedy; and the contamination result warns that multi-agent pipelines in these domains transmit unsupported claims efficiently even without a functioning network.</w:t>
            </w:r>
          </w:p>
        </w:tc>
        <w:tc>
          <w:tcPr>
            <w:tcW w:type="dxa" w:w="3760"/>
          </w:tcPr>
          <w:p>
            <w:pPr>
              <w:spacing w:after="40"/>
            </w:pPr>
            <w:r>
              <w:rPr>
                <w:rFonts w:ascii="Calibri" w:cs="Calibri" w:eastAsia="Calibri" w:hAnsi="Calibri"/>
                <w:sz w:val="19"/>
                <w:szCs w:val="19"/>
              </w:rPr>
              <w:t xml:space="preserve">This is the section that answers the editor directly. Written as ‘how the platform is used on real problems’, scoped to evaluation — no cures claimed.</w:t>
            </w:r>
          </w:p>
        </w:tc>
      </w:tr>
      <w:tr>
        <w:tc>
          <w:tcPr>
            <w:tcW w:type="dxa" w:w="900"/>
          </w:tcPr>
          <w:p>
            <w:pPr>
              <w:spacing w:after="40"/>
            </w:pPr>
            <w:r>
              <w:rPr>
                <w:rFonts w:ascii="Calibri" w:cs="Calibri" w:eastAsia="Calibri" w:hAnsi="Calibri"/>
                <w:b/>
                <w:bCs/>
                <w:sz w:val="19"/>
                <w:szCs w:val="19"/>
              </w:rPr>
              <w:t xml:space="preserve">A6</w:t>
            </w:r>
          </w:p>
        </w:tc>
        <w:tc>
          <w:tcPr>
            <w:tcW w:type="dxa" w:w="4700"/>
          </w:tcPr>
          <w:p>
            <w:pPr>
              <w:spacing w:after="40"/>
            </w:pPr>
            <w:r>
              <w:rPr>
                <w:rFonts w:ascii="Calibri" w:cs="Calibri" w:eastAsia="Calibri" w:hAnsi="Calibri"/>
                <w:sz w:val="19"/>
                <w:szCs w:val="19"/>
              </w:rPr>
              <w:t xml:space="preserve">Related work §‘Autonomous discovery’ — one added sentence noting the domains where evidence-use failure has been documented include scientific and biomedical discovery settings, tying the literature to the deployment frame.</w:t>
            </w:r>
          </w:p>
        </w:tc>
        <w:tc>
          <w:tcPr>
            <w:tcW w:type="dxa" w:w="3760"/>
          </w:tcPr>
          <w:p>
            <w:pPr>
              <w:spacing w:after="40"/>
            </w:pPr>
            <w:r>
              <w:rPr>
                <w:rFonts w:ascii="Calibri" w:cs="Calibri" w:eastAsia="Calibri" w:hAnsi="Calibri"/>
                <w:sz w:val="19"/>
                <w:szCs w:val="19"/>
              </w:rPr>
              <w:t xml:space="preserve">Light touch; keeps related work aligned with the new opening.</w:t>
            </w:r>
          </w:p>
        </w:tc>
      </w:tr>
    </w:tbl>
    <w:p>
      <w:pPr>
        <w:pStyle w:val="Heading1"/>
        <w:spacing w:after="140" w:before="280"/>
      </w:pPr>
      <w:r>
        <w:rPr>
          <w:rFonts w:ascii="Calibri" w:cs="Calibri" w:eastAsia="Calibri" w:hAnsi="Calibri"/>
        </w:rPr>
        <w:t xml:space="preserve">B. Softening the methodological critique (editor's request 2)</w:t>
      </w:r>
    </w:p>
    <w:p>
      <w:pPr>
        <w:spacing w:after="120"/>
      </w:pPr>
      <w:r>
        <w:rPr>
          <w:rFonts w:ascii="Calibri" w:cs="Calibri" w:eastAsia="Calibri" w:hAnsi="Calibri"/>
          <w:sz w:val="21"/>
          <w:szCs w:val="21"/>
        </w:rPr>
        <w:t xml:space="preserve">Principle: the rigor stays as fact; the rhetoric that reads as indicting the field goes. Pre-registration remains fully documented as our internal quality control. Citations to the audit literature stay, but stop being wielded.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F3864" w:val="clear"/>
          </w:tcPr>
          <w:p>
            <w:r>
              <w:rPr>
                <w:rFonts w:ascii="Calibri" w:cs="Calibri" w:eastAsia="Calibri" w:hAnsi="Calibri"/>
                <w:b/>
                <w:bCs/>
                <w:color w:val="FFFFFF"/>
                <w:sz w:val="19"/>
                <w:szCs w:val="19"/>
              </w:rPr>
              <w:t xml:space="preserve">ID</w:t>
            </w:r>
          </w:p>
        </w:tc>
        <w:tc>
          <w:tcPr>
            <w:tcW w:type="dxa" w:w="4700"/>
            <w:shd w:fill="1F3864" w:val="clear"/>
          </w:tcPr>
          <w:p>
            <w:r>
              <w:rPr>
                <w:rFonts w:ascii="Calibri" w:cs="Calibri" w:eastAsia="Calibri" w:hAnsi="Calibri"/>
                <w:b/>
                <w:bCs/>
                <w:color w:val="FFFFFF"/>
                <w:sz w:val="19"/>
                <w:szCs w:val="19"/>
              </w:rPr>
              <w:t xml:space="preserve">Proposed change</w:t>
            </w:r>
          </w:p>
        </w:tc>
        <w:tc>
          <w:tcPr>
            <w:tcW w:type="dxa" w:w="3760"/>
            <w:shd w:fill="1F3864" w:val="clear"/>
          </w:tcPr>
          <w:p>
            <w:r>
              <w:rPr>
                <w:rFonts w:ascii="Calibri" w:cs="Calibri" w:eastAsia="Calibri" w:hAnsi="Calibri"/>
                <w:b/>
                <w:bCs/>
                <w:color w:val="FFFFFF"/>
                <w:sz w:val="19"/>
                <w:szCs w:val="19"/>
              </w:rPr>
              <w:t xml:space="preserve">Rationale / notes</w:t>
            </w:r>
          </w:p>
        </w:tc>
      </w:tr>
      <w:tr>
        <w:tc>
          <w:tcPr>
            <w:tcW w:type="dxa" w:w="900"/>
          </w:tcPr>
          <w:p>
            <w:pPr>
              <w:spacing w:after="40"/>
            </w:pPr>
            <w:r>
              <w:rPr>
                <w:rFonts w:ascii="Calibri" w:cs="Calibri" w:eastAsia="Calibri" w:hAnsi="Calibri"/>
                <w:b/>
                <w:bCs/>
                <w:sz w:val="19"/>
                <w:szCs w:val="19"/>
              </w:rPr>
              <w:t xml:space="preserve">B1</w:t>
            </w:r>
          </w:p>
        </w:tc>
        <w:tc>
          <w:tcPr>
            <w:tcW w:type="dxa" w:w="4700"/>
          </w:tcPr>
          <w:p>
            <w:pPr>
              <w:spacing w:after="40"/>
            </w:pPr>
            <w:r>
              <w:rPr>
                <w:rFonts w:ascii="Calibri" w:cs="Calibri" w:eastAsia="Calibri" w:hAnsi="Calibri"/>
                <w:sz w:val="19"/>
                <w:szCs w:val="19"/>
              </w:rPr>
              <w:t xml:space="preserve">Introduction — remove the bolded indictment.</w:t>
            </w:r>
          </w:p>
          <w:p>
            <w:pPr>
              <w:spacing w:after="40"/>
            </w:pPr>
            <w:r>
              <w:rPr>
                <w:rFonts w:ascii="Calibri" w:cs="Calibri" w:eastAsia="Calibri" w:hAnsi="Calibri"/>
                <w:b/>
                <w:bCs/>
                <w:sz w:val="19"/>
                <w:szCs w:val="19"/>
              </w:rPr>
              <w:t xml:space="preserve">Now: </w:t>
            </w:r>
            <w:r>
              <w:rPr>
                <w:rFonts w:ascii="Calibri" w:cs="Calibri" w:eastAsia="Calibri" w:hAnsi="Calibri"/>
                <w:i/>
                <w:iCs/>
                <w:sz w:val="19"/>
                <w:szCs w:val="19"/>
              </w:rPr>
              <w:t xml:space="preserve">**Existing evaluations rarely distinguish the two**, because an evaluation that scores only the outcome — the conclusion reached, the action taken, the task completed — cannot.</w:t>
            </w:r>
          </w:p>
          <w:p>
            <w:pPr>
              <w:spacing w:after="40"/>
            </w:pPr>
            <w:r>
              <w:rPr>
                <w:rFonts w:ascii="Calibri" w:cs="Calibri" w:eastAsia="Calibri" w:hAnsi="Calibri"/>
                <w:b/>
                <w:bCs/>
                <w:sz w:val="19"/>
                <w:szCs w:val="19"/>
              </w:rPr>
              <w:t xml:space="preserve">Proposed: </w:t>
            </w:r>
            <w:r>
              <w:rPr>
                <w:rFonts w:ascii="Calibri" w:cs="Calibri" w:eastAsia="Calibri" w:hAnsi="Calibri"/>
                <w:sz w:val="19"/>
                <w:szCs w:val="19"/>
              </w:rPr>
              <w:t xml:space="preserve">An evaluation that scores only the outcome — the conclusion reached, the action taken, the task completed — cannot distinguish the two.</w:t>
            </w:r>
          </w:p>
        </w:tc>
        <w:tc>
          <w:tcPr>
            <w:tcW w:type="dxa" w:w="3760"/>
          </w:tcPr>
          <w:p>
            <w:pPr>
              <w:spacing w:after="40"/>
            </w:pPr>
            <w:r>
              <w:rPr>
                <w:rFonts w:ascii="Calibri" w:cs="Calibri" w:eastAsia="Calibri" w:hAnsi="Calibri"/>
                <w:sz w:val="19"/>
                <w:szCs w:val="19"/>
              </w:rPr>
              <w:t xml:space="preserve">Same logical content, stated as a property of outcome scoring rather than a failing of colleagues. Bold removed.</w:t>
            </w:r>
          </w:p>
        </w:tc>
      </w:tr>
      <w:tr>
        <w:tc>
          <w:tcPr>
            <w:tcW w:type="dxa" w:w="900"/>
          </w:tcPr>
          <w:p>
            <w:pPr>
              <w:spacing w:after="40"/>
            </w:pPr>
            <w:r>
              <w:rPr>
                <w:rFonts w:ascii="Calibri" w:cs="Calibri" w:eastAsia="Calibri" w:hAnsi="Calibri"/>
                <w:b/>
                <w:bCs/>
                <w:sz w:val="19"/>
                <w:szCs w:val="19"/>
              </w:rPr>
              <w:t xml:space="preserve">B2</w:t>
            </w:r>
          </w:p>
        </w:tc>
        <w:tc>
          <w:tcPr>
            <w:tcW w:type="dxa" w:w="4700"/>
          </w:tcPr>
          <w:p>
            <w:pPr>
              <w:spacing w:after="40"/>
            </w:pPr>
            <w:r>
              <w:rPr>
                <w:rFonts w:ascii="Calibri" w:cs="Calibri" w:eastAsia="Calibri" w:hAnsi="Calibri"/>
                <w:sz w:val="19"/>
                <w:szCs w:val="19"/>
              </w:rPr>
              <w:t xml:space="preserve">Section title ‘Pre-registration and the discipline actually applied’ → ‘Design freeze and pre-registration’.</w:t>
            </w:r>
          </w:p>
        </w:tc>
        <w:tc>
          <w:tcPr>
            <w:tcW w:type="dxa" w:w="3760"/>
          </w:tcPr>
          <w:p>
            <w:pPr>
              <w:spacing w:after="40"/>
            </w:pPr>
            <w:r>
              <w:rPr>
                <w:rFonts w:ascii="Calibri" w:cs="Calibri" w:eastAsia="Calibri" w:hAnsi="Calibri"/>
                <w:sz w:val="19"/>
                <w:szCs w:val="19"/>
              </w:rPr>
              <w:t xml:space="preserve">‘The discipline actually applied’ implies others’ isn’t. The content of the section already speaks for itself.</w:t>
            </w:r>
          </w:p>
        </w:tc>
      </w:tr>
      <w:tr>
        <w:tc>
          <w:tcPr>
            <w:tcW w:type="dxa" w:w="900"/>
          </w:tcPr>
          <w:p>
            <w:pPr>
              <w:spacing w:after="40"/>
            </w:pPr>
            <w:r>
              <w:rPr>
                <w:rFonts w:ascii="Calibri" w:cs="Calibri" w:eastAsia="Calibri" w:hAnsi="Calibri"/>
                <w:b/>
                <w:bCs/>
                <w:sz w:val="19"/>
                <w:szCs w:val="19"/>
              </w:rPr>
              <w:t xml:space="preserve">B3</w:t>
            </w:r>
          </w:p>
        </w:tc>
        <w:tc>
          <w:tcPr>
            <w:tcW w:type="dxa" w:w="4700"/>
          </w:tcPr>
          <w:p>
            <w:pPr>
              <w:spacing w:after="40"/>
            </w:pPr>
            <w:r>
              <w:rPr>
                <w:rFonts w:ascii="Calibri" w:cs="Calibri" w:eastAsia="Calibri" w:hAnsi="Calibri"/>
                <w:sz w:val="19"/>
                <w:szCs w:val="19"/>
              </w:rPr>
              <w:t xml:space="preserve">§‘Validity principles’ — delete the subsection heading, Table 5, and the “audit … find 90.7% violate at least one” framing. Replace with one short paragraph inside the Meridian section: “The design follows the six validity principles distilled by Zhou et al. [39]: version-controlled personas without numeric priors over exotic hypotheses; genuine unscripted interaction; persistent belief state; minimal control with communication voluntary; unawareness enforced by type-level information-flow security; and a grounded deterministic world.”</w:t>
            </w:r>
          </w:p>
        </w:tc>
        <w:tc>
          <w:tcPr>
            <w:tcW w:type="dxa" w:w="3760"/>
          </w:tcPr>
          <w:p>
            <w:pPr>
              <w:spacing w:after="40"/>
            </w:pPr>
            <w:r>
              <w:rPr>
                <w:rFonts w:ascii="Calibri" w:cs="Calibri" w:eastAsia="Calibri" w:hAnsi="Calibri"/>
                <w:sz w:val="19"/>
                <w:szCs w:val="19"/>
              </w:rPr>
              <w:t xml:space="preserve">This is the passage most likely to have read as ‘picking bone’. Compliance is stated positively; the 90.7% statistic — an indictment of the field — is dropped here. Saves ~190 words + a table.</w:t>
            </w:r>
          </w:p>
        </w:tc>
      </w:tr>
      <w:tr>
        <w:tc>
          <w:tcPr>
            <w:tcW w:type="dxa" w:w="900"/>
          </w:tcPr>
          <w:p>
            <w:pPr>
              <w:spacing w:after="40"/>
            </w:pPr>
            <w:r>
              <w:rPr>
                <w:rFonts w:ascii="Calibri" w:cs="Calibri" w:eastAsia="Calibri" w:hAnsi="Calibri"/>
                <w:b/>
                <w:bCs/>
                <w:sz w:val="19"/>
                <w:szCs w:val="19"/>
              </w:rPr>
              <w:t xml:space="preserve">B4</w:t>
            </w:r>
          </w:p>
        </w:tc>
        <w:tc>
          <w:tcPr>
            <w:tcW w:type="dxa" w:w="4700"/>
          </w:tcPr>
          <w:p>
            <w:pPr>
              <w:spacing w:after="40"/>
            </w:pPr>
            <w:r>
              <w:rPr>
                <w:rFonts w:ascii="Calibri" w:cs="Calibri" w:eastAsia="Calibri" w:hAnsi="Calibri"/>
                <w:sz w:val="19"/>
                <w:szCs w:val="19"/>
              </w:rPr>
              <w:t xml:space="preserve">Related work §‘LLM agent societies’ — soften the self-critique passage.</w:t>
            </w:r>
          </w:p>
          <w:p>
            <w:pPr>
              <w:spacing w:after="40"/>
            </w:pPr>
            <w:r>
              <w:rPr>
                <w:rFonts w:ascii="Calibri" w:cs="Calibri" w:eastAsia="Calibri" w:hAnsi="Calibri"/>
                <w:b/>
                <w:bCs/>
                <w:sz w:val="19"/>
                <w:szCs w:val="19"/>
              </w:rPr>
              <w:t xml:space="preserve">Now: </w:t>
            </w:r>
            <w:r>
              <w:rPr>
                <w:rFonts w:ascii="Calibri" w:cs="Calibri" w:eastAsia="Calibri" w:hAnsi="Calibri"/>
                <w:i/>
                <w:iCs/>
                <w:sz w:val="19"/>
                <w:szCs w:val="19"/>
              </w:rPr>
              <w:t xml:space="preserve">The field has also developed a substantial self-critique, which we treat as our framing rather than as an incoming objection: audits against six validity principles find 90.7% of studies violate at least one, with reported emergent phenomena often vanishing when the principles are enforced [39], and others argue that generative agent-based modelling has inherited little of agent-based modelling's validation discipline [19, 21].</w:t>
            </w:r>
          </w:p>
          <w:p>
            <w:pPr>
              <w:spacing w:after="40"/>
            </w:pPr>
            <w:r>
              <w:rPr>
                <w:rFonts w:ascii="Calibri" w:cs="Calibri" w:eastAsia="Calibri" w:hAnsi="Calibri"/>
                <w:b/>
                <w:bCs/>
                <w:sz w:val="19"/>
                <w:szCs w:val="19"/>
              </w:rPr>
              <w:t xml:space="preserve">Proposed: </w:t>
            </w:r>
            <w:r>
              <w:rPr>
                <w:rFonts w:ascii="Calibri" w:cs="Calibri" w:eastAsia="Calibri" w:hAnsi="Calibri"/>
                <w:sz w:val="19"/>
                <w:szCs w:val="19"/>
              </w:rPr>
              <w:t xml:space="preserve">Recent audits of LLM-society studies [39], and calls to import agent-based modelling's validation discipline [19, 21], motivate the design constraints adopted here.</w:t>
            </w:r>
          </w:p>
        </w:tc>
        <w:tc>
          <w:tcPr>
            <w:tcW w:type="dxa" w:w="3760"/>
          </w:tcPr>
          <w:p>
            <w:pPr>
              <w:spacing w:after="40"/>
            </w:pPr>
            <w:r>
              <w:rPr>
                <w:rFonts w:ascii="Calibri" w:cs="Calibri" w:eastAsia="Calibri" w:hAnsi="Calibri"/>
                <w:sz w:val="19"/>
                <w:szCs w:val="19"/>
              </w:rPr>
              <w:t xml:space="preserve">Keeps all three citations; drops the statistic and the vanishing-phenomena jab. Saves ~45 words.</w:t>
            </w:r>
          </w:p>
        </w:tc>
      </w:tr>
      <w:tr>
        <w:tc>
          <w:tcPr>
            <w:tcW w:type="dxa" w:w="900"/>
          </w:tcPr>
          <w:p>
            <w:pPr>
              <w:spacing w:after="40"/>
            </w:pPr>
            <w:r>
              <w:rPr>
                <w:rFonts w:ascii="Calibri" w:cs="Calibri" w:eastAsia="Calibri" w:hAnsi="Calibri"/>
                <w:b/>
                <w:bCs/>
                <w:sz w:val="19"/>
                <w:szCs w:val="19"/>
              </w:rPr>
              <w:t xml:space="preserve">B5</w:t>
            </w:r>
          </w:p>
        </w:tc>
        <w:tc>
          <w:tcPr>
            <w:tcW w:type="dxa" w:w="4700"/>
          </w:tcPr>
          <w:p>
            <w:pPr>
              <w:spacing w:after="40"/>
            </w:pPr>
            <w:r>
              <w:rPr>
                <w:rFonts w:ascii="Calibri" w:cs="Calibri" w:eastAsia="Calibri" w:hAnsi="Calibri"/>
                <w:sz w:val="19"/>
                <w:szCs w:val="19"/>
              </w:rPr>
              <w:t xml:space="preserve">Related work — “but without exception we could find it is human↔agent” → “but in every benchmark we identified it is human↔agent”.</w:t>
            </w:r>
          </w:p>
        </w:tc>
        <w:tc>
          <w:tcPr>
            <w:tcW w:type="dxa" w:w="3760"/>
          </w:tcPr>
          <w:p>
            <w:pPr>
              <w:spacing w:after="40"/>
            </w:pPr>
            <w:r>
              <w:rPr>
                <w:rFonts w:ascii="Calibri" w:cs="Calibri" w:eastAsia="Calibri" w:hAnsi="Calibri"/>
                <w:sz w:val="19"/>
                <w:szCs w:val="19"/>
              </w:rPr>
              <w:t xml:space="preserve">Same fact, less gotcha.</w:t>
            </w:r>
          </w:p>
        </w:tc>
      </w:tr>
      <w:tr>
        <w:tc>
          <w:tcPr>
            <w:tcW w:type="dxa" w:w="900"/>
          </w:tcPr>
          <w:p>
            <w:pPr>
              <w:spacing w:after="40"/>
            </w:pPr>
            <w:r>
              <w:rPr>
                <w:rFonts w:ascii="Calibri" w:cs="Calibri" w:eastAsia="Calibri" w:hAnsi="Calibri"/>
                <w:b/>
                <w:bCs/>
                <w:sz w:val="19"/>
                <w:szCs w:val="19"/>
              </w:rPr>
              <w:t xml:space="preserve">B6</w:t>
            </w:r>
          </w:p>
        </w:tc>
        <w:tc>
          <w:tcPr>
            <w:tcW w:type="dxa" w:w="4700"/>
          </w:tcPr>
          <w:p>
            <w:pPr>
              <w:spacing w:after="40"/>
            </w:pPr>
            <w:r>
              <w:rPr>
                <w:rFonts w:ascii="Calibri" w:cs="Calibri" w:eastAsia="Calibri" w:hAnsi="Calibri"/>
                <w:sz w:val="19"/>
                <w:szCs w:val="19"/>
              </w:rPr>
              <w:t xml:space="preserve">§Design freeze (B2’s section) — reframe its opening so the freeze rules are presented as internal quality control (“To protect the confirmatory phase from ourselves, design review was closed by an explicit rule…”) rather than as method advocacy.</w:t>
            </w:r>
          </w:p>
        </w:tc>
        <w:tc>
          <w:tcPr>
            <w:tcW w:type="dxa" w:w="3760"/>
          </w:tcPr>
          <w:p>
            <w:pPr>
              <w:spacing w:after="40"/>
            </w:pPr>
            <w:r>
              <w:rPr>
                <w:rFonts w:ascii="Calibri" w:cs="Calibri" w:eastAsia="Calibri" w:hAnsi="Calibri"/>
                <w:sz w:val="19"/>
                <w:szCs w:val="19"/>
              </w:rPr>
              <w:t xml:space="preserve">Pre-registration content untouched; only the register changes.</w:t>
            </w:r>
          </w:p>
        </w:tc>
      </w:tr>
    </w:tbl>
    <w:p>
      <w:pPr>
        <w:pStyle w:val="Heading1"/>
        <w:spacing w:after="140" w:before="280"/>
      </w:pPr>
      <w:r>
        <w:rPr>
          <w:rFonts w:ascii="Calibri" w:cs="Calibri" w:eastAsia="Calibri" w:hAnsi="Calibri"/>
        </w:rPr>
        <w:t xml:space="preserve">C. Length reduction (~2,100–2,400 words ≈ 4–5 typeset pages)</w:t>
      </w:r>
    </w:p>
    <w:p>
      <w:pPr>
        <w:spacing w:after="120"/>
      </w:pPr>
      <w:r>
        <w:rPr>
          <w:rFonts w:ascii="Calibri" w:cs="Calibri" w:eastAsia="Calibri" w:hAnsi="Calibri"/>
          <w:sz w:val="21"/>
          <w:szCs w:val="21"/>
        </w:rPr>
        <w:t xml:space="preserve">Agreed — at 28 pages the paper asks a lot of a reviewer, and the TMLR exercise showed the fat exists. Every cut below removes reporting detail that survives verbatim in the deposited artifacts, never a caveat or a scoping clause. Target: ~23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F3864" w:val="clear"/>
          </w:tcPr>
          <w:p>
            <w:r>
              <w:rPr>
                <w:rFonts w:ascii="Calibri" w:cs="Calibri" w:eastAsia="Calibri" w:hAnsi="Calibri"/>
                <w:b/>
                <w:bCs/>
                <w:color w:val="FFFFFF"/>
                <w:sz w:val="19"/>
                <w:szCs w:val="19"/>
              </w:rPr>
              <w:t xml:space="preserve">ID</w:t>
            </w:r>
          </w:p>
        </w:tc>
        <w:tc>
          <w:tcPr>
            <w:tcW w:type="dxa" w:w="4700"/>
            <w:shd w:fill="1F3864" w:val="clear"/>
          </w:tcPr>
          <w:p>
            <w:r>
              <w:rPr>
                <w:rFonts w:ascii="Calibri" w:cs="Calibri" w:eastAsia="Calibri" w:hAnsi="Calibri"/>
                <w:b/>
                <w:bCs/>
                <w:color w:val="FFFFFF"/>
                <w:sz w:val="19"/>
                <w:szCs w:val="19"/>
              </w:rPr>
              <w:t xml:space="preserve">Proposed change</w:t>
            </w:r>
          </w:p>
        </w:tc>
        <w:tc>
          <w:tcPr>
            <w:tcW w:type="dxa" w:w="3760"/>
            <w:shd w:fill="1F3864" w:val="clear"/>
          </w:tcPr>
          <w:p>
            <w:r>
              <w:rPr>
                <w:rFonts w:ascii="Calibri" w:cs="Calibri" w:eastAsia="Calibri" w:hAnsi="Calibri"/>
                <w:b/>
                <w:bCs/>
                <w:color w:val="FFFFFF"/>
                <w:sz w:val="19"/>
                <w:szCs w:val="19"/>
              </w:rPr>
              <w:t xml:space="preserve">Rationale / notes</w:t>
            </w:r>
          </w:p>
        </w:tc>
      </w:tr>
      <w:tr>
        <w:tc>
          <w:tcPr>
            <w:tcW w:type="dxa" w:w="900"/>
          </w:tcPr>
          <w:p>
            <w:pPr>
              <w:spacing w:after="40"/>
            </w:pPr>
            <w:r>
              <w:rPr>
                <w:rFonts w:ascii="Calibri" w:cs="Calibri" w:eastAsia="Calibri" w:hAnsi="Calibri"/>
                <w:b/>
                <w:bCs/>
                <w:sz w:val="19"/>
                <w:szCs w:val="19"/>
              </w:rPr>
              <w:t xml:space="preserve">C1</w:t>
            </w:r>
          </w:p>
        </w:tc>
        <w:tc>
          <w:tcPr>
            <w:tcW w:type="dxa" w:w="4700"/>
          </w:tcPr>
          <w:p>
            <w:pPr>
              <w:spacing w:after="40"/>
            </w:pPr>
            <w:r>
              <w:rPr>
                <w:rFonts w:ascii="Calibri" w:cs="Calibri" w:eastAsia="Calibri" w:hAnsi="Calibri"/>
                <w:sz w:val="19"/>
                <w:szCs w:val="19"/>
              </w:rPr>
              <w:t xml:space="preserve">Table 4 (pre-registered decision table): 10 rows → the 4 rows that actually bound a decision (the H7 partly-fired row; the H6 conflict row; the malformed-output row; the active-network A3 row), with the existing pointer to the full 18-row table in the deposited artifacts.</w:t>
            </w:r>
          </w:p>
        </w:tc>
        <w:tc>
          <w:tcPr>
            <w:tcW w:type="dxa" w:w="3760"/>
          </w:tcPr>
          <w:p>
            <w:pPr>
              <w:spacing w:after="40"/>
            </w:pPr>
            <w:r>
              <w:rPr>
                <w:rFonts w:ascii="Calibri" w:cs="Calibri" w:eastAsia="Calibri" w:hAnsi="Calibri"/>
                <w:sz w:val="19"/>
                <w:szCs w:val="19"/>
              </w:rPr>
              <w:t xml:space="preserve">~350-word saving. The table’s point — that pre-specification constrained tempting choices — is carried by the rows that fired.</w:t>
            </w:r>
          </w:p>
        </w:tc>
      </w:tr>
      <w:tr>
        <w:tc>
          <w:tcPr>
            <w:tcW w:type="dxa" w:w="900"/>
          </w:tcPr>
          <w:p>
            <w:pPr>
              <w:spacing w:after="40"/>
            </w:pPr>
            <w:r>
              <w:rPr>
                <w:rFonts w:ascii="Calibri" w:cs="Calibri" w:eastAsia="Calibri" w:hAnsi="Calibri"/>
                <w:b/>
                <w:bCs/>
                <w:sz w:val="19"/>
                <w:szCs w:val="19"/>
              </w:rPr>
              <w:t xml:space="preserve">C2</w:t>
            </w:r>
          </w:p>
        </w:tc>
        <w:tc>
          <w:tcPr>
            <w:tcW w:type="dxa" w:w="4700"/>
          </w:tcPr>
          <w:p>
            <w:pPr>
              <w:spacing w:after="40"/>
            </w:pPr>
            <w:r>
              <w:rPr>
                <w:rFonts w:ascii="Calibri" w:cs="Calibri" w:eastAsia="Calibri" w:hAnsi="Calibri"/>
                <w:sz w:val="19"/>
                <w:szCs w:val="19"/>
              </w:rPr>
              <w:t xml:space="preserve">§Design freeze prose (currently ~1,000 words): compress the eight-haiku-arm and amendment-A4 anecdotes to one sentence each; trim the between-arms inspection paragraph.</w:t>
            </w:r>
          </w:p>
        </w:tc>
        <w:tc>
          <w:tcPr>
            <w:tcW w:type="dxa" w:w="3760"/>
          </w:tcPr>
          <w:p>
            <w:pPr>
              <w:spacing w:after="40"/>
            </w:pPr>
            <w:r>
              <w:rPr>
                <w:rFonts w:ascii="Calibri" w:cs="Calibri" w:eastAsia="Calibri" w:hAnsi="Calibri"/>
                <w:sz w:val="19"/>
                <w:szCs w:val="19"/>
              </w:rPr>
              <w:t xml:space="preserve">~250 words. The bolded no-peeking rule and the forced-exception disclosure stay verbatim.</w:t>
            </w:r>
          </w:p>
        </w:tc>
      </w:tr>
      <w:tr>
        <w:tc>
          <w:tcPr>
            <w:tcW w:type="dxa" w:w="900"/>
          </w:tcPr>
          <w:p>
            <w:pPr>
              <w:spacing w:after="40"/>
            </w:pPr>
            <w:r>
              <w:rPr>
                <w:rFonts w:ascii="Calibri" w:cs="Calibri" w:eastAsia="Calibri" w:hAnsi="Calibri"/>
                <w:b/>
                <w:bCs/>
                <w:sz w:val="19"/>
                <w:szCs w:val="19"/>
              </w:rPr>
              <w:t xml:space="preserve">C3</w:t>
            </w:r>
          </w:p>
        </w:tc>
        <w:tc>
          <w:tcPr>
            <w:tcW w:type="dxa" w:w="4700"/>
          </w:tcPr>
          <w:p>
            <w:pPr>
              <w:spacing w:after="40"/>
            </w:pPr>
            <w:r>
              <w:rPr>
                <w:rFonts w:ascii="Calibri" w:cs="Calibri" w:eastAsia="Calibri" w:hAnsi="Calibri"/>
                <w:sz w:val="19"/>
                <w:szCs w:val="19"/>
              </w:rPr>
              <w:t xml:space="preserve">Validity principles → one paragraph (see B3).</w:t>
            </w:r>
          </w:p>
        </w:tc>
        <w:tc>
          <w:tcPr>
            <w:tcW w:type="dxa" w:w="3760"/>
          </w:tcPr>
          <w:p>
            <w:pPr>
              <w:spacing w:after="40"/>
            </w:pPr>
            <w:r>
              <w:rPr>
                <w:rFonts w:ascii="Calibri" w:cs="Calibri" w:eastAsia="Calibri" w:hAnsi="Calibri"/>
                <w:sz w:val="19"/>
                <w:szCs w:val="19"/>
              </w:rPr>
              <w:t xml:space="preserve">~190 words + table.</w:t>
            </w:r>
          </w:p>
        </w:tc>
      </w:tr>
      <w:tr>
        <w:tc>
          <w:tcPr>
            <w:tcW w:type="dxa" w:w="900"/>
          </w:tcPr>
          <w:p>
            <w:pPr>
              <w:spacing w:after="40"/>
            </w:pPr>
            <w:r>
              <w:rPr>
                <w:rFonts w:ascii="Calibri" w:cs="Calibri" w:eastAsia="Calibri" w:hAnsi="Calibri"/>
                <w:b/>
                <w:bCs/>
                <w:sz w:val="19"/>
                <w:szCs w:val="19"/>
              </w:rPr>
              <w:t xml:space="preserve">C4</w:t>
            </w:r>
          </w:p>
        </w:tc>
        <w:tc>
          <w:tcPr>
            <w:tcW w:type="dxa" w:w="4700"/>
          </w:tcPr>
          <w:p>
            <w:pPr>
              <w:spacing w:after="40"/>
            </w:pPr>
            <w:r>
              <w:rPr>
                <w:rFonts w:ascii="Calibri" w:cs="Calibri" w:eastAsia="Calibri" w:hAnsi="Calibri"/>
                <w:sz w:val="19"/>
                <w:szCs w:val="19"/>
              </w:rPr>
              <w:t xml:space="preserve">Related work (988 → ~700): fold §‘Network epistemology’ (~140 w) into §‘Conformity, contamination and cascades’ keeping the depth-1/‘models assume away’ point in two sentences; tighten §Belief revision and §Instrumented worlds by one sentence each.</w:t>
            </w:r>
          </w:p>
        </w:tc>
        <w:tc>
          <w:tcPr>
            <w:tcW w:type="dxa" w:w="3760"/>
          </w:tcPr>
          <w:p>
            <w:pPr>
              <w:spacing w:after="40"/>
            </w:pPr>
            <w:r>
              <w:rPr>
                <w:rFonts w:ascii="Calibri" w:cs="Calibri" w:eastAsia="Calibri" w:hAnsi="Calibri"/>
                <w:sz w:val="19"/>
                <w:szCs w:val="19"/>
              </w:rPr>
              <w:t xml:space="preserve">~290 words. All citations kept; the sparse-communication caution [3, 40, 31] survives in the Discussion where it does its work.</w:t>
            </w:r>
          </w:p>
        </w:tc>
      </w:tr>
      <w:tr>
        <w:tc>
          <w:tcPr>
            <w:tcW w:type="dxa" w:w="900"/>
          </w:tcPr>
          <w:p>
            <w:pPr>
              <w:spacing w:after="40"/>
            </w:pPr>
            <w:r>
              <w:rPr>
                <w:rFonts w:ascii="Calibri" w:cs="Calibri" w:eastAsia="Calibri" w:hAnsi="Calibri"/>
                <w:b/>
                <w:bCs/>
                <w:sz w:val="19"/>
                <w:szCs w:val="19"/>
              </w:rPr>
              <w:t xml:space="preserve">C5</w:t>
            </w:r>
          </w:p>
        </w:tc>
        <w:tc>
          <w:tcPr>
            <w:tcW w:type="dxa" w:w="4700"/>
          </w:tcPr>
          <w:p>
            <w:pPr>
              <w:spacing w:after="40"/>
            </w:pPr>
            <w:r>
              <w:rPr>
                <w:rFonts w:ascii="Calibri" w:cs="Calibri" w:eastAsia="Calibri" w:hAnsi="Calibri"/>
                <w:sz w:val="19"/>
                <w:szCs w:val="19"/>
              </w:rPr>
              <w:t xml:space="preserve">Results §‘How much evidence did the agents actually gather?’ (794 → ~620): remove the baseline-window robustness recital where it duplicates Limitations §Measurement (recomputation at 6/8/10/12/14 days appears in both); keep it once, in Limitations.</w:t>
            </w:r>
          </w:p>
        </w:tc>
        <w:tc>
          <w:tcPr>
            <w:tcW w:type="dxa" w:w="3760"/>
          </w:tcPr>
          <w:p>
            <w:pPr>
              <w:spacing w:after="40"/>
            </w:pPr>
            <w:r>
              <w:rPr>
                <w:rFonts w:ascii="Calibri" w:cs="Calibri" w:eastAsia="Calibri" w:hAnsi="Calibri"/>
                <w:sz w:val="19"/>
                <w:szCs w:val="19"/>
              </w:rPr>
              <w:t xml:space="preserve">~170 words. Pure de-duplication — the robustness check itself is fully preserved.</w:t>
            </w:r>
          </w:p>
        </w:tc>
      </w:tr>
      <w:tr>
        <w:tc>
          <w:tcPr>
            <w:tcW w:type="dxa" w:w="900"/>
          </w:tcPr>
          <w:p>
            <w:pPr>
              <w:spacing w:after="40"/>
            </w:pPr>
            <w:r>
              <w:rPr>
                <w:rFonts w:ascii="Calibri" w:cs="Calibri" w:eastAsia="Calibri" w:hAnsi="Calibri"/>
                <w:b/>
                <w:bCs/>
                <w:sz w:val="19"/>
                <w:szCs w:val="19"/>
              </w:rPr>
              <w:t xml:space="preserve">C6</w:t>
            </w:r>
          </w:p>
        </w:tc>
        <w:tc>
          <w:tcPr>
            <w:tcW w:type="dxa" w:w="4700"/>
          </w:tcPr>
          <w:p>
            <w:pPr>
              <w:spacing w:after="40"/>
            </w:pPr>
            <w:r>
              <w:rPr>
                <w:rFonts w:ascii="Calibri" w:cs="Calibri" w:eastAsia="Calibri" w:hAnsi="Calibri"/>
                <w:sz w:val="19"/>
                <w:szCs w:val="19"/>
              </w:rPr>
              <w:t xml:space="preserve">Results §‘Did early onset back-dating persist’ (423 → ~310) and §‘Does the model in the communicative role matter’ (464 → ~360): tighten narration around the tables; numbers and verdicts untouched.</w:t>
            </w:r>
          </w:p>
        </w:tc>
        <w:tc>
          <w:tcPr>
            <w:tcW w:type="dxa" w:w="3760"/>
          </w:tcPr>
          <w:p>
            <w:pPr>
              <w:spacing w:after="40"/>
            </w:pPr>
            <w:r>
              <w:rPr>
                <w:rFonts w:ascii="Calibri" w:cs="Calibri" w:eastAsia="Calibri" w:hAnsi="Calibri"/>
                <w:sz w:val="19"/>
                <w:szCs w:val="19"/>
              </w:rPr>
              <w:t xml:space="preserve">~215 words.</w:t>
            </w:r>
          </w:p>
        </w:tc>
      </w:tr>
      <w:tr>
        <w:tc>
          <w:tcPr>
            <w:tcW w:type="dxa" w:w="900"/>
          </w:tcPr>
          <w:p>
            <w:pPr>
              <w:spacing w:after="40"/>
            </w:pPr>
            <w:r>
              <w:rPr>
                <w:rFonts w:ascii="Calibri" w:cs="Calibri" w:eastAsia="Calibri" w:hAnsi="Calibri"/>
                <w:b/>
                <w:bCs/>
                <w:sz w:val="19"/>
                <w:szCs w:val="19"/>
              </w:rPr>
              <w:t xml:space="preserve">C7</w:t>
            </w:r>
          </w:p>
        </w:tc>
        <w:tc>
          <w:tcPr>
            <w:tcW w:type="dxa" w:w="4700"/>
          </w:tcPr>
          <w:p>
            <w:pPr>
              <w:spacing w:after="40"/>
            </w:pPr>
            <w:r>
              <w:rPr>
                <w:rFonts w:ascii="Calibri" w:cs="Calibri" w:eastAsia="Calibri" w:hAnsi="Calibri"/>
                <w:sz w:val="19"/>
                <w:szCs w:val="19"/>
              </w:rPr>
              <w:t xml:space="preserve">Results §‘Cross-study synthesis’ (405 → ~310): compress the walk-through where the table already carries it.</w:t>
            </w:r>
          </w:p>
        </w:tc>
        <w:tc>
          <w:tcPr>
            <w:tcW w:type="dxa" w:w="3760"/>
          </w:tcPr>
          <w:p>
            <w:pPr>
              <w:spacing w:after="40"/>
            </w:pPr>
            <w:r>
              <w:rPr>
                <w:rFonts w:ascii="Calibri" w:cs="Calibri" w:eastAsia="Calibri" w:hAnsi="Calibri"/>
                <w:sz w:val="19"/>
                <w:szCs w:val="19"/>
              </w:rPr>
              <w:t xml:space="preserve">~95 words.</w:t>
            </w:r>
          </w:p>
        </w:tc>
      </w:tr>
      <w:tr>
        <w:tc>
          <w:tcPr>
            <w:tcW w:type="dxa" w:w="900"/>
          </w:tcPr>
          <w:p>
            <w:pPr>
              <w:spacing w:after="40"/>
            </w:pPr>
            <w:r>
              <w:rPr>
                <w:rFonts w:ascii="Calibri" w:cs="Calibri" w:eastAsia="Calibri" w:hAnsi="Calibri"/>
                <w:b/>
                <w:bCs/>
                <w:sz w:val="19"/>
                <w:szCs w:val="19"/>
              </w:rPr>
              <w:t xml:space="preserve">C8</w:t>
            </w:r>
          </w:p>
        </w:tc>
        <w:tc>
          <w:tcPr>
            <w:tcW w:type="dxa" w:w="4700"/>
          </w:tcPr>
          <w:p>
            <w:pPr>
              <w:spacing w:after="40"/>
            </w:pPr>
            <w:r>
              <w:rPr>
                <w:rFonts w:ascii="Calibri" w:cs="Calibri" w:eastAsia="Calibri" w:hAnsi="Calibri"/>
                <w:sz w:val="19"/>
                <w:szCs w:val="19"/>
              </w:rPr>
              <w:t xml:space="preserve">§‘Three defects found at analysis time’: keep Table 17 and the pattern paragraph verbatim; compress the closing H4 paragraph (~90 → ~45 words).</w:t>
            </w:r>
          </w:p>
        </w:tc>
        <w:tc>
          <w:tcPr>
            <w:tcW w:type="dxa" w:w="3760"/>
          </w:tcPr>
          <w:p>
            <w:pPr>
              <w:spacing w:after="40"/>
            </w:pPr>
            <w:r>
              <w:rPr>
                <w:rFonts w:ascii="Calibri" w:cs="Calibri" w:eastAsia="Calibri" w:hAnsi="Calibri"/>
                <w:sz w:val="19"/>
                <w:szCs w:val="19"/>
              </w:rPr>
              <w:t xml:space="preserve">~45 words. Full disclosure preserved — this section is integrity capital and is deliberately barely touched.</w:t>
            </w:r>
          </w:p>
        </w:tc>
      </w:tr>
      <w:tr>
        <w:tc>
          <w:tcPr>
            <w:tcW w:type="dxa" w:w="900"/>
          </w:tcPr>
          <w:p>
            <w:pPr>
              <w:spacing w:after="40"/>
            </w:pPr>
            <w:r>
              <w:rPr>
                <w:rFonts w:ascii="Calibri" w:cs="Calibri" w:eastAsia="Calibri" w:hAnsi="Calibri"/>
                <w:b/>
                <w:bCs/>
                <w:sz w:val="19"/>
                <w:szCs w:val="19"/>
              </w:rPr>
              <w:t xml:space="preserve">C9</w:t>
            </w:r>
          </w:p>
        </w:tc>
        <w:tc>
          <w:tcPr>
            <w:tcW w:type="dxa" w:w="4700"/>
          </w:tcPr>
          <w:p>
            <w:pPr>
              <w:spacing w:after="40"/>
            </w:pPr>
            <w:r>
              <w:rPr>
                <w:rFonts w:ascii="Calibri" w:cs="Calibri" w:eastAsia="Calibri" w:hAnsi="Calibri"/>
                <w:sz w:val="19"/>
                <w:szCs w:val="19"/>
              </w:rPr>
              <w:t xml:space="preserve">Figure 1 caption: trim the link-by-link recital by ~30 words (the figure shows it).</w:t>
            </w:r>
          </w:p>
        </w:tc>
        <w:tc>
          <w:tcPr>
            <w:tcW w:type="dxa" w:w="3760"/>
          </w:tcPr>
          <w:p>
            <w:pPr>
              <w:spacing w:after="40"/>
            </w:pPr>
            <w:r>
              <w:rPr>
                <w:rFonts w:ascii="Calibri" w:cs="Calibri" w:eastAsia="Calibri" w:hAnsi="Calibri"/>
                <w:sz w:val="19"/>
                <w:szCs w:val="19"/>
              </w:rPr>
              <w:t xml:space="preserve">~30 words.</w:t>
            </w:r>
          </w:p>
        </w:tc>
      </w:tr>
    </w:tbl>
    <w:p>
      <w:pPr>
        <w:spacing w:after="120"/>
      </w:pPr>
      <w:r>
        <w:rPr>
          <w:rFonts w:ascii="Calibri" w:cs="Calibri" w:eastAsia="Calibri" w:hAnsi="Calibri"/>
          <w:b/>
          <w:bCs/>
          <w:sz w:val="21"/>
          <w:szCs w:val="21"/>
        </w:rPr>
        <w:t xml:space="preserve">Estimated total: ~1,650 words of prose + two tables (≈500-word equivalent) ≈ 2,100–2,400 words → roughly 23 pages.</w:t>
      </w:r>
    </w:p>
    <w:p>
      <w:pPr>
        <w:pStyle w:val="Heading1"/>
        <w:spacing w:after="140" w:before="280"/>
      </w:pPr>
      <w:r>
        <w:rPr>
          <w:rFonts w:ascii="Calibri" w:cs="Calibri" w:eastAsia="Calibri" w:hAnsi="Calibri"/>
        </w:rPr>
        <w:t xml:space="preserve">D. Resubmission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F3864" w:val="clear"/>
          </w:tcPr>
          <w:p>
            <w:r>
              <w:rPr>
                <w:rFonts w:ascii="Calibri" w:cs="Calibri" w:eastAsia="Calibri" w:hAnsi="Calibri"/>
                <w:b/>
                <w:bCs/>
                <w:color w:val="FFFFFF"/>
                <w:sz w:val="19"/>
                <w:szCs w:val="19"/>
              </w:rPr>
              <w:t xml:space="preserve">ID</w:t>
            </w:r>
          </w:p>
        </w:tc>
        <w:tc>
          <w:tcPr>
            <w:tcW w:type="dxa" w:w="4700"/>
            <w:shd w:fill="1F3864" w:val="clear"/>
          </w:tcPr>
          <w:p>
            <w:r>
              <w:rPr>
                <w:rFonts w:ascii="Calibri" w:cs="Calibri" w:eastAsia="Calibri" w:hAnsi="Calibri"/>
                <w:b/>
                <w:bCs/>
                <w:color w:val="FFFFFF"/>
                <w:sz w:val="19"/>
                <w:szCs w:val="19"/>
              </w:rPr>
              <w:t xml:space="preserve">Proposed change</w:t>
            </w:r>
          </w:p>
        </w:tc>
        <w:tc>
          <w:tcPr>
            <w:tcW w:type="dxa" w:w="3760"/>
            <w:shd w:fill="1F3864" w:val="clear"/>
          </w:tcPr>
          <w:p>
            <w:r>
              <w:rPr>
                <w:rFonts w:ascii="Calibri" w:cs="Calibri" w:eastAsia="Calibri" w:hAnsi="Calibri"/>
                <w:b/>
                <w:bCs/>
                <w:color w:val="FFFFFF"/>
                <w:sz w:val="19"/>
                <w:szCs w:val="19"/>
              </w:rPr>
              <w:t xml:space="preserve">Rationale / notes</w:t>
            </w:r>
          </w:p>
        </w:tc>
      </w:tr>
      <w:tr>
        <w:tc>
          <w:tcPr>
            <w:tcW w:type="dxa" w:w="900"/>
          </w:tcPr>
          <w:p>
            <w:pPr>
              <w:spacing w:after="40"/>
            </w:pPr>
            <w:r>
              <w:rPr>
                <w:rFonts w:ascii="Calibri" w:cs="Calibri" w:eastAsia="Calibri" w:hAnsi="Calibri"/>
                <w:b/>
                <w:bCs/>
                <w:sz w:val="19"/>
                <w:szCs w:val="19"/>
              </w:rPr>
              <w:t xml:space="preserve">D1</w:t>
            </w:r>
          </w:p>
        </w:tc>
        <w:tc>
          <w:tcPr>
            <w:tcW w:type="dxa" w:w="4700"/>
          </w:tcPr>
          <w:p>
            <w:pPr>
              <w:spacing w:after="40"/>
            </w:pPr>
            <w:r>
              <w:rPr>
                <w:rFonts w:ascii="Calibri" w:cs="Calibri" w:eastAsia="Calibri" w:hAnsi="Calibri"/>
                <w:sz w:val="19"/>
                <w:szCs w:val="19"/>
              </w:rPr>
              <w:t xml:space="preserve">Draft a response-to-editor letter: thanks; itemises (i) the real-world-evaluation reframing with the healthcare/drug-discovery motivation and the expanded implications section, (ii) the removal of language that could read as criticism of other groups’ designs, (iii) the ~20% shortening. One page.</w:t>
            </w:r>
          </w:p>
        </w:tc>
        <w:tc>
          <w:tcPr>
            <w:tcW w:type="dxa" w:w="3760"/>
          </w:tcPr>
          <w:p>
            <w:pPr>
              <w:spacing w:after="40"/>
            </w:pPr>
            <w:r>
              <w:rPr>
                <w:rFonts w:ascii="Calibri" w:cs="Calibri" w:eastAsia="Calibri" w:hAnsi="Calibri"/>
                <w:sz w:val="19"/>
                <w:szCs w:val="19"/>
              </w:rPr>
              <w:t xml:space="preserve">Editors reread their own comments; the letter maps each to a change.</w:t>
            </w:r>
          </w:p>
        </w:tc>
      </w:tr>
      <w:tr>
        <w:tc>
          <w:tcPr>
            <w:tcW w:type="dxa" w:w="900"/>
          </w:tcPr>
          <w:p>
            <w:pPr>
              <w:spacing w:after="40"/>
            </w:pPr>
            <w:r>
              <w:rPr>
                <w:rFonts w:ascii="Calibri" w:cs="Calibri" w:eastAsia="Calibri" w:hAnsi="Calibri"/>
                <w:b/>
                <w:bCs/>
                <w:sz w:val="19"/>
                <w:szCs w:val="19"/>
              </w:rPr>
              <w:t xml:space="preserve">D2</w:t>
            </w:r>
          </w:p>
        </w:tc>
        <w:tc>
          <w:tcPr>
            <w:tcW w:type="dxa" w:w="4700"/>
          </w:tcPr>
          <w:p>
            <w:pPr>
              <w:spacing w:after="40"/>
            </w:pPr>
            <w:r>
              <w:rPr>
                <w:rFonts w:ascii="Calibri" w:cs="Calibri" w:eastAsia="Calibri" w:hAnsi="Calibri"/>
                <w:sz w:val="19"/>
                <w:szCs w:val="19"/>
              </w:rPr>
              <w:t xml:space="preserve">Update the cover letter to lead with the pre-deployment-evaluation framing (mirrors A2/A5).</w:t>
            </w:r>
          </w:p>
        </w:tc>
        <w:tc>
          <w:tcPr>
            <w:tcW w:type="dxa" w:w="3760"/>
          </w:tcPr>
          <w:p/>
        </w:tc>
      </w:tr>
      <w:tr>
        <w:tc>
          <w:tcPr>
            <w:tcW w:type="dxa" w:w="900"/>
          </w:tcPr>
          <w:p>
            <w:pPr>
              <w:spacing w:after="40"/>
            </w:pPr>
            <w:r>
              <w:rPr>
                <w:rFonts w:ascii="Calibri" w:cs="Calibri" w:eastAsia="Calibri" w:hAnsi="Calibri"/>
                <w:b/>
                <w:bCs/>
                <w:sz w:val="19"/>
                <w:szCs w:val="19"/>
              </w:rPr>
              <w:t xml:space="preserve">D3</w:t>
            </w:r>
          </w:p>
        </w:tc>
        <w:tc>
          <w:tcPr>
            <w:tcW w:type="dxa" w:w="4700"/>
          </w:tcPr>
          <w:p>
            <w:pPr>
              <w:spacing w:after="40"/>
            </w:pPr>
            <w:r>
              <w:rPr>
                <w:rFonts w:ascii="Calibri" w:cs="Calibri" w:eastAsia="Calibri" w:hAnsi="Calibri"/>
                <w:sz w:val="19"/>
                <w:szCs w:val="19"/>
              </w:rPr>
              <w:t xml:space="preserve">Rebuild PDF + source zip; re-verify abstract ≤ 250 words, all five declaration subheadings, all headline numbers against the errata file; deliver both + letters to reports/ais/.</w:t>
            </w:r>
          </w:p>
        </w:tc>
        <w:tc>
          <w:tcPr>
            <w:tcW w:type="dxa" w:w="3760"/>
          </w:tcPr>
          <w:p>
            <w:pPr>
              <w:spacing w:after="40"/>
            </w:pPr>
            <w:r>
              <w:rPr>
                <w:rFonts w:ascii="Calibri" w:cs="Calibri" w:eastAsia="Calibri" w:hAnsi="Calibri"/>
                <w:sz w:val="19"/>
                <w:szCs w:val="19"/>
              </w:rPr>
              <w:t xml:space="preserve">Same verification pass as before submission.</w:t>
            </w:r>
          </w:p>
        </w:tc>
      </w:tr>
      <w:tr>
        <w:tc>
          <w:tcPr>
            <w:tcW w:type="dxa" w:w="900"/>
          </w:tcPr>
          <w:p>
            <w:pPr>
              <w:spacing w:after="40"/>
            </w:pPr>
            <w:r>
              <w:rPr>
                <w:rFonts w:ascii="Calibri" w:cs="Calibri" w:eastAsia="Calibri" w:hAnsi="Calibri"/>
                <w:b/>
                <w:bCs/>
                <w:sz w:val="19"/>
                <w:szCs w:val="19"/>
              </w:rPr>
              <w:t xml:space="preserve">D4</w:t>
            </w:r>
          </w:p>
        </w:tc>
        <w:tc>
          <w:tcPr>
            <w:tcW w:type="dxa" w:w="4700"/>
          </w:tcPr>
          <w:p>
            <w:pPr>
              <w:spacing w:after="40"/>
            </w:pPr>
            <w:r>
              <w:rPr>
                <w:rFonts w:ascii="Calibri" w:cs="Calibri" w:eastAsia="Calibri" w:hAnsi="Calibri"/>
                <w:sz w:val="19"/>
                <w:szCs w:val="19"/>
              </w:rPr>
              <w:t xml:space="preserve">Check in Editorial Manager whether ATIS-D-26-00459 shows a ‘revise’ action (submit there if so) or whether this is a fresh submission; if fresh, note the prior ID in the cover letter.</w:t>
            </w:r>
          </w:p>
        </w:tc>
        <w:tc>
          <w:tcPr>
            <w:tcW w:type="dxa" w:w="3760"/>
          </w:tcPr>
          <w:p>
            <w:pPr>
              <w:spacing w:after="40"/>
            </w:pPr>
            <w:r>
              <w:rPr>
                <w:rFonts w:ascii="Calibri" w:cs="Calibri" w:eastAsia="Calibri" w:hAnsi="Calibri"/>
                <w:sz w:val="19"/>
                <w:szCs w:val="19"/>
              </w:rPr>
              <w:t xml:space="preserve">The editor’s wording (‘resubmit after revision’) is ambiguous between the two routes.</w:t>
            </w:r>
          </w:p>
        </w:tc>
      </w:tr>
    </w:tbl>
    <w:p>
      <w:pPr>
        <w:pStyle w:val="Heading1"/>
        <w:spacing w:after="140" w:before="280"/>
      </w:pPr>
      <w:r>
        <w:rPr>
          <w:rFonts w:ascii="Calibri" w:cs="Calibri" w:eastAsia="Calibri" w:hAnsi="Calibri"/>
        </w:rPr>
        <w:t xml:space="preserve">Not proposed (deliberately)</w:t>
      </w:r>
    </w:p>
    <w:p>
      <w:pPr>
        <w:spacing w:after="120"/>
      </w:pPr>
      <w:r>
        <w:rPr>
          <w:rFonts w:ascii="Calibri" w:cs="Calibri" w:eastAsia="Calibri" w:hAnsi="Calibri"/>
          <w:sz w:val="21"/>
          <w:szCs w:val="21"/>
        </w:rPr>
        <w:t xml:space="preserve">No title change — the title already reads as engineering, not sociology. No new experiments or Study 3 material. No removal of pre-registration content, hypotheses tables 3, verdicts, the H6 conflict, the defects table, or the errata — the paper's credibility rests on them. No claim that Observer Zero performs healthcare or drug-discovery problem-solving; the reframe is strictly ‘this is how you evaluate agents intended for such problems’.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2026-09-24T05:12:33.584Z</dcterms:created>
  <dcterms:modified xsi:type="dcterms:W3CDTF">2026-09-24T05:12:33.593Z</dcterms:modified>
</cp:coreProperties>
</file>

<file path=docProps/custom.xml><?xml version="1.0" encoding="utf-8"?>
<Properties xmlns="http://schemas.openxmlformats.org/officeDocument/2006/custom-properties" xmlns:vt="http://schemas.openxmlformats.org/officeDocument/2006/docPropsVTypes"/>
</file>